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4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1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color w:val="auto"/>
        </w:rPr>
        <w:t>OUSTER,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102870</wp:posOffset>
            </wp:positionV>
            <wp:extent cx="146621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58"/>
          <w:szCs w:val="58"/>
          <w:b w:val="1"/>
          <w:bCs w:val="1"/>
          <w:color w:val="auto"/>
        </w:rPr>
        <w:t>NOTICE &amp; PROXY</w:t>
      </w:r>
    </w:p>
    <w:p>
      <w:pPr>
        <w:spacing w:after="0" w:line="7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58"/>
          <w:szCs w:val="58"/>
          <w:b w:val="1"/>
          <w:bCs w:val="1"/>
          <w:color w:val="auto"/>
        </w:rPr>
        <w:t>STATEMENT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Annual Meeting of Stockholders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18, 2025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SAN FRANCISCO, CA 94110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2025</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Ouster’s Stockholders: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(the “Annual Meeting”) of Ouster, Inc. (“Ouster” or the “Company”) to be held on Wednesday, June 18, 2025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 w:cs="Times New Roman" w:eastAsia="Times New Roman" w:hAnsi="Times New Roman"/>
          <w:sz w:val="18"/>
          <w:szCs w:val="18"/>
          <w:i w:val="1"/>
          <w:iCs w:val="1"/>
          <w:color w:val="auto"/>
        </w:rPr>
        <w:t>www.virtualshareholdermeeting.com/OUST2025</w:t>
      </w:r>
      <w:r>
        <w:rPr>
          <w:rFonts w:ascii="Times New Roman" w:cs="Times New Roman" w:eastAsia="Times New Roman" w:hAnsi="Times New Roman"/>
          <w:sz w:val="18"/>
          <w:szCs w:val="18"/>
          <w:color w:val="auto"/>
        </w:rPr>
        <w:t>. Utilizing a virtual meeting format will allow stockholders to participate from any location, and we expect will lead to increased attendance, improved communications and cost savings for Ouster’s stockholders and the Company.</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685800"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Theodore L. Tewksbury, Ph.D.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be Held on Wednesday, June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SAN FRANCISCO, CA 94110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of Stockholders (the “Annual Meeting”) of Ouster, Inc., a Delaware corporation (“Ouster” or the “Company”), will be held at 10:00 a.m., Pacific Time, on Wednesday, June 18, 2025. The Annual Meeting will be a completely virtual meeting, which will be conducted via live webcast. You will be able to attend the Annual Meeting electronically and submit your questions during the Annual Meeting by visiting </w:t>
      </w:r>
      <w:r>
        <w:rPr>
          <w:rFonts w:ascii="Times New Roman" w:cs="Times New Roman" w:eastAsia="Times New Roman" w:hAnsi="Times New Roman"/>
          <w:sz w:val="18"/>
          <w:szCs w:val="18"/>
          <w:i w:val="1"/>
          <w:iCs w:val="1"/>
          <w:color w:val="auto"/>
        </w:rPr>
        <w:t xml:space="preserve">www.virtualshareholdermeeting.com/OUST2025. </w:t>
      </w:r>
      <w:r>
        <w:rPr>
          <w:rFonts w:ascii="Times New Roman" w:cs="Times New Roman" w:eastAsia="Times New Roman" w:hAnsi="Times New Roman"/>
          <w:sz w:val="18"/>
          <w:szCs w:val="18"/>
          <w:color w:val="auto"/>
        </w:rPr>
        <w:t>The Annual Meeting is called for the following purposes:</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elect Christina C. Correia, Stephen A. Skaggs and Ernest E. Maddock as Class I Directors to serve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439" w:hanging="468"/>
        <w:spacing w:after="0" w:line="274"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2028 annual meeting of stockholders and until their respective successors shall have been duly elected and qualified;</w:t>
      </w:r>
    </w:p>
    <w:p>
      <w:pPr>
        <w:spacing w:after="0" w:line="2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for the fiscal year ending December 31, 2025;</w:t>
      </w:r>
    </w:p>
    <w:p>
      <w:pPr>
        <w:spacing w:after="0" w:line="2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approve, on an advisory (non-binding)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approve an amendment to our Certificate of Incorporation, as amended (the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999" w:hanging="468"/>
        <w:spacing w:after="0" w:line="274"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to provide for exculpation of officers from breaches of fiduciary duty to the extent permitted by the General Corporation Law of the State of Delaware; and</w:t>
      </w:r>
    </w:p>
    <w:p>
      <w:pPr>
        <w:spacing w:after="0" w:line="2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postponement or adjournment of the Annual Meeting.</w:t>
      </w:r>
    </w:p>
    <w:p>
      <w:pPr>
        <w:spacing w:after="0" w:line="16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Holders of record of Ouster’s outstanding shares of common stock at the close of business on April 21, 2025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The Annual Meeting may be continued or adjourned from time to time without notice other than by announcement at the Annual Meeting.</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119126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2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Megan Chung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5"/>
        </w:trPr>
        <w:tc>
          <w:tcPr>
            <w:tcW w:w="8120" w:type="dxa"/>
            <w:vAlign w:val="bottom"/>
            <w:gridSpan w:val="51"/>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PROXY STATEMENT</w:t>
            </w:r>
          </w:p>
        </w:tc>
        <w:tc>
          <w:tcPr>
            <w:tcW w:w="280" w:type="dxa"/>
            <w:vAlign w:val="bottom"/>
            <w:gridSpan w:val="4"/>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0"/>
                <w:szCs w:val="20"/>
                <w:color w:val="auto"/>
              </w:rPr>
            </w:pPr>
          </w:p>
        </w:tc>
      </w:tr>
      <w:tr>
        <w:trPr>
          <w:trHeight w:val="175"/>
        </w:trPr>
        <w:tc>
          <w:tcPr>
            <w:tcW w:w="18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PROPOSALS</w:t>
            </w:r>
          </w:p>
        </w:tc>
        <w:tc>
          <w:tcPr>
            <w:tcW w:w="6440" w:type="dxa"/>
            <w:vAlign w:val="bottom"/>
            <w:tcBorders>
              <w:top w:val="single" w:sz="8" w:color="CCEEFF"/>
            </w:tcBorders>
            <w:gridSpan w:val="44"/>
          </w:tcPr>
          <w:p>
            <w:pPr>
              <w:spacing w:after="0"/>
              <w:rPr>
                <w:sz w:val="15"/>
                <w:szCs w:val="15"/>
                <w:color w:val="auto"/>
              </w:rPr>
            </w:pPr>
          </w:p>
        </w:tc>
        <w:tc>
          <w:tcPr>
            <w:tcW w:w="18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EE"/>
            </w:tcBorders>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top w:val="single" w:sz="8" w:color="CCEEFF"/>
            </w:tcBorders>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gridSpan w:val="3"/>
          </w:tcPr>
          <w:p>
            <w:pPr>
              <w:spacing w:after="0"/>
              <w:rPr>
                <w:sz w:val="2"/>
                <w:szCs w:val="2"/>
                <w:color w:val="auto"/>
              </w:rPr>
            </w:pPr>
          </w:p>
        </w:tc>
        <w:tc>
          <w:tcPr>
            <w:tcW w:w="7100" w:type="dxa"/>
            <w:vAlign w:val="bottom"/>
            <w:gridSpan w:val="50"/>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RECOMMENDATIONS OF THE BOARD</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0000EE"/>
            </w:tcBorders>
            <w:gridSpan w:val="21"/>
            <w:shd w:val="clear" w:color="auto" w:fill="CCEEFF"/>
          </w:tcPr>
          <w:p>
            <w:pPr>
              <w:spacing w:after="0"/>
              <w:rPr>
                <w:sz w:val="2"/>
                <w:szCs w:val="2"/>
                <w:color w:val="auto"/>
              </w:rPr>
            </w:pPr>
          </w:p>
        </w:tc>
        <w:tc>
          <w:tcPr>
            <w:tcW w:w="4980" w:type="dxa"/>
            <w:vAlign w:val="bottom"/>
            <w:tcBorders>
              <w:top w:val="single" w:sz="8" w:color="CCEEFF"/>
            </w:tcBorders>
            <w:gridSpan w:val="32"/>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THIS PROXY STATEMENT</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4080" w:type="dxa"/>
            <w:vAlign w:val="bottom"/>
            <w:tcBorders>
              <w:top w:val="single" w:sz="8" w:color="0000EE"/>
            </w:tcBorders>
            <w:gridSpan w:val="30"/>
          </w:tcPr>
          <w:p>
            <w:pPr>
              <w:spacing w:after="0"/>
              <w:rPr>
                <w:sz w:val="2"/>
                <w:szCs w:val="2"/>
                <w:color w:val="auto"/>
              </w:rPr>
            </w:pPr>
          </w:p>
        </w:tc>
        <w:tc>
          <w:tcPr>
            <w:tcW w:w="4040" w:type="dxa"/>
            <w:vAlign w:val="bottom"/>
            <w:gridSpan w:val="23"/>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7200" w:type="dxa"/>
            <w:vAlign w:val="bottom"/>
            <w:tcBorders>
              <w:bottom w:val="single" w:sz="8" w:color="0000EE"/>
            </w:tcBorders>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QUESTIONS AND ANSWERS ABOUT THE 2025 ANNUAL MEETING OF STOCKHOLDERS</w:t>
            </w:r>
          </w:p>
        </w:tc>
        <w:tc>
          <w:tcPr>
            <w:tcW w:w="920" w:type="dxa"/>
            <w:vAlign w:val="bottom"/>
            <w:tcBorders>
              <w:bottom w:val="single" w:sz="8" w:color="CCEEFF"/>
            </w:tcBorders>
            <w:gridSpan w:val="6"/>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PROPOSALS TO BE VOTED ON</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34"/>
        </w:trPr>
        <w:tc>
          <w:tcPr>
            <w:tcW w:w="2520" w:type="dxa"/>
            <w:vAlign w:val="bottom"/>
            <w:tcBorders>
              <w:top w:val="single" w:sz="8" w:color="0000EE"/>
            </w:tcBorders>
            <w:gridSpan w:val="18"/>
          </w:tcPr>
          <w:p>
            <w:pPr>
              <w:spacing w:after="0"/>
              <w:rPr>
                <w:sz w:val="2"/>
                <w:szCs w:val="2"/>
                <w:color w:val="auto"/>
              </w:rPr>
            </w:pPr>
          </w:p>
        </w:tc>
        <w:tc>
          <w:tcPr>
            <w:tcW w:w="5780" w:type="dxa"/>
            <w:vAlign w:val="bottom"/>
            <w:gridSpan w:val="36"/>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8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460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00" w:type="dxa"/>
            <w:vAlign w:val="bottom"/>
            <w:gridSpan w:val="4"/>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7"/>
                <w:szCs w:val="17"/>
                <w:color w:val="auto"/>
              </w:rPr>
            </w:pPr>
          </w:p>
        </w:tc>
      </w:tr>
      <w:tr>
        <w:trPr>
          <w:trHeight w:val="34"/>
        </w:trPr>
        <w:tc>
          <w:tcPr>
            <w:tcW w:w="360" w:type="dxa"/>
            <w:vAlign w:val="bottom"/>
            <w:gridSpan w:val="2"/>
          </w:tcPr>
          <w:p>
            <w:pPr>
              <w:spacing w:after="0"/>
              <w:rPr>
                <w:sz w:val="2"/>
                <w:szCs w:val="2"/>
                <w:color w:val="auto"/>
              </w:rPr>
            </w:pPr>
          </w:p>
        </w:tc>
        <w:tc>
          <w:tcPr>
            <w:tcW w:w="1660" w:type="dxa"/>
            <w:vAlign w:val="bottom"/>
            <w:tcBorders>
              <w:top w:val="single" w:sz="8" w:color="0000EE"/>
            </w:tcBorders>
            <w:gridSpan w:val="8"/>
          </w:tcPr>
          <w:p>
            <w:pPr>
              <w:spacing w:after="0"/>
              <w:rPr>
                <w:sz w:val="2"/>
                <w:szCs w:val="2"/>
                <w:color w:val="auto"/>
              </w:rPr>
            </w:pPr>
          </w:p>
        </w:tc>
        <w:tc>
          <w:tcPr>
            <w:tcW w:w="6200" w:type="dxa"/>
            <w:vAlign w:val="bottom"/>
            <w:gridSpan w:val="43"/>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720" w:type="dxa"/>
            <w:vAlign w:val="bottom"/>
            <w:tcBorders>
              <w:top w:val="single" w:sz="8" w:color="0000EE"/>
            </w:tcBorders>
            <w:gridSpan w:val="37"/>
            <w:shd w:val="clear" w:color="auto" w:fill="CCEEFF"/>
          </w:tcPr>
          <w:p>
            <w:pPr>
              <w:spacing w:after="0"/>
              <w:rPr>
                <w:sz w:val="2"/>
                <w:szCs w:val="2"/>
                <w:color w:val="auto"/>
              </w:rPr>
            </w:pPr>
          </w:p>
        </w:tc>
        <w:tc>
          <w:tcPr>
            <w:tcW w:w="2320" w:type="dxa"/>
            <w:vAlign w:val="bottom"/>
            <w:tcBorders>
              <w:top w:val="single" w:sz="8" w:color="CCEEFF"/>
            </w:tcBorders>
            <w:gridSpan w:val="15"/>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INDEPENDENT REGISTERED PUBLIC ACCOUNTING FIRM FEES AND OTHER MATTERS</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7200" w:type="dxa"/>
            <w:vAlign w:val="bottom"/>
            <w:tcBorders>
              <w:top w:val="single" w:sz="8" w:color="0000EE"/>
            </w:tcBorders>
            <w:gridSpan w:val="45"/>
          </w:tcPr>
          <w:p>
            <w:pPr>
              <w:spacing w:after="0"/>
              <w:rPr>
                <w:sz w:val="2"/>
                <w:szCs w:val="2"/>
                <w:color w:val="auto"/>
              </w:rPr>
            </w:pPr>
          </w:p>
        </w:tc>
        <w:tc>
          <w:tcPr>
            <w:tcW w:w="840" w:type="dxa"/>
            <w:vAlign w:val="bottom"/>
            <w:gridSpan w:val="7"/>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0000EE"/>
            </w:tcBorders>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3: APPROVAL, ON AN ADVISORY (NON-BINDING) BASIS, OF THE</w:t>
            </w:r>
          </w:p>
        </w:tc>
        <w:tc>
          <w:tcPr>
            <w:tcW w:w="1600" w:type="dxa"/>
            <w:vAlign w:val="bottom"/>
            <w:tcBorders>
              <w:bottom w:val="single" w:sz="8" w:color="CCEEFF"/>
            </w:tcBorders>
            <w:gridSpan w:val="9"/>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760" w:type="dxa"/>
            <w:vAlign w:val="bottom"/>
            <w:gridSpan w:val="4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COMPENSATION OF OUR NAMED EXECUTIVE OFFICERS</w:t>
            </w:r>
          </w:p>
        </w:tc>
        <w:tc>
          <w:tcPr>
            <w:tcW w:w="2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shd w:val="clear" w:color="auto" w:fill="CCEEFF"/>
          </w:tcPr>
          <w:p>
            <w:pPr>
              <w:spacing w:after="0"/>
              <w:rPr>
                <w:sz w:val="17"/>
                <w:szCs w:val="17"/>
                <w:color w:val="auto"/>
              </w:rPr>
            </w:pPr>
          </w:p>
        </w:tc>
      </w:tr>
      <w:tr>
        <w:trPr>
          <w:trHeight w:val="34"/>
        </w:trPr>
        <w:tc>
          <w:tcPr>
            <w:tcW w:w="360" w:type="dxa"/>
            <w:vAlign w:val="bottom"/>
            <w:tcBorders>
              <w:top w:val="single" w:sz="8" w:color="CCEEFF"/>
            </w:tcBorders>
            <w:gridSpan w:val="2"/>
            <w:shd w:val="clear" w:color="auto" w:fill="CCEEFF"/>
          </w:tcPr>
          <w:p>
            <w:pPr>
              <w:spacing w:after="0"/>
              <w:rPr>
                <w:sz w:val="2"/>
                <w:szCs w:val="2"/>
                <w:color w:val="auto"/>
              </w:rPr>
            </w:pPr>
          </w:p>
        </w:tc>
        <w:tc>
          <w:tcPr>
            <w:tcW w:w="4720" w:type="dxa"/>
            <w:vAlign w:val="bottom"/>
            <w:tcBorders>
              <w:top w:val="single" w:sz="8" w:color="0000EE"/>
            </w:tcBorders>
            <w:gridSpan w:val="31"/>
            <w:shd w:val="clear" w:color="auto" w:fill="CCEEFF"/>
          </w:tcPr>
          <w:p>
            <w:pPr>
              <w:spacing w:after="0"/>
              <w:rPr>
                <w:sz w:val="2"/>
                <w:szCs w:val="2"/>
                <w:color w:val="auto"/>
              </w:rPr>
            </w:pPr>
          </w:p>
        </w:tc>
        <w:tc>
          <w:tcPr>
            <w:tcW w:w="3140" w:type="dxa"/>
            <w:vAlign w:val="bottom"/>
            <w:tcBorders>
              <w:top w:val="single" w:sz="8" w:color="CCEEFF"/>
            </w:tcBorders>
            <w:gridSpan w:val="20"/>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PROPOSAL 4: APPROVAL OF AN AMENDMENT TO OUR CERTIFICATE OF INCORPORATION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60" w:type="dxa"/>
            <w:vAlign w:val="bottom"/>
            <w:tcBorders>
              <w:top w:val="single" w:sz="8" w:color="0000EE"/>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TO PROVIDE FOR EXCULPATION OF OFFICERS FROM BREACHES OF FIDUCIARY DUTY</w:t>
            </w:r>
          </w:p>
        </w:tc>
        <w:tc>
          <w:tcPr>
            <w:tcW w:w="60" w:type="dxa"/>
            <w:vAlign w:val="bottom"/>
            <w:tcBorders>
              <w:top w:val="single" w:sz="8" w:color="0000EE"/>
            </w:tcBorders>
          </w:tcPr>
          <w:p>
            <w:pPr>
              <w:spacing w:after="0"/>
              <w:rPr>
                <w:sz w:val="17"/>
                <w:szCs w:val="17"/>
                <w:color w:val="auto"/>
              </w:rPr>
            </w:pPr>
          </w:p>
        </w:tc>
        <w:tc>
          <w:tcPr>
            <w:tcW w:w="4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6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8"/>
              </w:rPr>
              <w:t>TO THE EXTENT PERMITTED BY THE GENERAL CORPORATION LAW OF THE STATE OF</w:t>
            </w:r>
          </w:p>
        </w:tc>
        <w:tc>
          <w:tcPr>
            <w:tcW w:w="5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DELAWARE</w:t>
            </w: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7"/>
                <w:szCs w:val="17"/>
                <w:color w:val="auto"/>
              </w:rPr>
            </w:pPr>
          </w:p>
        </w:tc>
      </w:tr>
      <w:tr>
        <w:trPr>
          <w:trHeight w:val="34"/>
        </w:trPr>
        <w:tc>
          <w:tcPr>
            <w:tcW w:w="360" w:type="dxa"/>
            <w:vAlign w:val="bottom"/>
            <w:gridSpan w:val="2"/>
          </w:tcPr>
          <w:p>
            <w:pPr>
              <w:spacing w:after="0"/>
              <w:rPr>
                <w:sz w:val="2"/>
                <w:szCs w:val="2"/>
                <w:color w:val="auto"/>
              </w:rPr>
            </w:pPr>
          </w:p>
        </w:tc>
        <w:tc>
          <w:tcPr>
            <w:tcW w:w="960" w:type="dxa"/>
            <w:vAlign w:val="bottom"/>
            <w:tcBorders>
              <w:top w:val="single" w:sz="8" w:color="0000EE"/>
            </w:tcBorders>
            <w:gridSpan w:val="3"/>
          </w:tcPr>
          <w:p>
            <w:pPr>
              <w:spacing w:after="0"/>
              <w:rPr>
                <w:sz w:val="2"/>
                <w:szCs w:val="2"/>
                <w:color w:val="auto"/>
              </w:rPr>
            </w:pPr>
          </w:p>
        </w:tc>
        <w:tc>
          <w:tcPr>
            <w:tcW w:w="6900" w:type="dxa"/>
            <w:vAlign w:val="bottom"/>
            <w:gridSpan w:val="48"/>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120" w:type="dxa"/>
            <w:vAlign w:val="bottom"/>
            <w:gridSpan w:val="5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5"/>
                <w:szCs w:val="15"/>
                <w:color w:val="auto"/>
              </w:rPr>
            </w:pPr>
          </w:p>
        </w:tc>
      </w:tr>
      <w:tr>
        <w:trPr>
          <w:trHeight w:val="34"/>
        </w:trPr>
        <w:tc>
          <w:tcPr>
            <w:tcW w:w="1880" w:type="dxa"/>
            <w:vAlign w:val="bottom"/>
            <w:tcBorders>
              <w:top w:val="single" w:sz="8" w:color="0000EE"/>
            </w:tcBorders>
            <w:gridSpan w:val="9"/>
            <w:shd w:val="clear" w:color="auto" w:fill="CCEEFF"/>
          </w:tcPr>
          <w:p>
            <w:pPr>
              <w:spacing w:after="0"/>
              <w:rPr>
                <w:sz w:val="2"/>
                <w:szCs w:val="2"/>
                <w:color w:val="auto"/>
              </w:rPr>
            </w:pPr>
          </w:p>
        </w:tc>
        <w:tc>
          <w:tcPr>
            <w:tcW w:w="6340" w:type="dxa"/>
            <w:vAlign w:val="bottom"/>
            <w:tcBorders>
              <w:top w:val="single" w:sz="8" w:color="CCEEFF"/>
            </w:tcBorders>
            <w:gridSpan w:val="44"/>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5"/>
                <w:szCs w:val="15"/>
                <w:color w:val="auto"/>
              </w:rPr>
            </w:pPr>
          </w:p>
        </w:tc>
      </w:tr>
      <w:tr>
        <w:trPr>
          <w:trHeight w:val="34"/>
        </w:trPr>
        <w:tc>
          <w:tcPr>
            <w:tcW w:w="2320" w:type="dxa"/>
            <w:vAlign w:val="bottom"/>
            <w:tcBorders>
              <w:top w:val="single" w:sz="8" w:color="0000EE"/>
            </w:tcBorders>
            <w:gridSpan w:val="13"/>
          </w:tcPr>
          <w:p>
            <w:pPr>
              <w:spacing w:after="0"/>
              <w:rPr>
                <w:sz w:val="2"/>
                <w:szCs w:val="2"/>
                <w:color w:val="auto"/>
              </w:rPr>
            </w:pPr>
          </w:p>
        </w:tc>
        <w:tc>
          <w:tcPr>
            <w:tcW w:w="5900" w:type="dxa"/>
            <w:vAlign w:val="bottom"/>
            <w:gridSpan w:val="40"/>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GENERAL</w:t>
            </w:r>
          </w:p>
        </w:tc>
        <w:tc>
          <w:tcPr>
            <w:tcW w:w="7100" w:type="dxa"/>
            <w:vAlign w:val="bottom"/>
            <w:gridSpan w:val="48"/>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gridSpan w:val="2"/>
            <w:shd w:val="clear" w:color="auto" w:fill="CCEEFF"/>
          </w:tcPr>
          <w:p>
            <w:pPr>
              <w:spacing w:after="0"/>
              <w:rPr>
                <w:sz w:val="2"/>
                <w:szCs w:val="2"/>
                <w:color w:val="auto"/>
              </w:rPr>
            </w:pPr>
          </w:p>
        </w:tc>
        <w:tc>
          <w:tcPr>
            <w:tcW w:w="7200" w:type="dxa"/>
            <w:vAlign w:val="bottom"/>
            <w:tcBorders>
              <w:top w:val="single" w:sz="8" w:color="CCEEFF"/>
            </w:tcBorders>
            <w:gridSpan w:val="50"/>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BOARD COMPOSITION</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1900" w:type="dxa"/>
            <w:vAlign w:val="bottom"/>
            <w:tcBorders>
              <w:top w:val="single" w:sz="8" w:color="0000EE"/>
            </w:tcBorders>
            <w:gridSpan w:val="11"/>
          </w:tcPr>
          <w:p>
            <w:pPr>
              <w:spacing w:after="0"/>
              <w:rPr>
                <w:sz w:val="2"/>
                <w:szCs w:val="2"/>
                <w:color w:val="auto"/>
              </w:rPr>
            </w:pPr>
          </w:p>
        </w:tc>
        <w:tc>
          <w:tcPr>
            <w:tcW w:w="6140" w:type="dxa"/>
            <w:vAlign w:val="bottom"/>
            <w:gridSpan w:val="41"/>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 INDEPENDENCE</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0000EE"/>
            </w:tcBorders>
            <w:gridSpan w:val="15"/>
            <w:shd w:val="clear" w:color="auto" w:fill="CCEEFF"/>
          </w:tcPr>
          <w:p>
            <w:pPr>
              <w:spacing w:after="0"/>
              <w:rPr>
                <w:sz w:val="2"/>
                <w:szCs w:val="2"/>
                <w:color w:val="auto"/>
              </w:rPr>
            </w:pPr>
          </w:p>
        </w:tc>
        <w:tc>
          <w:tcPr>
            <w:tcW w:w="5740" w:type="dxa"/>
            <w:vAlign w:val="bottom"/>
            <w:tcBorders>
              <w:top w:val="single" w:sz="8" w:color="CCEEFF"/>
            </w:tcBorders>
            <w:gridSpan w:val="37"/>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COMMUNICATIONS BY INTERESTED PARTIES</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3820" w:type="dxa"/>
            <w:vAlign w:val="bottom"/>
            <w:tcBorders>
              <w:top w:val="single" w:sz="8" w:color="0000EE"/>
            </w:tcBorders>
            <w:gridSpan w:val="29"/>
          </w:tcPr>
          <w:p>
            <w:pPr>
              <w:spacing w:after="0"/>
              <w:rPr>
                <w:sz w:val="2"/>
                <w:szCs w:val="2"/>
                <w:color w:val="auto"/>
              </w:rPr>
            </w:pPr>
          </w:p>
        </w:tc>
        <w:tc>
          <w:tcPr>
            <w:tcW w:w="4220" w:type="dxa"/>
            <w:vAlign w:val="bottom"/>
            <w:gridSpan w:val="23"/>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0000EE"/>
            </w:tcBorders>
            <w:gridSpan w:val="35"/>
            <w:shd w:val="clear" w:color="auto" w:fill="CCEEFF"/>
          </w:tcPr>
          <w:p>
            <w:pPr>
              <w:spacing w:after="0"/>
              <w:rPr>
                <w:sz w:val="2"/>
                <w:szCs w:val="2"/>
                <w:color w:val="auto"/>
              </w:rPr>
            </w:pPr>
          </w:p>
        </w:tc>
        <w:tc>
          <w:tcPr>
            <w:tcW w:w="2480" w:type="dxa"/>
            <w:vAlign w:val="bottom"/>
            <w:tcBorders>
              <w:top w:val="single" w:sz="8" w:color="CCEEFF"/>
            </w:tcBorders>
            <w:gridSpan w:val="17"/>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556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EXECUTIVE SESSIONS</w:t>
            </w:r>
          </w:p>
        </w:tc>
        <w:tc>
          <w:tcPr>
            <w:tcW w:w="2380" w:type="dxa"/>
            <w:vAlign w:val="bottom"/>
            <w:gridSpan w:val="15"/>
          </w:tcPr>
          <w:p>
            <w:pPr>
              <w:spacing w:after="0"/>
              <w:rPr>
                <w:sz w:val="15"/>
                <w:szCs w:val="15"/>
                <w:color w:val="auto"/>
              </w:rPr>
            </w:pP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1880" w:type="dxa"/>
            <w:vAlign w:val="bottom"/>
            <w:tcBorders>
              <w:top w:val="single" w:sz="8" w:color="0000EE"/>
            </w:tcBorders>
            <w:gridSpan w:val="10"/>
          </w:tcPr>
          <w:p>
            <w:pPr>
              <w:spacing w:after="0"/>
              <w:rPr>
                <w:sz w:val="2"/>
                <w:szCs w:val="2"/>
                <w:color w:val="auto"/>
              </w:rPr>
            </w:pPr>
          </w:p>
        </w:tc>
        <w:tc>
          <w:tcPr>
            <w:tcW w:w="6160" w:type="dxa"/>
            <w:vAlign w:val="bottom"/>
            <w:gridSpan w:val="42"/>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COMPLIANCE POLICY</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0000EE"/>
            </w:tcBorders>
            <w:gridSpan w:val="24"/>
            <w:shd w:val="clear" w:color="auto" w:fill="CCEEFF"/>
          </w:tcPr>
          <w:p>
            <w:pPr>
              <w:spacing w:after="0"/>
              <w:rPr>
                <w:sz w:val="2"/>
                <w:szCs w:val="2"/>
                <w:color w:val="auto"/>
              </w:rPr>
            </w:pPr>
          </w:p>
        </w:tc>
        <w:tc>
          <w:tcPr>
            <w:tcW w:w="4580" w:type="dxa"/>
            <w:vAlign w:val="bottom"/>
            <w:tcBorders>
              <w:top w:val="single" w:sz="8" w:color="CCEEFF"/>
            </w:tcBorders>
            <w:gridSpan w:val="28"/>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RECOVERY OF ERRONEOUSLY AWARDED COMPENSATION POLICY</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5640" w:type="dxa"/>
            <w:vAlign w:val="bottom"/>
            <w:tcBorders>
              <w:top w:val="single" w:sz="8" w:color="0000EE"/>
            </w:tcBorders>
            <w:gridSpan w:val="36"/>
          </w:tcPr>
          <w:p>
            <w:pPr>
              <w:spacing w:after="0"/>
              <w:rPr>
                <w:sz w:val="2"/>
                <w:szCs w:val="2"/>
                <w:color w:val="auto"/>
              </w:rPr>
            </w:pPr>
          </w:p>
        </w:tc>
        <w:tc>
          <w:tcPr>
            <w:tcW w:w="2400" w:type="dxa"/>
            <w:vAlign w:val="bottom"/>
            <w:gridSpan w:val="16"/>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42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EQUITY AWARD TIMING POLICIES AND PRACTICE</w:t>
            </w:r>
          </w:p>
        </w:tc>
        <w:tc>
          <w:tcPr>
            <w:tcW w:w="3700" w:type="dxa"/>
            <w:vAlign w:val="bottom"/>
            <w:gridSpan w:val="19"/>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240" w:type="dxa"/>
            <w:vAlign w:val="bottom"/>
            <w:tcBorders>
              <w:top w:val="single" w:sz="8" w:color="0000EE"/>
            </w:tcBorders>
            <w:gridSpan w:val="31"/>
            <w:shd w:val="clear" w:color="auto" w:fill="CCEEFF"/>
          </w:tcPr>
          <w:p>
            <w:pPr>
              <w:spacing w:after="0"/>
              <w:rPr>
                <w:sz w:val="2"/>
                <w:szCs w:val="2"/>
                <w:color w:val="auto"/>
              </w:rPr>
            </w:pPr>
          </w:p>
        </w:tc>
        <w:tc>
          <w:tcPr>
            <w:tcW w:w="3800" w:type="dxa"/>
            <w:vAlign w:val="bottom"/>
            <w:tcBorders>
              <w:top w:val="single" w:sz="8" w:color="CCEEFF"/>
            </w:tcBorders>
            <w:gridSpan w:val="21"/>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42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3700" w:type="dxa"/>
            <w:vAlign w:val="bottom"/>
            <w:gridSpan w:val="19"/>
          </w:tcPr>
          <w:p>
            <w:pPr>
              <w:spacing w:after="0"/>
              <w:rPr>
                <w:sz w:val="15"/>
                <w:szCs w:val="15"/>
                <w:color w:val="auto"/>
              </w:rPr>
            </w:pP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3680" w:type="dxa"/>
            <w:vAlign w:val="bottom"/>
            <w:tcBorders>
              <w:top w:val="single" w:sz="8" w:color="0000EE"/>
            </w:tcBorders>
            <w:gridSpan w:val="26"/>
          </w:tcPr>
          <w:p>
            <w:pPr>
              <w:spacing w:after="0"/>
              <w:rPr>
                <w:sz w:val="2"/>
                <w:szCs w:val="2"/>
                <w:color w:val="auto"/>
              </w:rPr>
            </w:pPr>
          </w:p>
        </w:tc>
        <w:tc>
          <w:tcPr>
            <w:tcW w:w="4360" w:type="dxa"/>
            <w:vAlign w:val="bottom"/>
            <w:gridSpan w:val="26"/>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ATTENDANCE BY MEMBERS OF THE BOARD OF DIRECTORS AT MEETINGS</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80" w:type="dxa"/>
            <w:vAlign w:val="bottom"/>
            <w:tcBorders>
              <w:top w:val="single" w:sz="8" w:color="0000EE"/>
            </w:tcBorders>
            <w:gridSpan w:val="40"/>
            <w:shd w:val="clear" w:color="auto" w:fill="CCEEFF"/>
          </w:tcPr>
          <w:p>
            <w:pPr>
              <w:spacing w:after="0"/>
              <w:rPr>
                <w:sz w:val="2"/>
                <w:szCs w:val="2"/>
                <w:color w:val="auto"/>
              </w:rPr>
            </w:pPr>
          </w:p>
        </w:tc>
        <w:tc>
          <w:tcPr>
            <w:tcW w:w="1760" w:type="dxa"/>
            <w:vAlign w:val="bottom"/>
            <w:tcBorders>
              <w:top w:val="single" w:sz="8" w:color="CCEEFF"/>
            </w:tcBorders>
            <w:gridSpan w:val="12"/>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COMMITTEES OF THE BOARD</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r>
      <w:tr>
        <w:trPr>
          <w:trHeight w:val="34"/>
        </w:trPr>
        <w:tc>
          <w:tcPr>
            <w:tcW w:w="2500" w:type="dxa"/>
            <w:vAlign w:val="bottom"/>
            <w:tcBorders>
              <w:top w:val="single" w:sz="8" w:color="0000EE"/>
            </w:tcBorders>
            <w:gridSpan w:val="17"/>
          </w:tcPr>
          <w:p>
            <w:pPr>
              <w:spacing w:after="0"/>
              <w:rPr>
                <w:sz w:val="2"/>
                <w:szCs w:val="2"/>
                <w:color w:val="auto"/>
              </w:rPr>
            </w:pPr>
          </w:p>
        </w:tc>
        <w:tc>
          <w:tcPr>
            <w:tcW w:w="5720" w:type="dxa"/>
            <w:vAlign w:val="bottom"/>
            <w:gridSpan w:val="36"/>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0000EE"/>
            </w:tcBorders>
            <w:gridSpan w:val="7"/>
            <w:shd w:val="clear" w:color="auto" w:fill="CCEEFF"/>
          </w:tcPr>
          <w:p>
            <w:pPr>
              <w:spacing w:after="0"/>
              <w:rPr>
                <w:sz w:val="2"/>
                <w:szCs w:val="2"/>
                <w:color w:val="auto"/>
              </w:rPr>
            </w:pPr>
          </w:p>
        </w:tc>
        <w:tc>
          <w:tcPr>
            <w:tcW w:w="6380" w:type="dxa"/>
            <w:vAlign w:val="bottom"/>
            <w:tcBorders>
              <w:top w:val="single" w:sz="8" w:color="CCEEFF"/>
            </w:tcBorders>
            <w:gridSpan w:val="45"/>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COMPENSATION COMMITTEE</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2500" w:type="dxa"/>
            <w:vAlign w:val="bottom"/>
            <w:tcBorders>
              <w:top w:val="single" w:sz="8" w:color="0000EE"/>
            </w:tcBorders>
            <w:gridSpan w:val="18"/>
          </w:tcPr>
          <w:p>
            <w:pPr>
              <w:spacing w:after="0"/>
              <w:rPr>
                <w:sz w:val="2"/>
                <w:szCs w:val="2"/>
                <w:color w:val="auto"/>
              </w:rPr>
            </w:pPr>
          </w:p>
        </w:tc>
        <w:tc>
          <w:tcPr>
            <w:tcW w:w="5540" w:type="dxa"/>
            <w:vAlign w:val="bottom"/>
            <w:gridSpan w:val="34"/>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060" w:type="dxa"/>
            <w:vAlign w:val="bottom"/>
            <w:tcBorders>
              <w:top w:val="single" w:sz="8" w:color="0000EE"/>
            </w:tcBorders>
            <w:gridSpan w:val="33"/>
            <w:shd w:val="clear" w:color="auto" w:fill="CCEEFF"/>
          </w:tcPr>
          <w:p>
            <w:pPr>
              <w:spacing w:after="0"/>
              <w:rPr>
                <w:sz w:val="2"/>
                <w:szCs w:val="2"/>
                <w:color w:val="auto"/>
              </w:rPr>
            </w:pPr>
          </w:p>
        </w:tc>
        <w:tc>
          <w:tcPr>
            <w:tcW w:w="2980" w:type="dxa"/>
            <w:vAlign w:val="bottom"/>
            <w:tcBorders>
              <w:top w:val="single" w:sz="8" w:color="CCEEFF"/>
            </w:tcBorders>
            <w:gridSpan w:val="19"/>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5"/>
                <w:szCs w:val="15"/>
                <w:color w:val="auto"/>
              </w:rPr>
            </w:pPr>
          </w:p>
        </w:tc>
      </w:tr>
      <w:tr>
        <w:trPr>
          <w:trHeight w:val="34"/>
        </w:trPr>
        <w:tc>
          <w:tcPr>
            <w:tcW w:w="2440" w:type="dxa"/>
            <w:vAlign w:val="bottom"/>
            <w:tcBorders>
              <w:top w:val="single" w:sz="8" w:color="0000EE"/>
            </w:tcBorders>
            <w:gridSpan w:val="14"/>
          </w:tcPr>
          <w:p>
            <w:pPr>
              <w:spacing w:after="0"/>
              <w:rPr>
                <w:sz w:val="2"/>
                <w:szCs w:val="2"/>
                <w:color w:val="auto"/>
              </w:rPr>
            </w:pPr>
          </w:p>
        </w:tc>
        <w:tc>
          <w:tcPr>
            <w:tcW w:w="5780" w:type="dxa"/>
            <w:vAlign w:val="bottom"/>
            <w:gridSpan w:val="39"/>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80" w:type="dxa"/>
            <w:vAlign w:val="bottom"/>
            <w:shd w:val="clear" w:color="auto" w:fill="CCEEFF"/>
          </w:tcPr>
          <w:p>
            <w:pPr>
              <w:spacing w:after="0"/>
              <w:rPr>
                <w:sz w:val="15"/>
                <w:szCs w:val="15"/>
                <w:color w:val="auto"/>
              </w:rPr>
            </w:pPr>
          </w:p>
        </w:tc>
        <w:tc>
          <w:tcPr>
            <w:tcW w:w="794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 (PVP)</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shd w:val="clear" w:color="auto" w:fill="CCEEFF"/>
          </w:tcPr>
          <w:p>
            <w:pPr>
              <w:spacing w:after="0"/>
              <w:rPr>
                <w:sz w:val="15"/>
                <w:szCs w:val="15"/>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0000EE"/>
            </w:tcBorders>
            <w:gridSpan w:val="20"/>
            <w:shd w:val="clear" w:color="auto" w:fill="CCEEFF"/>
          </w:tcPr>
          <w:p>
            <w:pPr>
              <w:spacing w:after="0"/>
              <w:rPr>
                <w:sz w:val="2"/>
                <w:szCs w:val="2"/>
                <w:color w:val="auto"/>
              </w:rPr>
            </w:pPr>
          </w:p>
        </w:tc>
        <w:tc>
          <w:tcPr>
            <w:tcW w:w="5120" w:type="dxa"/>
            <w:vAlign w:val="bottom"/>
            <w:tcBorders>
              <w:top w:val="single" w:sz="8" w:color="CCEEFF"/>
            </w:tcBorders>
            <w:gridSpan w:val="32"/>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15"/>
                <w:szCs w:val="15"/>
                <w:color w:val="auto"/>
              </w:rPr>
            </w:pPr>
          </w:p>
        </w:tc>
      </w:tr>
      <w:tr>
        <w:trPr>
          <w:trHeight w:val="34"/>
        </w:trPr>
        <w:tc>
          <w:tcPr>
            <w:tcW w:w="2320" w:type="dxa"/>
            <w:vAlign w:val="bottom"/>
            <w:tcBorders>
              <w:top w:val="single" w:sz="8" w:color="0000EE"/>
            </w:tcBorders>
            <w:gridSpan w:val="13"/>
          </w:tcPr>
          <w:p>
            <w:pPr>
              <w:spacing w:after="0"/>
              <w:rPr>
                <w:sz w:val="2"/>
                <w:szCs w:val="2"/>
                <w:color w:val="auto"/>
              </w:rPr>
            </w:pPr>
          </w:p>
        </w:tc>
        <w:tc>
          <w:tcPr>
            <w:tcW w:w="5900" w:type="dxa"/>
            <w:vAlign w:val="bottom"/>
            <w:gridSpan w:val="40"/>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39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4220" w:type="dxa"/>
            <w:vAlign w:val="bottom"/>
            <w:gridSpan w:val="23"/>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shd w:val="clear" w:color="auto" w:fill="CCEEFF"/>
          </w:tcPr>
          <w:p>
            <w:pPr>
              <w:spacing w:after="0"/>
              <w:rPr>
                <w:sz w:val="15"/>
                <w:szCs w:val="15"/>
                <w:color w:val="auto"/>
              </w:rPr>
            </w:pPr>
          </w:p>
        </w:tc>
      </w:tr>
      <w:tr>
        <w:trPr>
          <w:trHeight w:val="34"/>
        </w:trPr>
        <w:tc>
          <w:tcPr>
            <w:tcW w:w="3900" w:type="dxa"/>
            <w:vAlign w:val="bottom"/>
            <w:tcBorders>
              <w:top w:val="single" w:sz="8" w:color="0000EE"/>
            </w:tcBorders>
            <w:gridSpan w:val="28"/>
            <w:shd w:val="clear" w:color="auto" w:fill="CCEEFF"/>
          </w:tcPr>
          <w:p>
            <w:pPr>
              <w:spacing w:after="0"/>
              <w:rPr>
                <w:sz w:val="2"/>
                <w:szCs w:val="2"/>
                <w:color w:val="auto"/>
              </w:rPr>
            </w:pPr>
          </w:p>
        </w:tc>
        <w:tc>
          <w:tcPr>
            <w:tcW w:w="4320" w:type="dxa"/>
            <w:vAlign w:val="bottom"/>
            <w:tcBorders>
              <w:top w:val="single" w:sz="8" w:color="CCEEFF"/>
            </w:tcBorders>
            <w:gridSpan w:val="25"/>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5"/>
                <w:szCs w:val="15"/>
                <w:color w:val="auto"/>
              </w:rPr>
            </w:pPr>
          </w:p>
        </w:tc>
      </w:tr>
      <w:tr>
        <w:trPr>
          <w:trHeight w:val="34"/>
        </w:trPr>
        <w:tc>
          <w:tcPr>
            <w:tcW w:w="6720" w:type="dxa"/>
            <w:vAlign w:val="bottom"/>
            <w:tcBorders>
              <w:top w:val="single" w:sz="8" w:color="0000EE"/>
            </w:tcBorders>
            <w:gridSpan w:val="43"/>
          </w:tcPr>
          <w:p>
            <w:pPr>
              <w:spacing w:after="0"/>
              <w:rPr>
                <w:sz w:val="2"/>
                <w:szCs w:val="2"/>
                <w:color w:val="auto"/>
              </w:rPr>
            </w:pPr>
          </w:p>
        </w:tc>
        <w:tc>
          <w:tcPr>
            <w:tcW w:w="1500" w:type="dxa"/>
            <w:vAlign w:val="bottom"/>
            <w:gridSpan w:val="10"/>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120" w:type="dxa"/>
            <w:vAlign w:val="bottom"/>
            <w:gridSpan w:val="5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shd w:val="clear" w:color="auto" w:fill="CCEEFF"/>
          </w:tcPr>
          <w:p>
            <w:pPr>
              <w:spacing w:after="0"/>
              <w:rPr>
                <w:sz w:val="15"/>
                <w:szCs w:val="15"/>
                <w:color w:val="auto"/>
              </w:rPr>
            </w:pPr>
          </w:p>
        </w:tc>
      </w:tr>
      <w:tr>
        <w:trPr>
          <w:trHeight w:val="34"/>
        </w:trPr>
        <w:tc>
          <w:tcPr>
            <w:tcW w:w="5580" w:type="dxa"/>
            <w:vAlign w:val="bottom"/>
            <w:tcBorders>
              <w:top w:val="single" w:sz="8" w:color="0000EE"/>
            </w:tcBorders>
            <w:gridSpan w:val="35"/>
            <w:shd w:val="clear" w:color="auto" w:fill="CCEEFF"/>
          </w:tcPr>
          <w:p>
            <w:pPr>
              <w:spacing w:after="0"/>
              <w:rPr>
                <w:sz w:val="2"/>
                <w:szCs w:val="2"/>
                <w:color w:val="auto"/>
              </w:rPr>
            </w:pPr>
          </w:p>
        </w:tc>
        <w:tc>
          <w:tcPr>
            <w:tcW w:w="2640" w:type="dxa"/>
            <w:vAlign w:val="bottom"/>
            <w:tcBorders>
              <w:top w:val="single" w:sz="8" w:color="CCEEFF"/>
            </w:tcBorders>
            <w:gridSpan w:val="18"/>
            <w:shd w:val="clear" w:color="auto" w:fill="CCEEFF"/>
          </w:tcPr>
          <w:p>
            <w:pPr>
              <w:spacing w:after="0"/>
              <w:rPr>
                <w:sz w:val="2"/>
                <w:szCs w:val="2"/>
                <w:color w:val="auto"/>
              </w:rPr>
            </w:pPr>
          </w:p>
        </w:tc>
        <w:tc>
          <w:tcPr>
            <w:tcW w:w="18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POLICIES AND PROCEDURES FOR RELATED PERSON TRANSACTIONS</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5820" w:type="dxa"/>
            <w:vAlign w:val="bottom"/>
            <w:tcBorders>
              <w:top w:val="single" w:sz="8" w:color="0000EE"/>
            </w:tcBorders>
            <w:gridSpan w:val="38"/>
          </w:tcPr>
          <w:p>
            <w:pPr>
              <w:spacing w:after="0"/>
              <w:rPr>
                <w:sz w:val="2"/>
                <w:szCs w:val="2"/>
                <w:color w:val="auto"/>
              </w:rPr>
            </w:pPr>
          </w:p>
        </w:tc>
        <w:tc>
          <w:tcPr>
            <w:tcW w:w="2220" w:type="dxa"/>
            <w:vAlign w:val="bottom"/>
            <w:gridSpan w:val="14"/>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80" w:type="dxa"/>
            <w:vAlign w:val="bottom"/>
            <w:tcBorders>
              <w:bottom w:val="single" w:sz="8" w:color="CCEEFF"/>
            </w:tcBorders>
            <w:shd w:val="clear" w:color="auto" w:fill="CCEEFF"/>
          </w:tcPr>
          <w:p>
            <w:pPr>
              <w:spacing w:after="0"/>
              <w:rPr>
                <w:sz w:val="18"/>
                <w:szCs w:val="18"/>
                <w:color w:val="auto"/>
              </w:rPr>
            </w:pPr>
          </w:p>
        </w:tc>
        <w:tc>
          <w:tcPr>
            <w:tcW w:w="7540" w:type="dxa"/>
            <w:vAlign w:val="bottom"/>
            <w:tcBorders>
              <w:bottom w:val="single" w:sz="8" w:color="0000EE"/>
            </w:tcBorders>
            <w:gridSpan w:val="4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TRANSACTIONS RELATED TO DIRECTORS, EQUITY HOLDERS AND EXECUTIVE OFFICERS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8120" w:type="dxa"/>
            <w:vAlign w:val="bottom"/>
            <w:gridSpan w:val="51"/>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5"/>
                <w:szCs w:val="15"/>
                <w:color w:val="auto"/>
              </w:rPr>
            </w:pPr>
          </w:p>
        </w:tc>
      </w:tr>
      <w:tr>
        <w:trPr>
          <w:trHeight w:val="34"/>
        </w:trPr>
        <w:tc>
          <w:tcPr>
            <w:tcW w:w="1460" w:type="dxa"/>
            <w:vAlign w:val="bottom"/>
            <w:tcBorders>
              <w:top w:val="single" w:sz="8" w:color="0000EE"/>
            </w:tcBorders>
            <w:gridSpan w:val="6"/>
          </w:tcPr>
          <w:p>
            <w:pPr>
              <w:spacing w:after="0"/>
              <w:rPr>
                <w:sz w:val="2"/>
                <w:szCs w:val="2"/>
                <w:color w:val="auto"/>
              </w:rPr>
            </w:pPr>
          </w:p>
        </w:tc>
        <w:tc>
          <w:tcPr>
            <w:tcW w:w="6760" w:type="dxa"/>
            <w:vAlign w:val="bottom"/>
            <w:gridSpan w:val="47"/>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4740" w:type="dxa"/>
            <w:vAlign w:val="bottom"/>
            <w:tcBorders>
              <w:bottom w:val="single" w:sz="8" w:color="CCEEFF"/>
            </w:tcBorders>
            <w:gridSpan w:val="28"/>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6200" w:type="dxa"/>
            <w:vAlign w:val="bottom"/>
            <w:tcBorders>
              <w:top w:val="single" w:sz="8" w:color="0000EE"/>
            </w:tcBorders>
            <w:gridSpan w:val="39"/>
          </w:tcPr>
          <w:p>
            <w:pPr>
              <w:spacing w:after="0"/>
              <w:rPr>
                <w:sz w:val="2"/>
                <w:szCs w:val="2"/>
                <w:color w:val="auto"/>
              </w:rPr>
            </w:pPr>
          </w:p>
        </w:tc>
        <w:tc>
          <w:tcPr>
            <w:tcW w:w="1840" w:type="dxa"/>
            <w:vAlign w:val="bottom"/>
            <w:gridSpan w:val="13"/>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8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STOCKHOLDERS’ PROPOSALS</w:t>
            </w:r>
          </w:p>
        </w:tc>
        <w:tc>
          <w:tcPr>
            <w:tcW w:w="5400" w:type="dxa"/>
            <w:vAlign w:val="bottom"/>
            <w:tcBorders>
              <w:bottom w:val="single" w:sz="8" w:color="CCEEFF"/>
            </w:tcBorders>
            <w:gridSpan w:val="31"/>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OTHER MATTERS AT THE ANNUAL MEETING</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3780" w:type="dxa"/>
            <w:vAlign w:val="bottom"/>
            <w:tcBorders>
              <w:top w:val="single" w:sz="8" w:color="0000EE"/>
            </w:tcBorders>
            <w:gridSpan w:val="28"/>
          </w:tcPr>
          <w:p>
            <w:pPr>
              <w:spacing w:after="0"/>
              <w:rPr>
                <w:sz w:val="2"/>
                <w:szCs w:val="2"/>
                <w:color w:val="auto"/>
              </w:rPr>
            </w:pPr>
          </w:p>
        </w:tc>
        <w:tc>
          <w:tcPr>
            <w:tcW w:w="4260" w:type="dxa"/>
            <w:vAlign w:val="bottom"/>
            <w:gridSpan w:val="24"/>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SOLICITATION OF PROXIES</w:t>
            </w:r>
          </w:p>
        </w:tc>
        <w:tc>
          <w:tcPr>
            <w:tcW w:w="5660" w:type="dxa"/>
            <w:vAlign w:val="bottom"/>
            <w:tcBorders>
              <w:bottom w:val="single" w:sz="8" w:color="CCEEFF"/>
            </w:tcBorders>
            <w:gridSpan w:val="36"/>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180" w:type="dxa"/>
            <w:vAlign w:val="bottom"/>
          </w:tcPr>
          <w:p>
            <w:pPr>
              <w:spacing w:after="0"/>
              <w:rPr>
                <w:sz w:val="15"/>
                <w:szCs w:val="15"/>
                <w:color w:val="auto"/>
              </w:rPr>
            </w:pPr>
          </w:p>
        </w:tc>
        <w:tc>
          <w:tcPr>
            <w:tcW w:w="794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OUSTER’S ANNUAL REPORT ON FORM 10-K</w:t>
            </w:r>
          </w:p>
        </w:tc>
        <w:tc>
          <w:tcPr>
            <w:tcW w:w="2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5"/>
                <w:szCs w:val="15"/>
                <w:color w:val="auto"/>
              </w:rPr>
            </w:pPr>
          </w:p>
        </w:tc>
      </w:tr>
      <w:tr>
        <w:trPr>
          <w:trHeight w:val="34"/>
        </w:trPr>
        <w:tc>
          <w:tcPr>
            <w:tcW w:w="180" w:type="dxa"/>
            <w:vAlign w:val="bottom"/>
          </w:tcPr>
          <w:p>
            <w:pPr>
              <w:spacing w:after="0"/>
              <w:rPr>
                <w:sz w:val="2"/>
                <w:szCs w:val="2"/>
                <w:color w:val="auto"/>
              </w:rPr>
            </w:pPr>
          </w:p>
        </w:tc>
        <w:tc>
          <w:tcPr>
            <w:tcW w:w="3660" w:type="dxa"/>
            <w:vAlign w:val="bottom"/>
            <w:tcBorders>
              <w:top w:val="single" w:sz="8" w:color="0000EE"/>
            </w:tcBorders>
            <w:gridSpan w:val="25"/>
          </w:tcPr>
          <w:p>
            <w:pPr>
              <w:spacing w:after="0"/>
              <w:rPr>
                <w:sz w:val="2"/>
                <w:szCs w:val="2"/>
                <w:color w:val="auto"/>
              </w:rPr>
            </w:pPr>
          </w:p>
        </w:tc>
        <w:tc>
          <w:tcPr>
            <w:tcW w:w="4380" w:type="dxa"/>
            <w:vAlign w:val="bottom"/>
            <w:gridSpan w:val="27"/>
          </w:tcPr>
          <w:p>
            <w:pPr>
              <w:spacing w:after="0"/>
              <w:rPr>
                <w:sz w:val="2"/>
                <w:szCs w:val="2"/>
                <w:color w:val="auto"/>
              </w:rPr>
            </w:pPr>
          </w:p>
        </w:tc>
        <w:tc>
          <w:tcPr>
            <w:tcW w:w="18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120" w:type="dxa"/>
            <w:vAlign w:val="bottom"/>
            <w:gridSpan w:val="5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A OUSTER, INC. AMENDMENT TO THE CERTIFICATE OF INCORPORATION</w:t>
            </w:r>
          </w:p>
        </w:tc>
        <w:tc>
          <w:tcPr>
            <w:tcW w:w="2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2"/>
              </w:rPr>
              <w:t>A-1</w:t>
            </w:r>
          </w:p>
        </w:tc>
      </w:tr>
      <w:tr>
        <w:trPr>
          <w:trHeight w:val="74"/>
        </w:trPr>
        <w:tc>
          <w:tcPr>
            <w:tcW w:w="6820" w:type="dxa"/>
            <w:vAlign w:val="bottom"/>
            <w:tcBorders>
              <w:top w:val="single" w:sz="8" w:color="0000EE"/>
            </w:tcBorders>
            <w:gridSpan w:val="44"/>
            <w:shd w:val="clear" w:color="auto" w:fill="CCEEFF"/>
          </w:tcPr>
          <w:p>
            <w:pPr>
              <w:spacing w:after="0"/>
              <w:rPr>
                <w:sz w:val="6"/>
                <w:szCs w:val="6"/>
                <w:color w:val="auto"/>
              </w:rPr>
            </w:pPr>
          </w:p>
        </w:tc>
        <w:tc>
          <w:tcPr>
            <w:tcW w:w="1320" w:type="dxa"/>
            <w:vAlign w:val="bottom"/>
            <w:tcBorders>
              <w:top w:val="single" w:sz="8" w:color="CCEEFF"/>
            </w:tcBorders>
            <w:gridSpan w:val="8"/>
            <w:shd w:val="clear" w:color="auto" w:fill="CCEEFF"/>
          </w:tcPr>
          <w:p>
            <w:pPr>
              <w:spacing w:after="0"/>
              <w:rPr>
                <w:sz w:val="6"/>
                <w:szCs w:val="6"/>
                <w:color w:val="auto"/>
              </w:rPr>
            </w:pPr>
          </w:p>
        </w:tc>
        <w:tc>
          <w:tcPr>
            <w:tcW w:w="280" w:type="dxa"/>
            <w:vAlign w:val="bottom"/>
            <w:tcBorders>
              <w:top w:val="single" w:sz="8" w:color="0000EE"/>
            </w:tcBorders>
            <w:gridSpan w:val="4"/>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OUSTER,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350 TREAT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 94110</w:t>
      </w:r>
    </w:p>
    <w:p>
      <w:pPr>
        <w:spacing w:after="0" w:line="9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of Ouster, Inc. (“Ouster,” “we,” “us,” or the “Company”) of proxies to be voted at Ouster’s Annual Meeting of Stockholders to be held on Wednesday, June 18, 2025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 w:cs="Times New Roman" w:eastAsia="Times New Roman" w:hAnsi="Times New Roman"/>
          <w:sz w:val="18"/>
          <w:szCs w:val="18"/>
          <w:i w:val="1"/>
          <w:iCs w:val="1"/>
          <w:color w:val="auto"/>
        </w:rPr>
        <w:t>www.virtualshareholdermeeting.com/OUST2025</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Holders of record of outstanding shares of common stock at the close of business on April 21, 2025 (the “Record Date”) will be entitled to notice of and to vote at the Annual Meeting and any continuation, postponement or adjournment of the Annual Meeting. At the close of business on the Record Date, there were 53,794,970 shares of common stock issued and outstanding and entitled to vote at the Annual Meeting.</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fiscal year ended December 31, 2024 (the “2024 Annual Report”) will be released on or about April 28, 2025 to Ouster’s stockholders on the Record Date.</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Agreement and Plan of Merger with Velodyne, Merger Sub I and Merger Sub II (the “Velodyne Merger”).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WEDNESDAY, JUNE 18,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This Proxy Statement and our 2024 Annual Report to Stockholders are available at </w:t>
      </w:r>
      <w:r>
        <w:rPr>
          <w:rFonts w:ascii="Times New Roman" w:cs="Times New Roman" w:eastAsia="Times New Roman" w:hAnsi="Times New Roman"/>
          <w:sz w:val="18"/>
          <w:szCs w:val="18"/>
          <w:b w:val="1"/>
          <w:bCs w:val="1"/>
          <w:i w:val="1"/>
          <w:iCs w:val="1"/>
          <w:color w:val="auto"/>
        </w:rPr>
        <w:t>http://www.proxyvote.com/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2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elect Christina C. Correia, Stephen A. Skaggs and Ernest E. Maddock as Class I Directors to serve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439" w:hanging="468"/>
        <w:spacing w:after="0" w:line="26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2028 annual meeting of stockholders and until their respective successors shall have been duly elected and qualified;</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for the fiscal year ending December 31, 2025;</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 approve, on an advisory (non-binding)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ind w:left="940" w:hanging="46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to provide for exculpation of officers from</w:t>
      </w:r>
    </w:p>
    <w:p>
      <w:pPr>
        <w:spacing w:after="0" w:line="27" w:lineRule="exact"/>
        <w:rPr>
          <w:rFonts w:ascii="Times New Roman" w:cs="Times New Roman" w:eastAsia="Times New Roman" w:hAnsi="Times New Roman"/>
          <w:sz w:val="18"/>
          <w:szCs w:val="18"/>
          <w:color w:val="auto"/>
        </w:rPr>
      </w:pPr>
    </w:p>
    <w:p>
      <w:pPr>
        <w:ind w:left="940" w:right="1079" w:hanging="468"/>
        <w:spacing w:after="0" w:line="255"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fiduciary duty to the extent permitted by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-407035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postponement, or adjournment of the Annual Meeting.</w:t>
      </w:r>
    </w:p>
    <w:p>
      <w:pPr>
        <w:spacing w:after="0" w:line="16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Company’s Board of Directors (the “Board”) unanimously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election of each of Christina C. Correia, Stephen A. Skaggs and Ernest E. Maddock as 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ratification of the appointment of PricewaterhouseCoopers LLP as our independent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accounting firm for the fiscal year ending December 31, 2025;</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approval, on an advisory (non-binding) basis, of the compensation of our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hanging="468"/>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approval of an amendment to our Certificate of Incorporation to provide for exculpation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-119380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40" w:right="699" w:hanging="468"/>
        <w:spacing w:after="0" w:line="274"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from breaches of fiduciary duty to the extent permitted by the General Corporation Law of the State of Delaware.</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Ouster’s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is soliciting your proxy to vote your shares at the Annual Meeting. This proxy statement includes information that we are required to provide to you under the rules of the Securities and Exchange Commission (the “SEC”) and that is designed to assist you in voting your shares.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Ouster is making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its 2024 Annual Report available to its stockholders electronically via the Internet. On or about April 28,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Printed Copies of Our Proxy Materials</w:t>
      </w:r>
      <w:r>
        <w:rPr>
          <w:rFonts w:ascii="Times New Roman" w:cs="Times New Roman" w:eastAsia="Times New Roman" w:hAnsi="Times New Roman"/>
          <w:sz w:val="18"/>
          <w:szCs w:val="18"/>
          <w:color w:val="auto"/>
        </w:rPr>
        <w:t>. If you received printed copies of our proxy materials, then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how you can vote are contained on the proxy card included in the materials.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 The SEC’s rules permit us and intermediaries (such as brokers, banks and other agents) to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w:t>
      </w:r>
    </w:p>
    <w:p>
      <w:pPr>
        <w:spacing w:after="0" w:line="7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set of future proxy materials for your household, please contact Broadridge at the above phone number or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Record Date for the Annual Meeting is April 21, 2025.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53,794,970 shares of common stock issued and outstanding and entitled to vote at the Annual Meeting.</w:t>
      </w:r>
    </w:p>
    <w:p>
      <w:pPr>
        <w:spacing w:after="0" w:line="183"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wp:posOffset>
            </wp:positionV>
            <wp:extent cx="5349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are held in the name of a bank, broker or other agent on a person’s behalf.</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represented by remote communication or represented by proxy, of the holders of one third (1/3) in voting power of common stock issued and outstanding and entitled to vote on the Record Date will constitute a quorum.</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then either (i) the person presiding over the Annual Meeting or (ii) a majority in voting power of the stockholders entitled to vote at the Annual Meeting, present by remote communication or represented by proxy, may adjourn the Annual Meeting until a quorum is present or represented.</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AND VOTE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 w:cs="Times New Roman" w:eastAsia="Times New Roman" w:hAnsi="Times New Roman"/>
          <w:sz w:val="18"/>
          <w:szCs w:val="18"/>
          <w:i w:val="1"/>
          <w:iCs w:val="1"/>
          <w:color w:val="auto"/>
        </w:rPr>
        <w:t>www.virtualshareholdermeeting.com/OUST2025</w:t>
      </w:r>
      <w:r>
        <w:rPr>
          <w:rFonts w:ascii="Times New Roman" w:cs="Times New Roman" w:eastAsia="Times New Roman" w:hAnsi="Times New Roman"/>
          <w:sz w:val="18"/>
          <w:szCs w:val="18"/>
          <w:color w:val="auto"/>
        </w:rPr>
        <w:t>. You will also be able to vote your shares electronically at the Annual Meeting.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hold your shares through a bank or broker, instructions should also be provided on the voting instruction card provided by your bank or brokerage firm. If you lose your 16-digit control number, you may join the Annual Meeting as a “Guest,” but you will not be able to vote or ask questions.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MEETING HELD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believe that hosting a virtual meeting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w:t>
      </w:r>
    </w:p>
    <w:p>
      <w:pPr>
        <w:spacing w:after="0" w:line="324" w:lineRule="exact"/>
        <w:rPr>
          <w:sz w:val="20"/>
          <w:szCs w:val="20"/>
          <w:color w:val="auto"/>
        </w:rPr>
      </w:pPr>
    </w:p>
    <w:p>
      <w:pPr>
        <w:ind w:left="300" w:right="819"/>
        <w:spacing w:after="0" w:line="317" w:lineRule="auto"/>
        <w:rPr>
          <w:sz w:val="20"/>
          <w:szCs w:val="20"/>
          <w:color w:val="auto"/>
        </w:rPr>
      </w:pPr>
      <w:r>
        <w:rPr>
          <w:rFonts w:ascii="Times New Roman" w:cs="Times New Roman" w:eastAsia="Times New Roman" w:hAnsi="Times New Roman"/>
          <w:sz w:val="17"/>
          <w:szCs w:val="17"/>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-21590</wp:posOffset>
            </wp:positionV>
            <wp:extent cx="5349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website. If you encounter any difficulties accessing the Annual Meeting, please call the technical support number that will be posted on the Annual Meeting login page.</w:t>
      </w:r>
    </w:p>
    <w:p>
      <w:pPr>
        <w:spacing w:after="0" w:line="334"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recommend that stockholders vote by proxy even if they plan to participate in the Annual Meeting. If you are a stockholder of record, you may vote by proxy:</w:t>
      </w:r>
    </w:p>
    <w:p>
      <w:pPr>
        <w:spacing w:after="0" w:line="52" w:lineRule="exact"/>
        <w:rPr>
          <w:sz w:val="20"/>
          <w:szCs w:val="20"/>
          <w:color w:val="auto"/>
        </w:rPr>
      </w:pPr>
    </w:p>
    <w:p>
      <w:pPr>
        <w:ind w:left="1000" w:right="319" w:hanging="348"/>
        <w:spacing w:after="0" w:line="28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Telephone—You can vote by telephone by calling (800) 690-6903 and following the instructions on the proxy card;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Mail—You can vote by mail by signing, dating and mailing the proxy card, which you may have received by mail.</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8:59 p.m., Pacific Time, on June 17, 2025.</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To participate in the Annual Meeting, including to vote via the Internet during the Annual Meeting, you will need to visit </w:t>
      </w:r>
      <w:r>
        <w:rPr>
          <w:rFonts w:ascii="Times New Roman" w:cs="Times New Roman" w:eastAsia="Times New Roman" w:hAnsi="Times New Roman"/>
          <w:sz w:val="18"/>
          <w:szCs w:val="18"/>
          <w:i w:val="1"/>
          <w:iCs w:val="1"/>
          <w:color w:val="auto"/>
        </w:rPr>
        <w:t>www.virtualshareholdermeeting.com/OUST2025</w:t>
      </w:r>
      <w:r>
        <w:rPr>
          <w:rFonts w:ascii="Times New Roman" w:cs="Times New Roman" w:eastAsia="Times New Roman" w:hAnsi="Times New Roman"/>
          <w:sz w:val="18"/>
          <w:szCs w:val="18"/>
          <w:color w:val="auto"/>
        </w:rPr>
        <w:t xml:space="preserve"> and enter the 16-digit control number included on your Internet Notice, proxy card or the instructions that accompanied your proxy materials. The Annual Meeting webcast will begin promptly at 10:00 a.m., Pacific Time, on June 18, 2025.</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If your shares are held in “street name” through a bank, broker or other nominee, you will receive instructions on how to vote from the bank or brokerage firm.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 w:cs="Times New Roman" w:eastAsia="Times New Roman" w:hAnsi="Times New Roman"/>
          <w:sz w:val="18"/>
          <w:szCs w:val="18"/>
          <w:i w:val="1"/>
          <w:iCs w:val="1"/>
          <w:color w:val="auto"/>
        </w:rPr>
        <w:t>www.virtualshareholdermeeting.com/OUST2025</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 If you are a stockholder of record,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5"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granting a subsequent proxy through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telephone by calling (800) 690-6903;</w:t>
      </w:r>
    </w:p>
    <w:p>
      <w:pPr>
        <w:spacing w:after="0" w:line="52"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timely written notice of revocation to our Secretary prior to the Annual Meeting by writing to Ouster’s offices at 350 Treat Avenue, San Francisco, California 94110;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Annual Meeting.</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virtual attendance at the Annual Meeting by itself will not revoke your proxy.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on the Company’s proxy card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this proxy statement, as well as with the description of each proposal in this proxy statement.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wp:posOffset>
            </wp:positionV>
            <wp:extent cx="5349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16884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u w:val="single" w:color="auto"/>
          <w:color w:val="auto"/>
        </w:rPr>
        <w:t>Proposal 2</w:t>
      </w:r>
      <w:r>
        <w:rPr>
          <w:rFonts w:ascii="Times New Roman" w:cs="Times New Roman" w:eastAsia="Times New Roman" w:hAnsi="Times New Roman"/>
          <w:sz w:val="17"/>
          <w:szCs w:val="17"/>
          <w:color w:val="auto"/>
        </w:rPr>
        <w:t>: Ratification of Appointment of our Independent Registered Public Accounting Firm</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6884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plurality of the votes cast. This means that the three nominees receiving the highest number of affirmative “FOR” votes will be elected as Class I Directors.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(excluding abstentions and broker non-votes) on such matter.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99"/>
        <w:spacing w:after="0" w:line="264" w:lineRule="auto"/>
        <w:rPr>
          <w:sz w:val="20"/>
          <w:szCs w:val="20"/>
          <w:color w:val="auto"/>
        </w:rPr>
      </w:pPr>
      <w:r>
        <w:rPr>
          <w:rFonts w:ascii="Times New Roman" w:cs="Times New Roman" w:eastAsia="Times New Roman" w:hAnsi="Times New Roman"/>
          <w:sz w:val="14"/>
          <w:szCs w:val="14"/>
          <w:b w:val="1"/>
          <w:bCs w:val="1"/>
          <w:color w:val="auto"/>
        </w:rPr>
        <w:t>Effect of Votes Withheld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697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right="33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39"/>
        <w:spacing w:after="0" w:line="274" w:lineRule="auto"/>
        <w:rPr>
          <w:sz w:val="20"/>
          <w:szCs w:val="20"/>
          <w:color w:val="auto"/>
        </w:rPr>
      </w:pPr>
      <w:r>
        <w:rPr>
          <w:rFonts w:ascii="Times New Roman" w:cs="Times New Roman" w:eastAsia="Times New Roman" w:hAnsi="Times New Roman"/>
          <w:sz w:val="17"/>
          <w:szCs w:val="17"/>
          <w:color w:val="auto"/>
        </w:rPr>
        <w:t>Abstentions and broker non-votes, if any, will have no effect, and because brokers have discretionary authority to vote on this proposal we do not expect any broker non-votes in connection with this proposal.</w:t>
      </w:r>
    </w:p>
    <w:p>
      <w:pPr>
        <w:spacing w:after="0" w:line="200" w:lineRule="exact"/>
        <w:rPr>
          <w:sz w:val="20"/>
          <w:szCs w:val="20"/>
          <w:color w:val="auto"/>
        </w:rPr>
      </w:pPr>
    </w:p>
    <w:p>
      <w:pPr>
        <w:sectPr>
          <w:pgSz w:w="11900" w:h="16838" w:orient="portrait"/>
          <w:cols w:equalWidth="0" w:num="3">
            <w:col w:w="2840" w:space="320"/>
            <w:col w:w="2580" w:space="300"/>
            <w:col w:w="2979"/>
          </w:cols>
          <w:pgMar w:left="1440" w:top="114" w:right="1440" w:bottom="1440" w:gutter="0" w:footer="0" w:header="0"/>
          <w:type w:val="continuous"/>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1688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4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Approval, on an Advisory (Non-Binding) Basis, of the Compensation of our Named Executive Officers</w:t>
      </w:r>
    </w:p>
    <w:p>
      <w:pPr>
        <w:spacing w:after="0" w:line="200" w:lineRule="exact"/>
        <w:rPr>
          <w:sz w:val="20"/>
          <w:szCs w:val="20"/>
          <w:color w:val="auto"/>
        </w:rPr>
      </w:pPr>
    </w:p>
    <w:p>
      <w:pPr>
        <w:spacing w:after="0" w:line="223" w:lineRule="exact"/>
        <w:rPr>
          <w:sz w:val="20"/>
          <w:szCs w:val="20"/>
          <w:color w:val="auto"/>
        </w:rPr>
      </w:pPr>
    </w:p>
    <w:p>
      <w:pPr>
        <w:ind w:left="30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Approval of an amendment to our Certificate of Incorporation to provide for exculpation of officers from breaches of fiduciary duty to the extent permitted by the General Corporation Law of the State of Delaware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2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Votes Withheld /Abstentions and</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and broker non-votes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 a majority in voting power of the</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will have no effect.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votes cast (excluding abstentions</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and broker non-votes) on such</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matter.</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affirmative vote of a majority of</w:t>
            </w:r>
          </w:p>
        </w:tc>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and broker non-votes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shares of common</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will have the same effect as votes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 entitled to vote on such matter.</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against the proposal.</w:t>
            </w:r>
          </w:p>
        </w:tc>
        <w:tc>
          <w:tcPr>
            <w:tcW w:w="0" w:type="dxa"/>
            <w:vAlign w:val="bottom"/>
          </w:tcPr>
          <w:p>
            <w:pPr>
              <w:spacing w:after="0"/>
              <w:rPr>
                <w:sz w:val="1"/>
                <w:szCs w:val="1"/>
                <w:color w:val="auto"/>
              </w:rPr>
            </w:pPr>
          </w:p>
        </w:tc>
      </w:tr>
    </w:tbl>
    <w:p>
      <w:pPr>
        <w:spacing w:after="0" w:line="1286" w:lineRule="exact"/>
        <w:rPr>
          <w:sz w:val="20"/>
          <w:szCs w:val="20"/>
          <w:color w:val="auto"/>
        </w:rPr>
      </w:pPr>
    </w:p>
    <w:p>
      <w:pPr>
        <w:sectPr>
          <w:pgSz w:w="11900" w:h="16838" w:orient="portrait"/>
          <w:cols w:equalWidth="0" w:num="2">
            <w:col w:w="2760" w:space="400"/>
            <w:col w:w="5859"/>
          </w:cols>
          <w:pgMar w:left="1440" w:top="114" w:right="1440" w:bottom="1440" w:gutter="0" w:footer="0" w:header="0"/>
        </w:sectPr>
      </w:pPr>
    </w:p>
    <w:p>
      <w:pPr>
        <w:spacing w:after="0" w:line="204" w:lineRule="exact"/>
        <w:rPr>
          <w:sz w:val="20"/>
          <w:szCs w:val="20"/>
          <w:color w:val="auto"/>
        </w:rPr>
      </w:pPr>
    </w:p>
    <w:p>
      <w:pPr>
        <w:ind w:left="300" w:right="1199"/>
        <w:spacing w:after="0" w:line="286" w:lineRule="auto"/>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three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Proposal Nos. 2 and 3. Abstentions will have the same effect as votes against Proposal No. 4.</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 presented at the Annual Meeting is Proposal No. 2, relating to the ratification of the appointment of PricewaterhouseCoopers LLP as our independent registered public accounting firm for the year ending December 31, 2025. On the other hand, absent instructions from the beneficial owner of such shares, a broker is not entitled to vote shares held for a beneficial owner on non-routine matters, such as Proposal Nos. 1, 3 and 4. Broker non-votes count for purposes of determining whether a quorum is present.</w:t>
      </w:r>
    </w:p>
    <w:p>
      <w:pPr>
        <w:spacing w:after="0" w:line="352" w:lineRule="exact"/>
        <w:rPr>
          <w:sz w:val="20"/>
          <w:szCs w:val="20"/>
          <w:color w:val="auto"/>
        </w:rPr>
      </w:pPr>
    </w:p>
    <w:p>
      <w:pPr>
        <w:ind w:left="300" w:right="1799"/>
        <w:spacing w:after="0" w:line="286" w:lineRule="auto"/>
        <w:rPr>
          <w:sz w:val="20"/>
          <w:szCs w:val="20"/>
          <w:color w:val="auto"/>
        </w:rPr>
      </w:pPr>
      <w:r>
        <w:rPr>
          <w:rFonts w:ascii="Times New Roman" w:cs="Times New Roman" w:eastAsia="Times New Roman" w:hAnsi="Times New Roman"/>
          <w:sz w:val="18"/>
          <w:szCs w:val="18"/>
          <w:b w:val="1"/>
          <w:bCs w:val="1"/>
          <w:color w:val="auto"/>
        </w:rPr>
        <w:t>WHERE CAN I FIND THE VOTING RESULTS OF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QUESTION-AND-ANSWER SESSION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As part of the Annual Meeting, we will hold a Q&amp;A session, during which we intend to answer appropriate questions submitted by stockholders during the Annual Meeting or questions submitted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in advance of the Annual Meeting that are pertinent to the Company and the Annual Meeting matters, for up to 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2025 Annual Meeting of Stockholders?” will be permitted to submit questions during the Annual Meeting. If you would like to submit questions in advance of the Annual Meeting, please visit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before 11:59 p.m. Eastern Time on June 17, 2025 and enter your 16-digit control number. Each stockholder is limited to no more than two questions. Questions should be succinct and only cover a single topic. We will not address questions that are, among other things:</w:t>
      </w:r>
    </w:p>
    <w:p>
      <w:pPr>
        <w:spacing w:after="0" w:line="41"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two-question limit;</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Corporate Secretary in their reasonable judgment.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2025 Annual Meeting of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53492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At the Annual Meeting, three (3) Class I Directors are to be elected to hold office until our annual meeting of stockholders to be held in 2028 and until such director’s successor is duly elected and qualified or until such director’s earlier death, resignation or removal.</w:t>
      </w:r>
    </w:p>
    <w:p>
      <w:pPr>
        <w:spacing w:after="0" w:line="68"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 currently have seven (7) directors on our Board. The proposal regarding the election of directors requires the approval of a plurality of the votes cast. This means that the three nominees receiving the highest number of affirmative “FOR” votes will be elected as Class I Directors. Votes withheld and broker non-votes will have no effect on the outcome of the vote on this proposal.</w:t>
      </w:r>
    </w:p>
    <w:p>
      <w:pPr>
        <w:spacing w:after="0" w:line="72"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 whose current term will expire at the upcoming Annual Meeting and whose subsequent term will expire at the 2028 annual meeting of stockholders; Class II, whose term will expire at the 2026 annual meeting of stockholders; and Class III, whose term will expire at the 2027 annual meeting of stockholders. The current Class I Directors are Christina C. Correia, Stephen A. Skaggs and Ernest E. Maddock; the current Class II Directors are Virginia Boulet and Angus Pacala; and the current Class III Directors are Susan Heystee and Theodore L. Tewksbury, Ph.D.</w:t>
      </w:r>
    </w:p>
    <w:p>
      <w:pPr>
        <w:spacing w:after="0" w:line="80"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by the proxy for the election as Class 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Christina C. Correia, Stephen A. Skaggs and Ernest E. Maddock will be unable to serve if elected. Each of Christina C. Correia, Stephen A. Skaggs and Ernest E. Maddock has consented to being named in this proxy statement and to serve if elected.</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208280</wp:posOffset>
            </wp:positionV>
            <wp:extent cx="214630" cy="334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33464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36830</wp:posOffset>
            </wp:positionV>
            <wp:extent cx="5349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81" w:lineRule="exact"/>
        <w:rPr>
          <w:sz w:val="20"/>
          <w:szCs w:val="20"/>
          <w:color w:val="auto"/>
        </w:rPr>
      </w:pPr>
    </w:p>
    <w:p>
      <w:pPr>
        <w:ind w:left="1880" w:right="17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 Director nominees.</w:t>
      </w:r>
    </w:p>
    <w:p>
      <w:pPr>
        <w:spacing w:after="0" w:line="209" w:lineRule="exact"/>
        <w:rPr>
          <w:sz w:val="20"/>
          <w:szCs w:val="20"/>
          <w:color w:val="auto"/>
        </w:rPr>
      </w:pPr>
    </w:p>
    <w:p>
      <w:pPr>
        <w:ind w:left="1300" w:right="1840"/>
        <w:spacing w:after="0" w:line="286" w:lineRule="auto"/>
        <w:rPr>
          <w:sz w:val="20"/>
          <w:szCs w:val="20"/>
          <w:color w:val="auto"/>
        </w:rPr>
      </w:pPr>
      <w:r>
        <w:rPr>
          <w:rFonts w:ascii="Times New Roman" w:cs="Times New Roman" w:eastAsia="Times New Roman" w:hAnsi="Times New Roman"/>
          <w:sz w:val="18"/>
          <w:szCs w:val="18"/>
          <w:b w:val="1"/>
          <w:bCs w:val="1"/>
          <w:color w:val="auto"/>
        </w:rPr>
        <w:t>NOMINEES FOR CLASS I DIRECTORS (CURRENT TERMS TO EXPIRE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3492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12"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who are also nominees for election to the Board as Class I Directors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0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0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Christina C. Correia</w:t>
            </w:r>
          </w:p>
        </w:tc>
        <w:tc>
          <w:tcPr>
            <w:tcW w:w="1980" w:type="dxa"/>
            <w:vAlign w:val="bottom"/>
            <w:gridSpan w:val="3"/>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55</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A. Skaggs</w:t>
            </w:r>
          </w:p>
        </w:tc>
        <w:tc>
          <w:tcPr>
            <w:tcW w:w="198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9"/>
              </w:rPr>
              <w:t>62</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Ernest E. Maddock</w:t>
            </w:r>
          </w:p>
        </w:tc>
        <w:tc>
          <w:tcPr>
            <w:tcW w:w="14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nominee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CHRISTINA C. CORREIA</w:t>
      </w:r>
      <w:r>
        <w:rPr>
          <w:sz w:val="20"/>
          <w:szCs w:val="20"/>
          <w:color w:val="auto"/>
        </w:rPr>
        <w:tab/>
      </w:r>
      <w:r>
        <w:rPr>
          <w:rFonts w:ascii="Times New Roman" w:cs="Times New Roman" w:eastAsia="Times New Roman" w:hAnsi="Times New Roman"/>
          <w:sz w:val="17"/>
          <w:szCs w:val="17"/>
          <w:color w:val="auto"/>
        </w:rPr>
        <w:t>Age 55</w:t>
      </w:r>
    </w:p>
    <w:p>
      <w:pPr>
        <w:spacing w:after="0" w:line="17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Christina C. Correia </w:t>
      </w:r>
      <w:r>
        <w:rPr>
          <w:rFonts w:ascii="Times New Roman" w:cs="Times New Roman" w:eastAsia="Times New Roman" w:hAnsi="Times New Roman"/>
          <w:sz w:val="18"/>
          <w:szCs w:val="18"/>
          <w:color w:val="auto"/>
        </w:rPr>
        <w:t>has served as a member of our Board since November 2024. Ms. Correia has also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Vice President, Chief Accounting Officer and Business Finance at Lam Research Corporation (Nasdaq: LRCX), a supplier of wafer-fabrication equipment and related services to the semiconductor industry, since May 2024. Prior to her current position, Ms. Correia has held multiple leadership roles at Lam in Finance, Corporate Communications and Investor Relations since joining in 2002, including serving as Corporate Vice President, Chief Accounting Officer and Business Finance from October 2023 to May 2024, Corporate Vice President, Chief Accounting Officer, Investor Relations and Corporate Finance from March 2023 to October 2023; Corporate Vice President, Investor Relations and Corporate Finance from April 2020 to March 2023; and Corporate Vice President, Investor Relations and Corporate Communications from September 2018 to April 2020. Prior to joining Lam, Ms. Correia worked at BroadVision, Inc. (Nasdaq: BVSN), an international software company, where she served as the company’s Vice President and Corporate Controller in addition to several other senior-level finance positions from September 1999 to November 2002. She previously worked in the assurance practice at KPMG, LLP, supporting the firm’s technology clients, from September 1992 to September 1999. Ms. Correia holds a B.S. in Business Administration from the University of California, Berkeley and is a licensed Certified Public Accountant in the State of California. We believe that Ms. Correia is qualified to serve as a member of our Board due to her financial expertise and extensive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95250</wp:posOffset>
            </wp:positionV>
            <wp:extent cx="5349240" cy="248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48285"/>
                    </a:xfrm>
                    <a:prstGeom prst="rect">
                      <a:avLst/>
                    </a:prstGeom>
                    <a:noFill/>
                  </pic:spPr>
                </pic:pic>
              </a:graphicData>
            </a:graphic>
          </wp:anchor>
        </w:drawing>
      </w:r>
    </w:p>
    <w:p>
      <w:pPr>
        <w:spacing w:after="0" w:line="229"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STEPHEN A. SKAGGS</w:t>
      </w:r>
      <w:r>
        <w:rPr>
          <w:sz w:val="20"/>
          <w:szCs w:val="20"/>
          <w:color w:val="auto"/>
        </w:rPr>
        <w:tab/>
      </w:r>
      <w:r>
        <w:rPr>
          <w:rFonts w:ascii="Times New Roman" w:cs="Times New Roman" w:eastAsia="Times New Roman" w:hAnsi="Times New Roman"/>
          <w:sz w:val="17"/>
          <w:szCs w:val="17"/>
          <w:color w:val="auto"/>
        </w:rPr>
        <w:t>Age 62</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A. Skaggs </w:t>
      </w:r>
      <w:r>
        <w:rPr>
          <w:rFonts w:ascii="Times New Roman" w:cs="Times New Roman" w:eastAsia="Times New Roman" w:hAnsi="Times New Roman"/>
          <w:sz w:val="18"/>
          <w:szCs w:val="18"/>
          <w:color w:val="auto"/>
        </w:rPr>
        <w:t>has served as a member of our Board since November 2024. Mr. Skaggs has been a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since April 2016. He currently serves on the board of directors of Coherent Corp. (NYSE: COHR). Previously he held the position of Senior Vice President and Chief Financial Officer of Atmel Corporation, a leading supplier of microcontrollers, from May 2013 until its acquisition by Microchip Technology Incorporated (Nasdaq: MCHP) in April 2016. Mr. Skaggs has more than 25 years of experience in the semiconductor industry, including serving as President, Chief Executive Officer and Chief Financial Officer of Lattice Semiconductor (Nasdaq: LSCC), a supplier of programmable logic devices and related software. He was also previously a member of the board of directors of Lattice. Prior to Lattice, Mr. Skaggs was employed by Bain &amp; Company, a global management consulting firm, where he specialized in high technology product strategy, mergers and acquisitions and corporate restructurings. Mr. Skaggs holds an M.B.A. from Harvard Business School and a B.S. in Chemical Engineering from the University of California, Berkeley. We believe that Mr. Skaggs is qualified to serve as a member of our Board due to his extensive executive and management experience in the high-technology industry, including serving as chief executive officer, chief financial officer and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90170</wp:posOffset>
            </wp:positionV>
            <wp:extent cx="5349240" cy="248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248285"/>
                    </a:xfrm>
                    <a:prstGeom prst="rect">
                      <a:avLst/>
                    </a:prstGeom>
                    <a:noFill/>
                  </pic:spPr>
                </pic:pic>
              </a:graphicData>
            </a:graphic>
          </wp:anchor>
        </w:drawing>
      </w:r>
    </w:p>
    <w:p>
      <w:pPr>
        <w:spacing w:after="0" w:line="221"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ERNEST E. MADDOCK</w:t>
      </w:r>
      <w:r>
        <w:rPr>
          <w:sz w:val="20"/>
          <w:szCs w:val="20"/>
          <w:color w:val="auto"/>
        </w:rPr>
        <w:tab/>
      </w:r>
      <w:r>
        <w:rPr>
          <w:rFonts w:ascii="Times New Roman" w:cs="Times New Roman" w:eastAsia="Times New Roman" w:hAnsi="Times New Roman"/>
          <w:sz w:val="17"/>
          <w:szCs w:val="17"/>
          <w:color w:val="auto"/>
        </w:rPr>
        <w:t>Age 67</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Ernest E. Maddock </w:t>
      </w:r>
      <w:r>
        <w:rPr>
          <w:rFonts w:ascii="Times New Roman" w:cs="Times New Roman" w:eastAsia="Times New Roman" w:hAnsi="Times New Roman"/>
          <w:sz w:val="18"/>
          <w:szCs w:val="18"/>
          <w:color w:val="auto"/>
        </w:rPr>
        <w:t>has served as a member of our Board since February 2023. Mr. Maddock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capital equipment company Lam Research Corporation, culminating in the position of Chief Financial Officer from 2008 to 2013. Mr. Maddock has served on the boards of directors of Ultra Clean Holdings Inc. (Nasdaq: UCTT), a provider of semiconductor capital equipment components and services, since June 2018, Avnet (Nasdaq: AVT), a technology distribution company, since August 2021 and Teradyne (Nasdaq: TER), a semiconductor capital equipment and robotics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 DIRECTORS (TERMS TO EXPIRE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2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Virginia Boulet</w:t>
            </w:r>
          </w:p>
        </w:tc>
        <w:tc>
          <w:tcPr>
            <w:tcW w:w="5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Angus Pacala</w:t>
            </w: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Co-Founder and Chief Executive Officer</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VIRGINIA BOULET</w:t>
      </w:r>
      <w:r>
        <w:rPr>
          <w:sz w:val="20"/>
          <w:szCs w:val="20"/>
          <w:color w:val="auto"/>
        </w:rPr>
        <w:tab/>
      </w:r>
      <w:r>
        <w:rPr>
          <w:rFonts w:ascii="Times New Roman" w:cs="Times New Roman" w:eastAsia="Times New Roman" w:hAnsi="Times New Roman"/>
          <w:sz w:val="17"/>
          <w:szCs w:val="17"/>
          <w:color w:val="auto"/>
        </w:rPr>
        <w:t>Age 71</w:t>
      </w:r>
    </w:p>
    <w:p>
      <w:pPr>
        <w:spacing w:after="0" w:line="1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Virginia Boulet </w:t>
      </w:r>
      <w:r>
        <w:rPr>
          <w:rFonts w:ascii="Times New Roman" w:cs="Times New Roman" w:eastAsia="Times New Roman" w:hAnsi="Times New Roman"/>
          <w:sz w:val="18"/>
          <w:szCs w:val="18"/>
          <w:color w:val="auto"/>
        </w:rPr>
        <w:t>has served as a member of our Board since February 2023. She served as a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Capital, LLC, an investment company, from April 2014 until 2019. From 2014 through 2018, she was an adjunct professor of law at Loyola University Law School. From 2002 to March 2014, Ms. Boulet served as Special Counsel at the law firm of Adams and Reese, LLP. She also served as President and Chief Operating Officer of IMDiversity, Inc. from March 2002 to March 2004. Prior to 2002, Ms. Boulet was a partner at the law firms of Phelps Dunbar, LLP and Jones Walker. Ms. Boulet serves as a director of W&amp;T Offshore, Inc (NYSE: WTI), an oil and gas production company, as the Chairperson of its Nominating and Corporate Governance Committee and on its Audit and Compensation committees. Additionally, Ms. Boulet served on the board of Velodyne from November 2011 to February 2023 and was appointed Chairperson of the Velodyne board in July 2022. Additionally, Ms. Boulet previously served on the board of Lumen Technologies, Inc. (NYSE: LUMN), a telecommunications company, from 2002 to 2021. Ms. Boulet received a B.A. from Yale University, and a J.D., cum laude, from Tulane University. We believe Ms. Boulet is qualified to serve on our Board due to her extensive experience representing public and private technology companies and advising their boards and committees, as well as her knowledge of business, legal and governance issues faced by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88900</wp:posOffset>
            </wp:positionV>
            <wp:extent cx="5349240" cy="248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248285"/>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ANGUS PACALA</w:t>
      </w:r>
      <w:r>
        <w:rPr>
          <w:sz w:val="20"/>
          <w:szCs w:val="20"/>
          <w:color w:val="auto"/>
        </w:rPr>
        <w:tab/>
      </w:r>
      <w:r>
        <w:rPr>
          <w:rFonts w:ascii="Times New Roman" w:cs="Times New Roman" w:eastAsia="Times New Roman" w:hAnsi="Times New Roman"/>
          <w:sz w:val="17"/>
          <w:szCs w:val="17"/>
          <w:color w:val="auto"/>
        </w:rPr>
        <w:t>Age 37</w:t>
      </w:r>
    </w:p>
    <w:p>
      <w:pPr>
        <w:spacing w:after="0" w:line="17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Angus Pacala </w:t>
      </w:r>
      <w:r>
        <w:rPr>
          <w:rFonts w:ascii="Times New Roman" w:cs="Times New Roman" w:eastAsia="Times New Roman" w:hAnsi="Times New Roman"/>
          <w:sz w:val="18"/>
          <w:szCs w:val="18"/>
          <w:color w:val="auto"/>
        </w:rPr>
        <w:t>co-founded Ouster in June 2015 and has served as our Chief Executive Officer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2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Position(s) with Ouster</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Susan Heystee</w:t>
            </w:r>
          </w:p>
        </w:tc>
        <w:tc>
          <w:tcPr>
            <w:tcW w:w="5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63</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Vice Chair of the Board</w:t>
            </w: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Theodore L. Tewksbury, Ph.D.</w:t>
            </w: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92"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SUSAN HEYSTEE</w:t>
      </w:r>
      <w:r>
        <w:rPr>
          <w:sz w:val="20"/>
          <w:szCs w:val="20"/>
          <w:color w:val="auto"/>
        </w:rPr>
        <w:tab/>
      </w:r>
      <w:r>
        <w:rPr>
          <w:rFonts w:ascii="Times New Roman" w:cs="Times New Roman" w:eastAsia="Times New Roman" w:hAnsi="Times New Roman"/>
          <w:sz w:val="17"/>
          <w:szCs w:val="17"/>
          <w:color w:val="auto"/>
        </w:rPr>
        <w:t>Age 63</w:t>
      </w:r>
    </w:p>
    <w:p>
      <w:pPr>
        <w:spacing w:after="0" w:line="171"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Heystee </w:t>
      </w:r>
      <w:r>
        <w:rPr>
          <w:rFonts w:ascii="Times New Roman" w:cs="Times New Roman" w:eastAsia="Times New Roman" w:hAnsi="Times New Roman"/>
          <w:sz w:val="18"/>
          <w:szCs w:val="18"/>
          <w:color w:val="auto"/>
        </w:rPr>
        <w:t>has served as a member of our board of directors since September 2018. Ms. Heystee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Chair of our Board since April 2024 and she previously served as our lead independent director from March 2023 until April 2024.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 publicly-traded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534924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208" w:lineRule="exact"/>
        <w:rPr>
          <w:sz w:val="20"/>
          <w:szCs w:val="20"/>
          <w:color w:val="auto"/>
        </w:rPr>
      </w:pPr>
    </w:p>
    <w:p>
      <w:pPr>
        <w:ind w:left="40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THEODORE L. TEWKSBURY, PH.D.</w:t>
      </w:r>
      <w:r>
        <w:rPr>
          <w:sz w:val="20"/>
          <w:szCs w:val="20"/>
          <w:color w:val="auto"/>
        </w:rPr>
        <w:tab/>
      </w:r>
      <w:r>
        <w:rPr>
          <w:rFonts w:ascii="Times New Roman" w:cs="Times New Roman" w:eastAsia="Times New Roman" w:hAnsi="Times New Roman"/>
          <w:sz w:val="17"/>
          <w:szCs w:val="17"/>
          <w:color w:val="auto"/>
        </w:rPr>
        <w:t>Age 68</w:t>
      </w:r>
    </w:p>
    <w:p>
      <w:pPr>
        <w:spacing w:after="0" w:line="17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Tewksbury </w:t>
      </w:r>
      <w:r>
        <w:rPr>
          <w:rFonts w:ascii="Times New Roman" w:cs="Times New Roman" w:eastAsia="Times New Roman" w:hAnsi="Times New Roman"/>
          <w:sz w:val="18"/>
          <w:szCs w:val="18"/>
          <w:color w:val="auto"/>
        </w:rPr>
        <w:t>has served as Chair of our Board since April 2024 and previously served as Executive Chairperson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from February 2023 to April 2024. Dr. Tewksbury served as Velodyne’s Chief Executive Officer from November 2021 until February 2023. Prior to that, he was CEO of Eta Compute, a provider of ultra-low power AI vision systems, from August 2019 to November 2021. Dr. Tewksbury has been a director of Maxlinear, Inc. (Nasdaq: MXL), a mixed-signal semiconductor company, since May 2015, where he chairs the Cybersecurity Committee and serves on the Audit and Nominating and Governance committees.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CEO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 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expensive experience as an executive and director for public technology companies.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Audit Committee of the Board (the “Audit Committee”) has appointed PricewaterhouseCoopers LLP as our independent registered public accounting firm for the fiscal year ending December 31, 2025. Our Board has directed that this appointment be submitted to our stockholders for ratification. Although ratification of the Audit Committee’s appointment of PricewaterhouseCoopers LLP is not required, we value the opinions of our stockholders and believe that stockholder ratification of such appointment is a good corporate governance practice.</w:t>
      </w:r>
    </w:p>
    <w:p>
      <w:pPr>
        <w:spacing w:after="0" w:line="75"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PricewaterhouseCoopers LLP also served as our independent registered public accounting firm for the fiscal years ended December 31, 2022 through December 31, 2024.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PricewaterhouseCoopers LLP is not ratified by the stockholders, the Audit Committee will consider this fact when it appoints the independent auditors for the fiscal year ending December 31, 2026. Even if the appointment of PricewaterhouseCoopers LLP is ratified, the Audit Committee retains the discretion to appoint a different independent auditor at any time if it determines that such a change is in the interests of Ouster.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3" w:lineRule="exact"/>
        <w:rPr>
          <w:sz w:val="20"/>
          <w:szCs w:val="20"/>
          <w:color w:val="auto"/>
        </w:rPr>
      </w:pPr>
    </w:p>
    <w:p>
      <w:pPr>
        <w:jc w:val="both"/>
        <w:ind w:left="86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PricewaterhouseCoopers LLP as our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-425450</wp:posOffset>
            </wp:positionV>
            <wp:extent cx="213995" cy="334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3995" cy="33464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79"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The Audit Committee has been actively engaged in overseeing the remediation of the Material Weaknesses that were first reported in Ouster’s Annual Report on Form 10-K for the fiscal year ended December 31, 2021. During the fiscal year ended December 31, 2023, management remediated all aspects of the Material Weaknesses pertaining to IT General Controls. During the fiscal year ended December 31, 2024, management remediated certain components of the Material Weakness pertaining to period end financial reporting. No additional Material Weaknesses were identified for the fiscal year ended December 31, 2024. Management has developed a comprehensive plan, including the retention of expert consultants, to further address the remaining Material Weaknesses. The Audit Committee continues to closely monitor management’s progress in these remediation efforts.</w:t>
      </w:r>
    </w:p>
    <w:p>
      <w:pPr>
        <w:spacing w:after="0" w:line="6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2024.</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Ernest E. Maddock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Christina C. Correia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Susan Heystee</w:t>
      </w:r>
    </w:p>
    <w:p>
      <w:pPr>
        <w:spacing w:after="0" w:line="97"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The Audit Committee Report does not constitute soliciting material, and shall not be deemed to be filed or incorporated by reference into any other filing under the Securities Act of 1933, as amended, or the Exchange Act, except to the extent that the Company specifically incorporates the Audit Committee Report by reference therein.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Set forth below are the fees paid to our independent registered public accounting firm, PricewaterhouseCoopers LLP, for the fiscal years ended December 31, 2024 and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3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23"/>
        </w:trPr>
        <w:tc>
          <w:tcPr>
            <w:tcW w:w="60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$2,471,345</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$1,802,000</w:t>
            </w:r>
          </w:p>
        </w:tc>
        <w:tc>
          <w:tcPr>
            <w:tcW w:w="12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$3,136,345</w:t>
            </w:r>
          </w:p>
        </w:tc>
      </w:tr>
    </w:tbl>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Audit fees in 2024 and 2023 consisted of fees for the audit of our annual financial statements, the review of the interim financial statements included in our Quarterly Reports on Form 10-Q, the review of financial statements to be included in registration statements, services associated with the issuance of comfort letters and the issuance of consents to registration statements and other professional services provided in connection with statutory and regulatory filings or engagements.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Audit-related fees consist of fees that are reasonably related to the performance of the audit and the review of our financial statements and which are not reported under “Audit Fees”.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2023, our audit-related fees consisted of fees associated with assurance and related services, including but not limited to the internal control reviews and audits in connection with the Velodyne Merger and other technical accounting matters.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and 2024, all other fees consisted of fees related to technical research tools and similar resources.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right="107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Accordingly, we ask our stockholders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following resolution at the Annual Meeting:</w:t>
      </w:r>
    </w:p>
    <w:p>
      <w:pPr>
        <w:spacing w:after="0" w:line="121"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an advisory (non-binding) basis, the compensation of the Company’s named executive officers, as disclosed in the Company’s proxy statement for the 2025 annual meeting of stockholders pursuant to Item 402 of Regulation S-K, including the compensation tables and narrative discussion.”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and policies for the year ended December 31, 2024 were an effective incentive for the achievement of our goals, aligned with stockholders’ interest and are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achievement and individual compensation.</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At our 2024 annual meeting of stockholders, approximately 98% of the votes cast were voted “for” the proposal. The Board values constructive dialogue on executive compensation and other significant governance topics with our stockholders and encourages all stockholders to vote their shares on this important matter.</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2026 annual meeting of stockholders.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173990</wp:posOffset>
            </wp:positionV>
            <wp:extent cx="213995"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3995" cy="3346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7" w:lineRule="exact"/>
        <w:rPr>
          <w:sz w:val="20"/>
          <w:szCs w:val="20"/>
          <w:color w:val="auto"/>
        </w:rPr>
      </w:pPr>
    </w:p>
    <w:p>
      <w:pPr>
        <w:ind w:left="860" w:right="5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on an advisory (non-binding) basis, of the compensation of our named executive officers.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color w:val="auto"/>
        </w:rPr>
        <w:t>PROPOSAL 4: Approval of an Amendment to our Certificate of Incorporation to Provide for Exculpation of Officers from Breaches of Fiduciary Duty to the Extent Permitted by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In Proposal 4, the Board seeks the approval of an amendment (the “Exculpation Amendment”) to the Company’s Certificate of Incorporation to provide for the exculpation of officers of the Company from liability for breach of the fiduciary duty of care to the extent permitted by the General Corporation Law of the State of Delaware (“DGCL”). A copy of the Exculpation Amendment contemplated by Proposal 4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Effective August 1, 2022, Section 102(b)(7) of the DCGL was amended (“Amended 102(b)(7)”) to enable a corporation to include in its certificate of incorporation a provision exculpating certain corporate officers from liability for breach of the fiduciary duty of care in certain circumstances. Previously, Section 102(b)(7) of the DGCL provided for the ability to exculpate directors only, and our Certificate of Incorporation currently limits the monetary liability of our directors in certain circumstances consistent with Section 102(b)(7) of the DGCL. Amended 102(b)</w:t>
      </w:r>
    </w:p>
    <w:p>
      <w:pPr>
        <w:spacing w:after="0" w:line="3" w:lineRule="exact"/>
        <w:rPr>
          <w:sz w:val="20"/>
          <w:szCs w:val="20"/>
          <w:color w:val="auto"/>
        </w:rPr>
      </w:pPr>
    </w:p>
    <w:p>
      <w:pPr>
        <w:jc w:val="both"/>
        <w:ind w:left="300" w:right="299" w:hanging="8"/>
        <w:spacing w:after="0" w:line="251" w:lineRule="auto"/>
        <w:tabs>
          <w:tab w:leader="none" w:pos="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the exculpation of certain of our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Amended 102(b)(7) does not permit a corporation to exculpate covered officers from liability for breach of the duty of loyalty, acts or omissions not in good faith or that involve intentional misconduct or a knowing violation of law, or any transaction in which the officer derived an improper personal benefit. Under Amended 102(b)(7), the officers who may be exculpated include a person who (i) is the president, chief executive officer, chief operating officer, chief financial officer, chief legal officer, controller, treasurer or chief accounting officer of the corporation at any time during the course of conduct alleged in the action or proceeding to be wrongful, (ii) is or was identified in the corporation’s public filings with the SEC because such person is or was one of the most highly compensated executive officers of the corporation, or (iii) has consented to service of process in Delaware by written agreement (collectively, “Covered Officers”). The proposed Exculpation Amendment would allow for the exculpation of our Covered Officers to the fullest extent permitted by the DGCL.</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has unanimously adopted and is submitting for stockholder approval the Exculpation Amendment. If our stockholders approve the Exculpation Amendment, our Board has authorized our officers to file a Certificate of Amendment with the Delaware Secretary of State, which we anticipate doing as soon as practicable following stockholder approval of the Exculpation Amendment at the 2025 annual meeting, and the Certificate of Amendment would become effective upon acceptance by the Delaware Secretary of State.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our stockholders do not approve the Exculpation Amendment, the Company’s current exculpation provisions relating to directors will remain in place, and the Certificate of Amendment will not be filed with the Delaware Secretary of State. However, even if our stockholders approve the Exculpation Amendment, our Board retains discretion under Delaware law to determine when to file the Certificate of Amendment with the Delaware Secretary of State and to abandon the Exculpation Amendment notwithstanding prior stockholder approval of the Exculpation Amendment.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Exculpation Amendment contemplated by Proposal 4 would allow for the exculpation of Covered Officers to the fullest extent permitted by the DGCL, as is currently in effect or as it may hereafter be amended.</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Exculpation Amendment would currently allow for the exculpation of officers who are Covered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the Exculpation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Our current executive officers may have an interest in the approval of the Exculpation Amendment, as they may be exculpated from liability for certain actions to the extent consistent with the DGCL.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believes that adopting the Exculpation Amendment contemplated by this Proposal 4 would better position the Company to attract top officer candidates and retain our current officers. The Exculpation Amendment would also more closely align the protections available to our officers with those already available to our directors. We believe that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adopting the Exculpation Amendment contemplated by this Proposal 4 would enable the officers to exercise their business judgment in furtherance of the interests of the stockholders without the potential for distraction posed by the risk of personal liability. The nature of the role of officers often requires them to make decisions on crucial matters. Frequently, officers must make decisions in response to time-sensitive opportunities and challenges, which can create substantial risk of investigations, claims, actions, suits, or proceedings seeking to impose liability based on hindsight, especially in the current litigious environment and regardless of merit. Limiting our current and prospective officers’ concern about personal risk would empower officers to best exercise their business judgment in furtherance of stockholder interests and better position the Company to retain our current officers and attract top officer candidates. We believe that enhancing our ability to retain and attract experienced officers is in the best interests of the Company and its stockholders. We also believe that adopting the proposed amendment may lessen the Company’s exposure to potential expense associated with defending our officers against claims that have no legal merit.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200025</wp:posOffset>
            </wp:positionV>
            <wp:extent cx="214630" cy="3340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630" cy="33401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7" w:lineRule="exact"/>
        <w:rPr>
          <w:sz w:val="20"/>
          <w:szCs w:val="20"/>
          <w:color w:val="auto"/>
        </w:rPr>
      </w:pPr>
    </w:p>
    <w:p>
      <w:pPr>
        <w:ind w:left="94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Exculpation Amendment.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Position(s) at Ouster</w:t>
            </w:r>
          </w:p>
        </w:tc>
      </w:tr>
      <w:tr>
        <w:trPr>
          <w:trHeight w:val="2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Mark Frichtl</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 Chief Technology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 Geng</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 &amp; Treasurer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Darien Spencer</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Chung</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For Angus Pacala’s biography, see page </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of this proxy statement.</w:t>
      </w:r>
    </w:p>
    <w:p>
      <w:pPr>
        <w:spacing w:after="0" w:line="11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Frichtl </w:t>
      </w:r>
      <w:r>
        <w:rPr>
          <w:rFonts w:ascii="Times New Roman" w:cs="Times New Roman" w:eastAsia="Times New Roman" w:hAnsi="Times New Roman"/>
          <w:sz w:val="18"/>
          <w:szCs w:val="18"/>
          <w:color w:val="auto"/>
        </w:rPr>
        <w:t>co-founded Ouster in June 2015 and has served as our Chief Technology Officer since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w:t>
      </w:r>
    </w:p>
    <w:p>
      <w:pPr>
        <w:spacing w:after="0" w:line="68"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Chen Geng </w:t>
      </w:r>
      <w:r>
        <w:rPr>
          <w:rFonts w:ascii="Times New Roman" w:cs="Times New Roman" w:eastAsia="Times New Roman" w:hAnsi="Times New Roman"/>
          <w:sz w:val="18"/>
          <w:szCs w:val="18"/>
          <w:color w:val="auto"/>
        </w:rPr>
        <w:t>has served as our Interim Chief Financial Officer &amp; Treasurer since February 2025.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Geng served as the Company’s Vice President, Strategic Finance &amp; Treasurer from September 2023 to February 2025, and prior to that served as the Company’s Director of Corporate Development from July 2021 to September 2023. Prior to joining the Company, Mr. Geng worked as an investment analyst at Point72 Asset Management from July 2018 to July 2021. Mr. Geng received his B.A. in Finance and Economics from New York University Stern School of Business.</w:t>
      </w:r>
    </w:p>
    <w:p>
      <w:pPr>
        <w:spacing w:after="0" w:line="7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Darien Spencer </w:t>
      </w:r>
      <w:r>
        <w:rPr>
          <w:rFonts w:ascii="Times New Roman" w:cs="Times New Roman" w:eastAsia="Times New Roman" w:hAnsi="Times New Roman"/>
          <w:sz w:val="18"/>
          <w:szCs w:val="18"/>
          <w:color w:val="auto"/>
        </w:rPr>
        <w:t>has served as our Chief Operating Officer since February 2023. From July 2017 to January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w:t>
      </w:r>
    </w:p>
    <w:p>
      <w:pPr>
        <w:spacing w:after="0" w:line="8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Megan Chung </w:t>
      </w:r>
      <w:r>
        <w:rPr>
          <w:rFonts w:ascii="Times New Roman" w:cs="Times New Roman" w:eastAsia="Times New Roman" w:hAnsi="Times New Roman"/>
          <w:sz w:val="18"/>
          <w:szCs w:val="18"/>
          <w:color w:val="auto"/>
        </w:rPr>
        <w:t>has served as our General Counsel and Secretary since February 2023. Previously, Ms. Chung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“Corporate Governance” section under “Documents &amp; Charters” of our Investors website at </w:t>
      </w:r>
      <w:r>
        <w:rPr>
          <w:rFonts w:ascii="Times New Roman" w:cs="Times New Roman" w:eastAsia="Times New Roman" w:hAnsi="Times New Roman"/>
          <w:sz w:val="18"/>
          <w:szCs w:val="18"/>
          <w:i w:val="1"/>
          <w:iCs w:val="1"/>
          <w:color w:val="auto"/>
        </w:rPr>
        <w:t>investors.ouster.com</w:t>
      </w:r>
      <w:r>
        <w:rPr>
          <w:rFonts w:ascii="Times New Roman" w:cs="Times New Roman" w:eastAsia="Times New Roman" w:hAnsi="Times New Roman"/>
          <w:sz w:val="18"/>
          <w:szCs w:val="18"/>
          <w:color w:val="auto"/>
        </w:rPr>
        <w:t>, or by writing to our Secretary at our offices at 350 Treat Avenue, San Francisco, California 94110.</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currently consists of seven (7) members: Virginia Boulet, Susan Heystee, Ernest E. Maddock, Angus Pacala, Christina C. Correia, Stephen A. Skaggs and Theodore L. Tewksbury, Ph.D.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Between annual meetings, the Board may elect directors to fill vacancies with new directors allocated among classes and each class should consist, as nearly as may be possible, of one-third of the total number of directors. The division of our Board into three classes with staggered three-year terms may delay or prevent a change of our management or a change in control of the Company.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Board has undertaken a review of the independence of our directors and considered whether any director has a relationship which, in the opinion of the Board, could interfere with the director’s exercise of independent judgment in carrying out the responsibilities of a director. Our Board has affirmatively determined that Virginia Boulet, Christina C. Correia, Susan Heystee, Ernest E. Maddock, Stephen A. Skaggs and Theodore L. Tewksbury, Ph.D. are each an “independent director,” as defined under the rules of the Nasdaq Stock Market LLC (the “Nasdaq Rules”). In addition, while they served on our Board, the Board determined that each of Riaz Valani, Kristin Slanina and Karin Rådström was independent under the rules of the New York Stock Exchange, which were the applicable independence standards at the time of their service. In making these determinations, our Board considered the current and prior relationships that each director has with our Company and all other facts and circumstances our Board deemed relevant in determining their independence.</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reviewing the qualifications of potential director candidates and recommending to the Board those candidates to be nominated for election to the Board.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his initial election to our Board, Ernest E. Maddock was designated to serve on our Board by Velodyne pursuant to our merger agreement with Velodyne. Christina C. Correia was recommended to serve on our Board by an independent director and Stephen A. Skaggs was recommended to serve on our Board by an executive officer.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accordance with our Corporate Governance Guidelines, in evaluating the suitability of individual candidates, the Nominating and Corporate Governance Committee may take into account many factors, including: personal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 committee meetings; whether the board has appropriate diversity of experience, qualifications, skills, and personal background;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BY INTERESTED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Company stockholder or other interested party who desires to communicate with our Board of Directors, the Chair of our Board, the lead director, if any, any chairperson of a Board committee, or our non-management or independent members of the Board, may do so by addressing such communications to the intended recipient by name or position in care of: Ouster, Inc. to the attention of the General Counsel, 350 Treat Avenue, San Francisco, California 94110.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the Board with flexibility to select our Chair of the Board, any Vice Chair of the Board and our Chief Executive Officer in the way the Board considers in the best interests of the Company. Therefore, the Board does not have a policy on whether the role of Chair and Chief Executive Officer should be separate or combined and, if it is to be separate, whether the Chair should be selected from the independent directors.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Currently, the roles of Chair of the Board and Chief Executive Officer are separated. In addition, we currently have a Vice Chair of the Board. Our Board continues to believe that the separation of the positions of Chair of the Board and Chief Executive Officer, together with the role of Vice Chair,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 Chair is a member of management or does not otherwise qualify as independent, the Independent Directors may elect a lead independent director. Presently, the Board has not appointed a lead independent director because the Chair is independent. From March 2023 until April 2024, Susan Heystee was appointed as lead independent director. If applicable,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Chair of the Board. When the Chair of the Board is an independent director, the Chair of the Board serves as lead independent director. The Board may modify its leadership structure in the future as it deems appropriate.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cybersecurity and data privacy risks, including oversight of the measures taken by management to remediate our material weaknesses.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non-management, independent members of the Board meet in regularly scheduled executive sessions. Theodore L. Tewksbury, as independent Chair of the Board, presides over such executive sessions.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that governs the purchase, sale and/or other disposition of the Company’s securities by directors, officers and other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2024 filed with the SEC on March 21, 2025.</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Ouster has adopted a Recovery of Erroneously Awarded Compensation Policy that consistent with final SEC and Nasdaq rules, requires the clawback of certain erroneously awarded compensation. In conformance with these rules, our policy requires the clawback by the Company of certain incentive-based compensation paid to current and former executive officers in the event that the Company is required to prepare an accounting restatement pursuant to which such compensation would not properly have been paid.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generally grant equity awards at regularly scheduled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not granted stock options or similar option-like instruments to our service providers since 2021. Accordingly, during fiscal year 2024, we did not grant stock options or similar option like instruments to our NEOs during the four business days prior to or the one business day following the filing of our periodic reports or the filing or furnishing of a Form 8-K that discloses material nonpublic information.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Investors website at </w:t>
      </w:r>
      <w:r>
        <w:rPr>
          <w:rFonts w:ascii="Times New Roman" w:cs="Times New Roman" w:eastAsia="Times New Roman" w:hAnsi="Times New Roman"/>
          <w:sz w:val="18"/>
          <w:szCs w:val="18"/>
          <w:i w:val="1"/>
          <w:iCs w:val="1"/>
          <w:color w:val="auto"/>
        </w:rPr>
        <w:t>investors.ouster.com</w:t>
      </w:r>
      <w:r>
        <w:rPr>
          <w:rFonts w:ascii="Times New Roman" w:cs="Times New Roman" w:eastAsia="Times New Roman" w:hAnsi="Times New Roman"/>
          <w:sz w:val="18"/>
          <w:szCs w:val="18"/>
          <w:color w:val="auto"/>
        </w:rPr>
        <w:t xml:space="preserve"> in the “Corporate Governance” section. We expect that any amendments to the Code of Conduct, or any waivers of its requirements, that are required to be disclosed by SEC or Nasdaq Rules will be disclosed on our website. We granted no waivers under our Code of Conduct with respect to our executive officers or directors in fiscal year 2024.</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 were 9 meetings of the Board during the fiscal year ended December 31, 2024. During the fiscal year ended December 31, 2024, each incumbent director attended at least 75% of the aggregate of (i) all meetings of the Board during the period in which he or she served as a director and (ii) all meetings of the committees on which he or she served during the period in which he or she served as a director. Last year, all of our then-current directors attended the 2024 annual meeting of stockholders.</w:t>
      </w:r>
    </w:p>
    <w:p>
      <w:pPr>
        <w:spacing w:after="0" w:line="7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all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has established three standing committees: Audit, Compensation and Nominating and Corporate Governance — each of which operates pursuant to a written charter that has been approved by our Board specifically for each respective committee.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are set forth in the following chart:</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Virginia Boulet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Christina C. Correia</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Susan Heystee (</w:t>
            </w:r>
            <w:r>
              <w:rPr>
                <w:rFonts w:ascii="Times New Roman" w:cs="Times New Roman" w:eastAsia="Times New Roman" w:hAnsi="Times New Roman"/>
                <w:sz w:val="18"/>
                <w:szCs w:val="18"/>
                <w:b w:val="1"/>
                <w:bCs w:val="1"/>
                <w:i w:val="1"/>
                <w:iCs w:val="1"/>
                <w:color w:val="auto"/>
              </w:rPr>
              <w:t>Vice Chair of the Board)</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Ernest E. Maddock</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A. Skaggs</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Theodore L. Tewksbury, Ph.D. (</w:t>
            </w:r>
            <w:r>
              <w:rPr>
                <w:rFonts w:ascii="Times New Roman" w:cs="Times New Roman" w:eastAsia="Times New Roman" w:hAnsi="Times New Roman"/>
                <w:sz w:val="18"/>
                <w:szCs w:val="18"/>
                <w:b w:val="1"/>
                <w:bCs w:val="1"/>
                <w:i w:val="1"/>
                <w:iCs w:val="1"/>
                <w:color w:val="auto"/>
              </w:rPr>
              <w:t>Chair of the Board)</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85"/>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 but are not limited to:</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including our internal audit function, and compliance with legal and regulatory requirements;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enterprise risk management, including the management of financial risks and cybersecurity risks;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adequacy and effectiveness of our internal control over financial reporting and our compliance with legal and regulatory requirements;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52"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The current members of the Audit Committee are Ernest E. Maddock, Stephen A. Skaggs and Christina C. Correia, with Ernest E. Maddock serving as the chair.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of Ernest E. Maddock, Stephen A. Skaggs and Christina C. Correia are independent directors under Nasdaq Rules and the additional independence standards applicable to audit committee members established pursuant to Rule 10A-3 under the Exchange Act. Our Board has also determined that each of Ernest E. Maddock, Stephen A. Skaggs and Christina C. Correia meets the “financial literacy” requirement for Audit Committee members under Nasdaq Rules and that each of Ernest E. Maddock, Stephen A. Skaggs and Christina C. Correia is an “audit committee financial expert” within the meaning of the SEC rules and has accounting or related financial management expertise as required under the Nasdaq Rules.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5 times during the fiscal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matters:</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relevant to the compensation of our Chief Executive Officer, evaluating the performance of our Chief Executive Officer in light of these goals and objectives and, based upon this evaluation (either alone, or if directed by our Board, in conjunction with a majority of the independent directors of our Board), setting the compensation of our Chief Executive Officer;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regarding the compensation of our other executive officers;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compensation of our directors as well as directors’ and officers’ indemnification and insurance arrangements;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regarding our incentive compensation and equity-based plans and arrangements;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overseeing our compliance with the compensation recovery policy required by applicable SEC and Nasdaq rules;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1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Compensation Committee’s charter, which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In 2024, the Compensation Committee engaged Semler Brossy to serve as a compensation consultant on executive compensation matters. The Compensation Committee has considered the adviser independence factors required under Nasdaq rules as they relate to Semler Brossy and has determined that Semler Brossy’s work does not raise a conflict of interest.</w:t>
      </w:r>
    </w:p>
    <w:p>
      <w:pPr>
        <w:spacing w:after="0" w:line="7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amended and restated bylaws (the “Bylaws”) and applicable Nasdaq Rules.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current members of our Compensation Committee are Susan Heystee, Ernest E. Maddock and Stephen A. Skaggs, with Susan Heystee serving as the chair. Each member of our Compensation Committee meets the requirements for independence under the current Nasdaq Rules, including the Nasdaq Rules applicable to compensation committee membership. Each member of our Compensation Committee is also a non-employee director, as defined in Section 16b-3 of the Exchange Act.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6 times during the fiscal year ended December 31, 2024.</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matters:</w:t>
      </w:r>
    </w:p>
    <w:p>
      <w:pPr>
        <w:spacing w:after="0" w:line="90"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nominees for election to our Board at annual meetings of stockholders and director candidates to fill vacancies occurring between annual meetings of stockholders;</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Board leadership structure and recommending any proposed changes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periodic evaluation of the Board and its committees;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Chief Executive Officer and other executive officer roles;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 and overseeing other corporate governance matters.</w:t>
      </w:r>
    </w:p>
    <w:p>
      <w:pPr>
        <w:spacing w:after="0" w:line="5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website at </w:t>
      </w:r>
      <w:r>
        <w:rPr>
          <w:rFonts w:ascii="Times New Roman" w:cs="Times New Roman" w:eastAsia="Times New Roman" w:hAnsi="Times New Roman"/>
          <w:sz w:val="18"/>
          <w:szCs w:val="18"/>
          <w:i w:val="1"/>
          <w:iCs w:val="1"/>
          <w:color w:val="auto"/>
        </w:rPr>
        <w:t>www.ouster.com</w:t>
      </w:r>
      <w:r>
        <w:rPr>
          <w:rFonts w:ascii="Times New Roman" w:cs="Times New Roman" w:eastAsia="Times New Roman" w:hAnsi="Times New Roman"/>
          <w:sz w:val="18"/>
          <w:szCs w:val="18"/>
          <w:color w:val="auto"/>
        </w:rPr>
        <w:t>. Our Nominating and Corporate Governance Committee consists of Virginia Boulet, Susan Heystee and Theodore L. Tewksbury, with Virginia Boulet serving as the chair. Each member of our Nominating and Corporate Governance Committee meets the requirements for independence under the current Nasdaq Rules. The Nominating and Corporate Governance Committee has the authority to consult with outside advisors or retain search firms to assist in the search for qualified candidates or consider director candidates recommended by our stockholders.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met 3 times during the fiscal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2024 named executive officers. Our named executive officers and their positions for the year ended December 31, 2024 (collectively, the “named executive officers”) are:</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Angus Pacala, our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Frichtl, our Chief Technology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Megan Chung, our General Counsel and Secretary.</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of our proxy statement and have elected to comply with the scaled disclosure requirements applicable to smaller reporting company.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named executive officers during our most recently completed fiscal year ended December 31, 2024.</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400,000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1,099,515</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399,240</w:t>
            </w: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11,692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1,910,447</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324,999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368,400</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354,871</w:t>
            </w: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8,692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1,056,962</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Mark Frichtl</w:t>
            </w:r>
          </w:p>
        </w:tc>
        <w:tc>
          <w:tcPr>
            <w:tcW w:w="12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199,620</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4,307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1,336,940</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344,998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368,400</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188,354</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8,261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910,013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Chung</w:t>
            </w:r>
          </w:p>
        </w:tc>
        <w:tc>
          <w:tcPr>
            <w:tcW w:w="4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350,000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602,884</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174,668</w:t>
            </w: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9,923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1,137,475</w:t>
            </w: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awards granted during fiscal 2024 computed in accordance with Accounting Standards Codification (“ASC”) Topic 718. We provide information regarding the assumptions used to calculate the value of all stock awards made to named executive officers in Note 11 of our financial statements included in our Form 10-K.</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fiscal 2024 constitute employer matching contributions under our 401(k) plan.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2024 Annual Base Salaries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For 2024, the annual base salaries of Mr. Pacala, Mr. Frichtl and Ms. Chung were $400,000, $400,000 and $350,000, respectively.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retain the discretion to increase the annual base salaries of our named executive officers from time to time.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2024, each of our executive officers was eligible to earn performance-based, short-term incentive compensation based on pre-set quantitative performance goals. In February 2024, our compensation committee established Mr. Pacala’s target bonus opportunity for 2024 at 100% of his annual base salary, Mr. Frichtl’s target bonus opportunity for 2024 at 50% of his annual base salary and Ms. Chung’s target bonus opportunity for 2024 at 50% of her annual base salary. In early 2025, our compensation committee determined that the financial metrics for 2024 were achieved at 99.81%. The bonuses set forth in the 2024 Summary Compensation Table were paid in cash in March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grant equity awards, typically comprised of restricted stock or restricted stock units, to our employees, including our named executive officers, in order to attract and retain them, as well as to align their interests with the interests of our stockholders.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March 2024, our compensation committee granted Mr. Pacala 138,478 shares of restricted stock, Mr. Frichtl 92,319 shares of restricted stock and Ms. Chung 60,930 shares of restricted stock. Each award of restricted stock vests as to 50% of the shares comprising the award on each of December 11, 2024 and September 11, 2025, in each case, subject to continued service to us through the applicable vesting date.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Also in March 2024, our compensation committee granted Ms. Chung 15,000 fully vested restricted stock units.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21"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2024.</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All amounts in the table are reported after giving effect to our 1 for 10 reverse stock split completed on April 21, 2023.</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21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9"/>
        </w:trPr>
        <w:tc>
          <w:tcPr>
            <w:tcW w:w="2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left="55"/>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Pacala</w:t>
            </w:r>
          </w:p>
        </w:tc>
        <w:tc>
          <w:tcPr>
            <w:tcW w:w="14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435,976</w:t>
            </w:r>
          </w:p>
        </w:tc>
        <w:tc>
          <w:tcPr>
            <w:tcW w:w="12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435,975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8"/>
              </w:rPr>
              <w:t>14.22</w:t>
            </w:r>
          </w:p>
        </w:tc>
        <w:tc>
          <w:tcPr>
            <w:tcW w:w="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3/28/2024</w:t>
            </w:r>
            <w:r>
              <w:rPr>
                <w:rFonts w:ascii="Times New Roman" w:cs="Times New Roman" w:eastAsia="Times New Roman" w:hAnsi="Times New Roman"/>
                <w:sz w:val="29"/>
                <w:szCs w:val="29"/>
                <w:color w:val="auto"/>
                <w:w w:val="94"/>
                <w:vertAlign w:val="superscript"/>
              </w:rPr>
              <w:t>(2)</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846,101</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Frichtl</w:t>
            </w:r>
          </w:p>
        </w:tc>
        <w:tc>
          <w:tcPr>
            <w:tcW w:w="140" w:type="dxa"/>
            <w:vAlign w:val="bottom"/>
          </w:tcPr>
          <w:p>
            <w:pPr>
              <w:spacing w:after="0"/>
              <w:rPr>
                <w:sz w:val="17"/>
                <w:szCs w:val="17"/>
                <w:color w:val="auto"/>
              </w:rPr>
            </w:pPr>
          </w:p>
        </w:tc>
        <w:tc>
          <w:tcPr>
            <w:tcW w:w="1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10/2/2020</w:t>
            </w:r>
          </w:p>
        </w:tc>
        <w:tc>
          <w:tcPr>
            <w:tcW w:w="14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316,434</w:t>
            </w:r>
          </w:p>
        </w:tc>
        <w:tc>
          <w:tcPr>
            <w:tcW w:w="120" w:type="dxa"/>
            <w:vAlign w:val="bottom"/>
          </w:tcPr>
          <w:p>
            <w:pPr>
              <w:spacing w:after="0"/>
              <w:rPr>
                <w:sz w:val="17"/>
                <w:szCs w:val="17"/>
                <w:color w:val="auto"/>
              </w:rPr>
            </w:pPr>
          </w:p>
        </w:tc>
        <w:tc>
          <w:tcPr>
            <w:tcW w:w="880" w:type="dxa"/>
            <w:vAlign w:val="bottom"/>
          </w:tcPr>
          <w:p>
            <w:pPr>
              <w:jc w:val="right"/>
              <w:ind w:right="2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2.13</w:t>
            </w:r>
          </w:p>
        </w:tc>
        <w:tc>
          <w:tcPr>
            <w:tcW w:w="90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10/2/2020</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316,433</w:t>
            </w:r>
          </w:p>
        </w:tc>
        <w:tc>
          <w:tcPr>
            <w:tcW w:w="120" w:type="dxa"/>
            <w:vAlign w:val="bottom"/>
          </w:tcPr>
          <w:p>
            <w:pPr>
              <w:spacing w:after="0"/>
              <w:rPr>
                <w:sz w:val="19"/>
                <w:szCs w:val="19"/>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5"/>
              <w:spacing w:after="0"/>
              <w:rPr>
                <w:sz w:val="20"/>
                <w:szCs w:val="20"/>
                <w:color w:val="auto"/>
              </w:rPr>
            </w:pPr>
            <w:r>
              <w:rPr>
                <w:rFonts w:ascii="Times New Roman" w:cs="Times New Roman" w:eastAsia="Times New Roman" w:hAnsi="Times New Roman"/>
                <w:sz w:val="18"/>
                <w:szCs w:val="18"/>
                <w:color w:val="auto"/>
                <w:w w:val="98"/>
              </w:rPr>
              <w:t>14.22</w:t>
            </w:r>
          </w:p>
        </w:tc>
        <w:tc>
          <w:tcPr>
            <w:tcW w:w="9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10/1/2030</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1"/>
        </w:trPr>
        <w:tc>
          <w:tcPr>
            <w:tcW w:w="2180" w:type="dxa"/>
            <w:vAlign w:val="bottom"/>
          </w:tcPr>
          <w:p>
            <w:pPr>
              <w:spacing w:after="0"/>
              <w:rPr>
                <w:sz w:val="23"/>
                <w:szCs w:val="23"/>
                <w:color w:val="auto"/>
              </w:rPr>
            </w:pPr>
          </w:p>
        </w:tc>
        <w:tc>
          <w:tcPr>
            <w:tcW w:w="1180" w:type="dxa"/>
            <w:vAlign w:val="bottom"/>
            <w:gridSpan w:val="2"/>
          </w:tcPr>
          <w:p>
            <w:pPr>
              <w:ind w:left="260"/>
              <w:spacing w:after="0" w:line="271" w:lineRule="exact"/>
              <w:rPr>
                <w:sz w:val="20"/>
                <w:szCs w:val="20"/>
                <w:color w:val="auto"/>
              </w:rPr>
            </w:pPr>
            <w:r>
              <w:rPr>
                <w:rFonts w:ascii="Times New Roman" w:cs="Times New Roman" w:eastAsia="Times New Roman" w:hAnsi="Times New Roman"/>
                <w:sz w:val="18"/>
                <w:szCs w:val="18"/>
                <w:color w:val="auto"/>
                <w:w w:val="94"/>
              </w:rPr>
              <w:t>3/28/2024</w:t>
            </w:r>
            <w:r>
              <w:rPr>
                <w:rFonts w:ascii="Times New Roman" w:cs="Times New Roman" w:eastAsia="Times New Roman" w:hAnsi="Times New Roman"/>
                <w:sz w:val="29"/>
                <w:szCs w:val="29"/>
                <w:color w:val="auto"/>
                <w:w w:val="94"/>
                <w:vertAlign w:val="superscript"/>
              </w:rPr>
              <w:t>(2)</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46,160</w:t>
            </w:r>
          </w:p>
        </w:tc>
        <w:tc>
          <w:tcPr>
            <w:tcW w:w="86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564,075</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Chung</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6/11/2021</w:t>
            </w:r>
            <w:r>
              <w:rPr>
                <w:rFonts w:ascii="Times New Roman" w:cs="Times New Roman" w:eastAsia="Times New Roman" w:hAnsi="Times New Roman"/>
                <w:sz w:val="29"/>
                <w:szCs w:val="29"/>
                <w:color w:val="auto"/>
                <w:w w:val="94"/>
                <w:vertAlign w:val="superscript"/>
              </w:rPr>
              <w:t>(3)</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11,304</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8/10/2022</w:t>
            </w:r>
            <w:r>
              <w:rPr>
                <w:rFonts w:ascii="Times New Roman" w:cs="Times New Roman" w:eastAsia="Times New Roman" w:hAnsi="Times New Roman"/>
                <w:sz w:val="29"/>
                <w:szCs w:val="29"/>
                <w:color w:val="auto"/>
                <w:w w:val="94"/>
                <w:vertAlign w:val="superscript"/>
              </w:rPr>
              <w:t>(4)</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1/25/2023</w:t>
            </w:r>
            <w:r>
              <w:rPr>
                <w:rFonts w:ascii="Times New Roman" w:cs="Times New Roman" w:eastAsia="Times New Roman" w:hAnsi="Times New Roman"/>
                <w:sz w:val="29"/>
                <w:szCs w:val="29"/>
                <w:color w:val="auto"/>
                <w:w w:val="94"/>
                <w:vertAlign w:val="superscript"/>
              </w:rPr>
              <w:t>(4)</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8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101,829</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3/16/2023</w:t>
            </w:r>
            <w:r>
              <w:rPr>
                <w:rFonts w:ascii="Times New Roman" w:cs="Times New Roman" w:eastAsia="Times New Roman" w:hAnsi="Times New Roman"/>
                <w:sz w:val="29"/>
                <w:szCs w:val="29"/>
                <w:color w:val="auto"/>
                <w:w w:val="94"/>
                <w:vertAlign w:val="superscript"/>
              </w:rPr>
              <w:t>(3)</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8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494,910</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w w:val="94"/>
              </w:rPr>
              <w:t>3/28/2024</w:t>
            </w:r>
            <w:r>
              <w:rPr>
                <w:rFonts w:ascii="Times New Roman" w:cs="Times New Roman" w:eastAsia="Times New Roman" w:hAnsi="Times New Roman"/>
                <w:sz w:val="29"/>
                <w:szCs w:val="29"/>
                <w:color w:val="auto"/>
                <w:w w:val="94"/>
                <w:vertAlign w:val="superscript"/>
              </w:rPr>
              <w:t>(2)</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372,282</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the $12.22 closing trading price of our common stock as of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restricted stock will vest in full on September 11, 2025, subject to continued service to us through the vesting date.</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in substantially equal quarterly installments through the fourth anniversary of the vesting commencement date, subject to continued service to us through the applicable vesting date.</w:t>
      </w: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in substantially equal quarterly installments through the third anniversary of the vesting commencement date, subject to continued service to us through the applicable vesting date.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entered into an offer letter agreement, as amended by the addendum thereto, with Ms. Chung. While nothing remains executory under Ms. Chung’s offer letter, the letter, together with the addendum, sets forth the terms and conditions of her employment with us, including her initial base salary, initial equity grants and employee benefits eligibility. None of our named executive officers are entitled to severance or other payments in connection with a termination of employment or change in control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53492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PAY VERSUS PERFORMANCE (PVP)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28575</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w:t>
      </w:r>
    </w:p>
    <w:p>
      <w:pPr>
        <w:spacing w:after="0" w:line="18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0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22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for PEO</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to PEO</w:t>
            </w:r>
            <w:r>
              <w:rPr>
                <w:rFonts w:ascii="Times New Roman" w:cs="Times New Roman" w:eastAsia="Times New Roman" w:hAnsi="Times New Roman"/>
                <w:sz w:val="20"/>
                <w:szCs w:val="20"/>
                <w:b w:val="1"/>
                <w:bCs w:val="1"/>
                <w:color w:val="auto"/>
                <w:vertAlign w:val="superscript"/>
              </w:rPr>
              <w:t>(2)</w:t>
            </w:r>
          </w:p>
        </w:tc>
        <w:tc>
          <w:tcPr>
            <w:tcW w:w="20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NEOs</w:t>
            </w:r>
            <w:r>
              <w:rPr>
                <w:rFonts w:ascii="Times New Roman" w:cs="Times New Roman" w:eastAsia="Times New Roman" w:hAnsi="Times New Roman"/>
                <w:sz w:val="20"/>
                <w:szCs w:val="20"/>
                <w:b w:val="1"/>
                <w:bCs w:val="1"/>
                <w:color w:val="auto"/>
                <w:vertAlign w:val="superscript"/>
              </w:rPr>
              <w:t>(1)</w:t>
            </w:r>
          </w:p>
        </w:tc>
        <w:tc>
          <w:tcPr>
            <w:tcW w:w="2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NEOs</w:t>
            </w:r>
            <w:r>
              <w:rPr>
                <w:rFonts w:ascii="Times New Roman" w:cs="Times New Roman" w:eastAsia="Times New Roman" w:hAnsi="Times New Roman"/>
                <w:sz w:val="20"/>
                <w:szCs w:val="20"/>
                <w:b w:val="1"/>
                <w:bCs w:val="1"/>
                <w:color w:val="auto"/>
                <w:vertAlign w:val="superscript"/>
              </w:rPr>
              <w:t>(2)</w:t>
            </w:r>
          </w:p>
        </w:tc>
        <w:tc>
          <w:tcPr>
            <w:tcW w:w="220" w:type="dxa"/>
            <w:vAlign w:val="bottom"/>
          </w:tcPr>
          <w:p>
            <w:pPr>
              <w:spacing w:after="0"/>
              <w:rPr>
                <w:sz w:val="15"/>
                <w:szCs w:val="15"/>
                <w:color w:val="auto"/>
              </w:rPr>
            </w:pPr>
          </w:p>
        </w:tc>
        <w:tc>
          <w:tcPr>
            <w:tcW w:w="94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20"/>
                <w:szCs w:val="20"/>
                <w:b w:val="1"/>
                <w:bCs w:val="1"/>
                <w:color w:val="auto"/>
                <w:vertAlign w:val="superscript"/>
              </w:rPr>
              <w:t>(3)</w:t>
            </w:r>
          </w:p>
        </w:tc>
        <w:tc>
          <w:tcPr>
            <w:tcW w:w="220" w:type="dxa"/>
            <w:vAlign w:val="bottom"/>
          </w:tcPr>
          <w:p>
            <w:pPr>
              <w:spacing w:after="0"/>
              <w:rPr>
                <w:sz w:val="15"/>
                <w:szCs w:val="15"/>
                <w:color w:val="auto"/>
              </w:rPr>
            </w:pPr>
          </w:p>
        </w:tc>
        <w:tc>
          <w:tcPr>
            <w:tcW w:w="104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(in thousands)</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112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1,910,447</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2,295,093</w:t>
            </w:r>
          </w:p>
        </w:tc>
        <w:tc>
          <w:tcPr>
            <w:tcW w:w="11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1,237,208</w:t>
            </w:r>
          </w:p>
        </w:tc>
        <w:tc>
          <w:tcPr>
            <w:tcW w:w="11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1,564,845</w:t>
            </w:r>
          </w:p>
        </w:tc>
        <w:tc>
          <w:tcPr>
            <w:tcW w:w="11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9.05</w:t>
            </w:r>
          </w:p>
        </w:tc>
        <w:tc>
          <w:tcPr>
            <w:tcW w:w="12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(97,045)</w:t>
            </w: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1,056,962</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598,839</w:t>
            </w:r>
          </w:p>
        </w:tc>
        <w:tc>
          <w:tcPr>
            <w:tcW w:w="110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9"/>
              </w:rPr>
              <w:t>2,486,737</w:t>
            </w:r>
          </w:p>
        </w:tc>
        <w:tc>
          <w:tcPr>
            <w:tcW w:w="112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946,121</w:t>
            </w:r>
          </w:p>
        </w:tc>
        <w:tc>
          <w:tcPr>
            <w:tcW w:w="116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8"/>
              </w:rPr>
              <w:t>14.75</w:t>
            </w:r>
          </w:p>
        </w:tc>
        <w:tc>
          <w:tcPr>
            <w:tcW w:w="12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(374,110)</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166,400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(21,360,073)</w:t>
            </w:r>
          </w:p>
        </w:tc>
        <w:tc>
          <w:tcPr>
            <w:tcW w:w="11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2,223,570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(794,923)</w:t>
            </w:r>
          </w:p>
        </w:tc>
        <w:tc>
          <w:tcPr>
            <w:tcW w:w="116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8"/>
              </w:rPr>
              <w:t>16.60</w:t>
            </w:r>
          </w:p>
        </w:tc>
        <w:tc>
          <w:tcPr>
            <w:tcW w:w="12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(138,560)</w:t>
            </w: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1640" w:right="1300" w:hanging="348"/>
        <w:spacing w:after="0"/>
        <w:tabs>
          <w:tab w:leader="none" w:pos="1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Pacala served as principal executive officer (PEO) for 2024, 2023 and 2022. Our non-PEO named executive officers (NEOs) included Mr. Frichtl and Ms. Chung for 2024, Mark Weinswig, Mr. Spencer, Anna Brunelle and Adam Dolinko for 2023, and Ms. Brunelle and Nathan Dickerman for 2022. Amounts shown reflect Summary Compensation Table total compensation for our PEO and NEOs in each year.</w:t>
      </w:r>
    </w:p>
    <w:p>
      <w:pPr>
        <w:spacing w:after="0" w:line="165" w:lineRule="exact"/>
        <w:rPr>
          <w:rFonts w:ascii="Times New Roman" w:cs="Times New Roman" w:eastAsia="Times New Roman" w:hAnsi="Times New Roman"/>
          <w:sz w:val="14"/>
          <w:szCs w:val="14"/>
          <w:color w:val="auto"/>
        </w:rPr>
      </w:pPr>
    </w:p>
    <w:p>
      <w:pPr>
        <w:jc w:val="both"/>
        <w:ind w:left="1640" w:right="1300" w:hanging="348"/>
        <w:spacing w:after="0" w:line="233" w:lineRule="auto"/>
        <w:tabs>
          <w:tab w:leader="none" w:pos="1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CAP calculation includes the end-of-year value of awards granted within the fiscal year, the change in fair value from prior year-end of vested awards and the change in the fair value of unvested awards granted in prior years, regardless of if, when, or at what intrinsic value they will actually vest.</w:t>
      </w:r>
    </w:p>
    <w:p>
      <w:pPr>
        <w:spacing w:after="0" w:line="3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PEO SCT Total to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36830</wp:posOffset>
            </wp:positionV>
            <wp:extent cx="53492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1,910,447</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Granted in Fiscal Year</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$(1,099,515)</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Fiscal Year-End of Outstanding Unvested Stock Awards Granted in Fiscal Year</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846,101</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Outstanding Unvested Stock Awards Granted in Prior Fiscal Years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Vesting of Stock Awards Granted in Fiscal Year That Vested During Fiscal Year</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666,772</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Change in Fair Value as of Vesting Date of Stock Awards Granted in Prior Fiscal Years For Which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1300" w:type="dxa"/>
            <w:vAlign w:val="bottom"/>
          </w:tcPr>
          <w:p>
            <w:pPr>
              <w:spacing w:after="0"/>
              <w:rPr>
                <w:sz w:val="20"/>
                <w:szCs w:val="20"/>
                <w:color w:val="auto"/>
              </w:rPr>
            </w:pPr>
          </w:p>
        </w:tc>
      </w:tr>
      <w:tr>
        <w:trPr>
          <w:trHeight w:val="218"/>
        </w:trPr>
        <w:tc>
          <w:tcPr>
            <w:tcW w:w="130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Fair Value as of Prior Fiscal Year-End of Stock Awards Granted in Prior Fiscal Years That Failed to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 Applicable Vesting Conditions During Fiscal Year</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Dividends or Other Earnings Paid on Stock or Option Awards in the Fiscal Year Prior to the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 that are not otherwise included in the Total Compensation for the Fiscal Year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r>
      <w:tr>
        <w:trPr>
          <w:trHeight w:val="270"/>
        </w:trPr>
        <w:tc>
          <w:tcPr>
            <w:tcW w:w="130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2,295,093</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73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7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Non-PEO NEO Average SCT Total to Average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5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SCT Total</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$1,237,208</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Granted in Fiscal Year</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(667,949)</w:t>
            </w:r>
          </w:p>
        </w:tc>
      </w:tr>
      <w:tr>
        <w:trPr>
          <w:trHeight w:val="24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Fiscal Year-End of Outstanding Unvested Stock Awards Granted in Fiscal Year</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468,179</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 Change in Fair Value of Outstanding Unvested Stock Awards Granted in Prior Fiscal Years</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114,735</w:t>
            </w:r>
          </w:p>
        </w:tc>
      </w:tr>
      <w:tr>
        <w:trPr>
          <w:trHeight w:val="24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Vesting of Stock Awards Granted in Fiscal Year That Vested During Fiscal Year</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428,495</w:t>
            </w:r>
          </w:p>
        </w:tc>
      </w:tr>
      <w:tr>
        <w:trPr>
          <w:trHeight w:val="211"/>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w w:val="99"/>
              </w:rPr>
              <w:t>± Change in Fair Value as of Vesting Date of Stock Awards Granted in Prior Fiscal Years For Which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w:t>
            </w:r>
          </w:p>
        </w:tc>
      </w:tr>
      <w:tr>
        <w:trPr>
          <w:trHeight w:val="21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Fair Value as of Prior Fiscal Year-End of Stock Awards Granted in Prior Fiscal Years That Failed to</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8"/>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 Applicable Vesting Conditions During Fiscal Year</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1"/>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 Dividends or Other Earnings Paid on Stock or Option Awards in the Fiscal Year Prior to the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Date that are not otherwise included in the Total Compensation for the Fiscal Year</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$1,564,845</w:t>
            </w:r>
          </w:p>
        </w:tc>
      </w:tr>
      <w:tr>
        <w:trPr>
          <w:trHeight w:val="54"/>
        </w:trPr>
        <w:tc>
          <w:tcPr>
            <w:tcW w:w="7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fair value of equity awards was determined using methodologies and assumptions developed in a manner substantively consistent with those used to determine the grant date fair value of such awards. For our stock options valued using the Black-Scholes formula, this resulted in expected term assumptions ranging between 0.50 and 7.42 years, expected volatilities between 83% and 109%, and risk-free rates between 3.3% and 5.2% for fiscal 2024 CAP calculations.</w:t>
      </w:r>
    </w:p>
    <w:p>
      <w:pPr>
        <w:spacing w:after="0" w:line="17" w:lineRule="exact"/>
        <w:rPr>
          <w:sz w:val="20"/>
          <w:szCs w:val="20"/>
          <w:color w:val="auto"/>
        </w:rPr>
      </w:pPr>
    </w:p>
    <w:p>
      <w:pPr>
        <w:jc w:val="both"/>
        <w:ind w:left="640" w:right="319" w:hanging="348"/>
        <w:spacing w:after="0" w:line="24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(TSR) represents the cumulative return on a fixed investment of $100 in the Company’s common stock, for the period beginning on the last trading day of fiscal year 2021 through the end of the applicable fiscal year. The Company has not paid a dividend during that time.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net loss reflected in the Company’s audited financial statements for the applicable year.</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CHARTS OF CAP VERSUS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average Non-PEO CAP amounts and the Company’s TSR during the period 2022-2024.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615305" cy="34201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1530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CAP amounts and the Company’s Net Loss during the period 2022-2024.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148590</wp:posOffset>
            </wp:positionV>
            <wp:extent cx="5297805" cy="3326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9780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fiscal year 2024, directors who were executives of the Company were not eligible to receive additional compensation for their services as directors.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maintain our Third Amended and Restated Non-Employee Director Compensation Program (the “Non-employee Director Compensation Program”) for our non-employee directors, which was most recently amended in April 2024. Pursuant to the Non-Employee Director Compensation Program, our non-employee directors receive cash compensation as follows:</w:t>
      </w:r>
    </w:p>
    <w:p>
      <w:pPr>
        <w:spacing w:after="0" w:line="72"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an annual cash retainer in the amount of $40,000 per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chair of our Board receives an additional annual cash retainer in the amount of $60,000 per year.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Lead Director and, effective in 2024, any Vice Chair receives an additional annual cash retainer in the amount of $60,000 per year.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receives additional annual cash compensation in the amount of $20,000 per year for such chair’s service on the audit committee. Each non-chair member of the audit committee receives additional annual cash compensation in the amount of $10,000 per year for such member’s service on the audit committee.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compensation committee receives additional annual cash compensation in the amount of $15,000 per year for such chair’s service on the compensation committee. Each non-chair member of the compensation committee receives additional annual cash compensation in the amount of $6,000 per year for such member’s service on the compensation committee.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nominating and corporate governance committee receives additional annual cash compensation in the amount of $10,000 per year for such chair’s service on the nominating and corporate governance committee. Each non-chair member of the nominating and corporate governance committee receives additional annual cash compensation in the amount of $5,000 per year for such member’s service on the nominating and corporate governance committee.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may also elect to receive all or part of his or her annual cash retainer in the form of restricted stock units under our 2021 Incentive Award Plan or, effective in 2024 and to the extent permitted, the Velodyne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with the number of restricted stock units determined by dividing the amount of the applicable portion of the annual cash retainer by the average closing trading price of our common stock over the 30 days immediately preceding the date of grant.</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Non-Employee Director Compensation Program, upon the initial appointment or election of a non-employee director, the director will automatically be granted under our 2021 Incentive Award Plan or, effective in 2024 and to the extent permitted, the Velodyne Plan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of our common stock as of the date of grant that vests in equal quarterly installments through the date of the next annual stockholders meeting. Additionally, on the date of each annual stockholders meeting, each non-employee director automatically will be granted an award of restricted stock units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Additionally, the Non-Employee Director Compensation Program provides that non-employee directors may elect to defer all or part of the settlement of restricted stock units granted to them.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all restricted stock units and other equity-based awards held by any non-employee director, will vest immediately prior to such change in control.</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for Fiscal 2024</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contains information concerning the compensation of our non-employee directors in fiscal 2024:</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6"/>
                <w:szCs w:val="16"/>
                <w:color w:val="auto"/>
              </w:rPr>
            </w:pP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Boulet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204,989</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Susan Heystee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298,311</w:t>
            </w: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E. Maddock</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220,989</w:t>
            </w:r>
          </w:p>
        </w:tc>
        <w:tc>
          <w:tcPr>
            <w:tcW w:w="0" w:type="dxa"/>
            <w:vAlign w:val="bottom"/>
          </w:tcPr>
          <w:p>
            <w:pPr>
              <w:spacing w:after="0"/>
              <w:rPr>
                <w:sz w:val="1"/>
                <w:szCs w:val="1"/>
                <w:color w:val="auto"/>
              </w:rPr>
            </w:pPr>
          </w:p>
        </w:tc>
      </w:tr>
      <w:tr>
        <w:trPr>
          <w:trHeight w:val="283"/>
        </w:trPr>
        <w:tc>
          <w:tcPr>
            <w:tcW w:w="60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Karin Rådström</w:t>
            </w:r>
            <w:r>
              <w:rPr>
                <w:rFonts w:ascii="Times New Roman" w:cs="Times New Roman" w:eastAsia="Times New Roman" w:hAnsi="Times New Roman"/>
                <w:sz w:val="29"/>
                <w:szCs w:val="29"/>
                <w:color w:val="auto"/>
                <w:vertAlign w:val="superscript"/>
              </w:rPr>
              <w:t>(3)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0" w:type="dxa"/>
            <w:vAlign w:val="bottom"/>
          </w:tcPr>
          <w:p>
            <w:pPr>
              <w:spacing w:after="0"/>
              <w:rPr>
                <w:sz w:val="1"/>
                <w:szCs w:val="1"/>
                <w:color w:val="auto"/>
              </w:rPr>
            </w:pPr>
          </w:p>
        </w:tc>
      </w:tr>
      <w:tr>
        <w:trPr>
          <w:trHeight w:val="283"/>
        </w:trPr>
        <w:tc>
          <w:tcPr>
            <w:tcW w:w="60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Kristin Slanina</w:t>
            </w:r>
            <w:r>
              <w:rPr>
                <w:rFonts w:ascii="Times New Roman" w:cs="Times New Roman" w:eastAsia="Times New Roman" w:hAnsi="Times New Roman"/>
                <w:sz w:val="29"/>
                <w:szCs w:val="29"/>
                <w:color w:val="auto"/>
                <w:vertAlign w:val="superscript"/>
              </w:rPr>
              <w:t>(3)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202,315</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Theodore L. Tewksbury, Ph.D.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154,989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256,973</w:t>
            </w:r>
          </w:p>
        </w:tc>
        <w:tc>
          <w:tcPr>
            <w:tcW w:w="0" w:type="dxa"/>
            <w:vAlign w:val="bottom"/>
          </w:tcPr>
          <w:p>
            <w:pPr>
              <w:spacing w:after="0"/>
              <w:rPr>
                <w:sz w:val="1"/>
                <w:szCs w:val="1"/>
                <w:color w:val="auto"/>
              </w:rPr>
            </w:pPr>
          </w:p>
        </w:tc>
      </w:tr>
      <w:tr>
        <w:trPr>
          <w:trHeight w:val="288"/>
        </w:trPr>
        <w:tc>
          <w:tcPr>
            <w:tcW w:w="608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Riaz Valani</w:t>
            </w:r>
            <w:r>
              <w:rPr>
                <w:rFonts w:ascii="Times New Roman" w:cs="Times New Roman" w:eastAsia="Times New Roman" w:hAnsi="Times New Roman"/>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0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Christina C. Correia</w:t>
            </w:r>
            <w:r>
              <w:rPr>
                <w:rFonts w:ascii="Times New Roman" w:cs="Times New Roman" w:eastAsia="Times New Roman" w:hAnsi="Times New Roman"/>
                <w:sz w:val="29"/>
                <w:szCs w:val="29"/>
                <w:color w:val="auto"/>
                <w:vertAlign w:val="superscript"/>
              </w:rPr>
              <w:t>(5)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409,831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Stephen A. Skaggs</w:t>
            </w:r>
            <w:r>
              <w:rPr>
                <w:rFonts w:ascii="Times New Roman" w:cs="Times New Roman" w:eastAsia="Times New Roman" w:hAnsi="Times New Roman"/>
                <w:sz w:val="29"/>
                <w:szCs w:val="29"/>
                <w:color w:val="auto"/>
                <w:vertAlign w:val="superscript"/>
              </w:rPr>
              <w:t>(5)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417,081</w:t>
            </w:r>
          </w:p>
        </w:tc>
        <w:tc>
          <w:tcPr>
            <w:tcW w:w="0" w:type="dxa"/>
            <w:vAlign w:val="bottom"/>
          </w:tcPr>
          <w:p>
            <w:pPr>
              <w:spacing w:after="0"/>
              <w:rPr>
                <w:sz w:val="1"/>
                <w:szCs w:val="1"/>
                <w:color w:val="auto"/>
              </w:rPr>
            </w:pPr>
          </w:p>
        </w:tc>
      </w:tr>
      <w:tr>
        <w:trPr>
          <w:trHeight w:val="54"/>
        </w:trPr>
        <w:tc>
          <w:tcPr>
            <w:tcW w:w="6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Mses. Heystee and Rådström elected to receive their annual retainers in fully-vested restricted stock units in lieu of cash. The amounts reported reflect the cash fees that would have been paid had the director not been granted restricted stock units in lieu of annual retainers, and the grant date fair value of the restricted stock units that is in excess of the amount of cash fees foregone is reported in the Stock Awards column. Our non-employee directors were also able to defer delivery of the shares underlying vested restricted stock units. As of December 31, 2024, Mr. Tewksbury held 26,222 vested restricted stock units, respectively, for which delivery of the underlying shares has been deferred.</w:t>
      </w:r>
    </w:p>
    <w:p>
      <w:pPr>
        <w:spacing w:after="0" w:line="140"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awards granted during fiscal 2024 computed in accordance with ASC Topic 718, rather than the amounts paid to or realized by the named individual. We provide information regarding the assumptions used to calculate the value of all stock awards made to our non-employee directors in Note 11 of our financial statements included in our Form 10-K.</w:t>
      </w:r>
    </w:p>
    <w:p>
      <w:pPr>
        <w:spacing w:after="0" w:line="14" w:lineRule="exact"/>
        <w:rPr>
          <w:rFonts w:ascii="Times New Roman" w:cs="Times New Roman" w:eastAsia="Times New Roman" w:hAnsi="Times New Roman"/>
          <w:sz w:val="14"/>
          <w:szCs w:val="14"/>
          <w:color w:val="auto"/>
        </w:rPr>
      </w:pPr>
    </w:p>
    <w:p>
      <w:pPr>
        <w:jc w:val="both"/>
        <w:ind w:left="660" w:right="29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aggregate numbers of shares underlying unvested restricted stock units held as of December 31, 2024 by each non-employee director who was serving as of December 31, 2024. Our non-employee directors did not hold any options or other equity awards that were subject to vesting as of December 31, 2024.</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8"/>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6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w:t>
            </w:r>
          </w:p>
        </w:tc>
        <w:tc>
          <w:tcPr>
            <w:tcW w:w="0" w:type="dxa"/>
            <w:vAlign w:val="bottom"/>
          </w:tcPr>
          <w:p>
            <w:pPr>
              <w:spacing w:after="0"/>
              <w:rPr>
                <w:sz w:val="1"/>
                <w:szCs w:val="1"/>
                <w:color w:val="auto"/>
              </w:rPr>
            </w:pPr>
          </w:p>
        </w:tc>
      </w:tr>
      <w:tr>
        <w:trPr>
          <w:trHeight w:val="23"/>
        </w:trPr>
        <w:tc>
          <w:tcPr>
            <w:tcW w:w="6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Boulet</w:t>
            </w:r>
          </w:p>
        </w:tc>
        <w:tc>
          <w:tcPr>
            <w:tcW w:w="11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Susan Heystee</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5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E. Maddock</w:t>
            </w:r>
          </w:p>
        </w:tc>
        <w:tc>
          <w:tcPr>
            <w:tcW w:w="11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Karin Rådström</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5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 Slanina</w:t>
            </w:r>
          </w:p>
        </w:tc>
        <w:tc>
          <w:tcPr>
            <w:tcW w:w="11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Theodore L. Tewksbury, Ph.D.</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5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C. Correia.</w:t>
            </w:r>
          </w:p>
        </w:tc>
        <w:tc>
          <w:tcPr>
            <w:tcW w:w="11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58,132</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Stephen A. Skaggs</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58,132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Mses. Rådström and Slanina resigned from our Board effective November 4, 2024.</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Valani waived his right to receive all cash retainers and restricted stock unit awards under our Non-Employee Director Compensation Program for fiscal 2023 and fiscal 2024. Mr. Valani resigned effective November 26, 2024.</w:t>
      </w: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Correia and Mr. Skaggs commenced service on our Board effective November 4,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authorized for issuance under the Company’s equity compensation plans (As of December 31, 2024):</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(excludes securities</w:t>
            </w:r>
          </w:p>
        </w:tc>
        <w:tc>
          <w:tcPr>
            <w:tcW w:w="0" w:type="dxa"/>
            <w:vAlign w:val="bottom"/>
          </w:tcPr>
          <w:p>
            <w:pPr>
              <w:spacing w:after="0"/>
              <w:rPr>
                <w:sz w:val="1"/>
                <w:szCs w:val="1"/>
                <w:color w:val="auto"/>
              </w:rPr>
            </w:pPr>
          </w:p>
        </w:tc>
      </w:tr>
      <w:tr>
        <w:trPr>
          <w:trHeight w:val="148"/>
        </w:trPr>
        <w:tc>
          <w:tcPr>
            <w:tcW w:w="42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first</w:t>
            </w: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23"/>
        </w:trPr>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2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(1)</w:t>
            </w:r>
          </w:p>
        </w:tc>
        <w:tc>
          <w:tcPr>
            <w:tcW w:w="120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5,513,118</w:t>
            </w:r>
            <w:r>
              <w:rPr>
                <w:rFonts w:ascii="Times New Roman" w:cs="Times New Roman" w:eastAsia="Times New Roman" w:hAnsi="Times New Roman"/>
                <w:sz w:val="29"/>
                <w:szCs w:val="29"/>
                <w:color w:val="auto"/>
                <w:vertAlign w:val="superscript"/>
              </w:rPr>
              <w:t>(2)</w:t>
            </w:r>
          </w:p>
        </w:tc>
        <w:tc>
          <w:tcPr>
            <w:tcW w:w="1400" w:type="dxa"/>
            <w:vAlign w:val="bottom"/>
            <w:gridSpan w:val="2"/>
            <w:shd w:val="clear" w:color="auto" w:fill="CCEEFF"/>
          </w:tcPr>
          <w:p>
            <w:pPr>
              <w:jc w:val="right"/>
              <w:ind w:right="205"/>
              <w:spacing w:after="0" w:line="284" w:lineRule="exact"/>
              <w:rPr>
                <w:sz w:val="20"/>
                <w:szCs w:val="20"/>
                <w:color w:val="auto"/>
              </w:rPr>
            </w:pPr>
            <w:r>
              <w:rPr>
                <w:rFonts w:ascii="Times New Roman" w:cs="Times New Roman" w:eastAsia="Times New Roman" w:hAnsi="Times New Roman"/>
                <w:sz w:val="18"/>
                <w:szCs w:val="18"/>
                <w:color w:val="auto"/>
              </w:rPr>
              <w:t>7.55</w:t>
            </w:r>
            <w:r>
              <w:rPr>
                <w:rFonts w:ascii="Times New Roman" w:cs="Times New Roman" w:eastAsia="Times New Roman" w:hAnsi="Times New Roman"/>
                <w:sz w:val="29"/>
                <w:szCs w:val="29"/>
                <w:color w:val="auto"/>
                <w:vertAlign w:val="superscript"/>
              </w:rPr>
              <w:t>(3)</w:t>
            </w:r>
          </w:p>
        </w:tc>
        <w:tc>
          <w:tcPr>
            <w:tcW w:w="1620" w:type="dxa"/>
            <w:vAlign w:val="bottom"/>
            <w:gridSpan w:val="2"/>
            <w:shd w:val="clear" w:color="auto" w:fill="CCEEFF"/>
          </w:tcPr>
          <w:p>
            <w:pPr>
              <w:jc w:val="right"/>
              <w:ind w:right="146"/>
              <w:spacing w:after="0" w:line="284" w:lineRule="exact"/>
              <w:rPr>
                <w:sz w:val="20"/>
                <w:szCs w:val="20"/>
                <w:color w:val="auto"/>
              </w:rPr>
            </w:pPr>
            <w:r>
              <w:rPr>
                <w:rFonts w:ascii="Times New Roman" w:cs="Times New Roman" w:eastAsia="Times New Roman" w:hAnsi="Times New Roman"/>
                <w:sz w:val="18"/>
                <w:szCs w:val="18"/>
                <w:color w:val="auto"/>
              </w:rPr>
              <w:t>3,232,907</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tcPr>
          <w:p>
            <w:pPr>
              <w:spacing w:after="0"/>
              <w:rPr>
                <w:sz w:val="20"/>
                <w:szCs w:val="20"/>
                <w:color w:val="auto"/>
              </w:rPr>
            </w:pP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520" w:type="dxa"/>
            <w:vAlign w:val="bottom"/>
          </w:tcPr>
          <w:p>
            <w:pPr>
              <w:jc w:val="right"/>
              <w:ind w:right="32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Ouster, Inc. 2021 Incentive Award Plan (“2021 Plan”), Velodyne 2020 Equity Incentive plan (the “Velodyne Plan”), Ouster, Inc. 2022 Employee Stock Purchase Plan (“ESPP”), Ouster Inc. Amended and Restated 2015 Stock Plan (“2015 Plan”) and Sense Photonics, Inc. 2017 Equity Incentive Plan and (“Sense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3,464,764 restricted stock units, 293,330 shares of restricted stock and options to purchase 1,755,024 shares of our common stock. Does not include shares of our common stock that could be issued in connection with the offer period under our ESPP that was ongoing as of December 31, 2024.</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weighted-average exercise price of outstanding options under the 2015 Plan was $7.31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w:t>
      </w:r>
    </w:p>
    <w:p>
      <w:pPr>
        <w:spacing w:after="0" w:line="16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shares listed in the above table, 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for:</w:t>
      </w:r>
    </w:p>
    <w:p>
      <w:pPr>
        <w:spacing w:after="0" w:line="117"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53,792,598 shares of common stock outstanding as of April 10, 2025.</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(1)</w:t>
            </w:r>
          </w:p>
        </w:tc>
        <w:tc>
          <w:tcPr>
            <w:tcW w:w="1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3,478,944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83"/>
        </w:trPr>
        <w:tc>
          <w:tcPr>
            <w:tcW w:w="62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(2)</w:t>
            </w:r>
          </w:p>
        </w:tc>
        <w:tc>
          <w:tcPr>
            <w:tcW w:w="1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3,072,558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26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Angus Pacala</w:t>
            </w:r>
            <w:r>
              <w:rPr>
                <w:rFonts w:ascii="Times New Roman" w:cs="Times New Roman" w:eastAsia="Times New Roman" w:hAnsi="Times New Roman"/>
                <w:sz w:val="29"/>
                <w:szCs w:val="29"/>
                <w:color w:val="auto"/>
                <w:vertAlign w:val="superscript"/>
              </w:rPr>
              <w:t>(3)</w:t>
            </w:r>
          </w:p>
        </w:tc>
        <w:tc>
          <w:tcPr>
            <w:tcW w:w="1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1,641,908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83"/>
        </w:trPr>
        <w:tc>
          <w:tcPr>
            <w:tcW w:w="62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Mark Frichtl</w:t>
            </w:r>
            <w:r>
              <w:rPr>
                <w:rFonts w:ascii="Times New Roman" w:cs="Times New Roman" w:eastAsia="Times New Roman" w:hAnsi="Times New Roman"/>
                <w:sz w:val="29"/>
                <w:szCs w:val="29"/>
                <w:color w:val="auto"/>
                <w:vertAlign w:val="superscript"/>
              </w:rPr>
              <w:t>(4)</w:t>
            </w:r>
          </w:p>
        </w:tc>
        <w:tc>
          <w:tcPr>
            <w:tcW w:w="1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1,145,988</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84"/>
        </w:trPr>
        <w:tc>
          <w:tcPr>
            <w:tcW w:w="62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Megan Chung</w:t>
            </w:r>
            <w:r>
              <w:rPr>
                <w:rFonts w:ascii="Times New Roman" w:cs="Times New Roman" w:eastAsia="Times New Roman" w:hAnsi="Times New Roman"/>
                <w:sz w:val="29"/>
                <w:szCs w:val="29"/>
                <w:color w:val="auto"/>
                <w:vertAlign w:val="superscript"/>
              </w:rPr>
              <w:t>(5)</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97,595.8</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2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Virginia Boulet</w:t>
            </w:r>
            <w:r>
              <w:rPr>
                <w:rFonts w:ascii="Times New Roman" w:cs="Times New Roman" w:eastAsia="Times New Roman" w:hAnsi="Times New Roman"/>
                <w:sz w:val="29"/>
                <w:szCs w:val="29"/>
                <w:color w:val="auto"/>
                <w:vertAlign w:val="superscript"/>
              </w:rPr>
              <w:t>(6)</w:t>
            </w:r>
          </w:p>
        </w:tc>
        <w:tc>
          <w:tcPr>
            <w:tcW w:w="1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204,486</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2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Christina C. Correia</w:t>
            </w:r>
            <w:r>
              <w:rPr>
                <w:rFonts w:ascii="Times New Roman" w:cs="Times New Roman" w:eastAsia="Times New Roman" w:hAnsi="Times New Roman"/>
                <w:sz w:val="29"/>
                <w:szCs w:val="29"/>
                <w:color w:val="auto"/>
                <w:vertAlign w:val="superscript"/>
              </w:rPr>
              <w:t>(7)</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14,607</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2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Susan Heystee</w:t>
            </w:r>
            <w:r>
              <w:rPr>
                <w:rFonts w:ascii="Times New Roman" w:cs="Times New Roman" w:eastAsia="Times New Roman" w:hAnsi="Times New Roman"/>
                <w:sz w:val="29"/>
                <w:szCs w:val="29"/>
                <w:color w:val="auto"/>
                <w:vertAlign w:val="superscript"/>
              </w:rPr>
              <w:t>(8)</w:t>
            </w:r>
          </w:p>
        </w:tc>
        <w:tc>
          <w:tcPr>
            <w:tcW w:w="11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7"/>
              </w:rPr>
              <w:t>118,611.8</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2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Ernest E. Maddock</w:t>
            </w:r>
            <w:r>
              <w:rPr>
                <w:rFonts w:ascii="Times New Roman" w:cs="Times New Roman" w:eastAsia="Times New Roman" w:hAnsi="Times New Roman"/>
                <w:sz w:val="29"/>
                <w:szCs w:val="29"/>
                <w:color w:val="auto"/>
                <w:vertAlign w:val="superscript"/>
              </w:rPr>
              <w:t>(9)</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65,322</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2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Stephen A. Skaggs</w:t>
            </w:r>
            <w:r>
              <w:rPr>
                <w:rFonts w:ascii="Times New Roman" w:cs="Times New Roman" w:eastAsia="Times New Roman" w:hAnsi="Times New Roman"/>
                <w:sz w:val="29"/>
                <w:szCs w:val="29"/>
                <w:color w:val="auto"/>
                <w:vertAlign w:val="superscript"/>
              </w:rPr>
              <w:t>(10)</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14,607</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2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Theodore L. Tewksbury, Ph.D.</w:t>
            </w:r>
            <w:r>
              <w:rPr>
                <w:rFonts w:ascii="Times New Roman" w:cs="Times New Roman" w:eastAsia="Times New Roman" w:hAnsi="Times New Roman"/>
                <w:sz w:val="29"/>
                <w:szCs w:val="29"/>
                <w:color w:val="auto"/>
                <w:vertAlign w:val="superscript"/>
              </w:rPr>
              <w:t>(11)</w:t>
            </w:r>
          </w:p>
        </w:tc>
        <w:tc>
          <w:tcPr>
            <w:tcW w:w="1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109,697</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(11 individuals)</w:t>
            </w:r>
            <w:r>
              <w:rPr>
                <w:rFonts w:ascii="Times New Roman" w:cs="Times New Roman" w:eastAsia="Times New Roman" w:hAnsi="Times New Roman"/>
                <w:sz w:val="29"/>
                <w:szCs w:val="29"/>
                <w:color w:val="auto"/>
                <w:vertAlign w:val="superscript"/>
              </w:rPr>
              <w:t>(12)</w:t>
            </w:r>
          </w:p>
        </w:tc>
        <w:tc>
          <w:tcPr>
            <w:tcW w:w="11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3,669,999.60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822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3"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jc w:val="both"/>
        <w:ind w:left="640" w:right="299" w:hanging="350"/>
        <w:spacing w:after="0"/>
        <w:tabs>
          <w:tab w:leader="none" w:pos="62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Based on a Schedule 13G/A filed with the SEC on November 12, 2024. The Vanguard Group, Inc. (“Vanguard”) reported shared voting power over 28,281 shares of common stock, sole dispositive power over 3,435,925 shares of common stock, and shared dispositive power over 43,019 shares of common stock. Vanguard’s clients, including investment companies registered under the Investment Company Act of 1940 and other managed accounts, have the right to receive or the power to direct the receipt of dividends from, or the proceeds from the sale of, the securities reported beneficially owned by Vanguard. The principal business office address for Vanguard is 100 Vanguard Blvd., Malvern, PA 19355.</w:t>
      </w:r>
    </w:p>
    <w:p>
      <w:pPr>
        <w:spacing w:after="0" w:line="140" w:lineRule="exact"/>
        <w:rPr>
          <w:sz w:val="20"/>
          <w:szCs w:val="20"/>
          <w:color w:val="auto"/>
        </w:rPr>
      </w:pPr>
    </w:p>
    <w:p>
      <w:pPr>
        <w:jc w:val="both"/>
        <w:ind w:left="640" w:right="29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by BlackRock, Inc. on November 8, 2024. BlackRock, Inc. reported sole voting power over 3,025,344 shares of common stock and sole dispositive power over 3,072,558 shares of common stock. The principal business office address for BlackRock, Inc. is 50 Hudson Yards, New York, NY 10001.</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769,957 shares of common stock and 871,951 shares of common stock issuable upon exercise of options exercisable as of or within 60 days of April 10, 2025.</w:t>
      </w: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513,121 shares of common stock and 632,867 shares of common stock issuable upon exercise of options exercisable as of or within 60 days of April 10, 2025.</w:t>
      </w: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97,595.80 shares of common stock as of April 10,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204,486 shares of common stock as of April 10, 2025.</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7,303 shares of common stock and 7,304 shares of common stock issuable upon vesting of restricted stock units within 60 days of April 10, 2025.</w:t>
      </w: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118,611.80 shares of common stock as of April 10,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65,322 shares of common stock as of April 10, 2025.</w:t>
      </w:r>
    </w:p>
    <w:p>
      <w:pPr>
        <w:spacing w:after="0" w:line="42" w:lineRule="exact"/>
        <w:rPr>
          <w:sz w:val="20"/>
          <w:szCs w:val="20"/>
          <w:color w:val="auto"/>
        </w:rPr>
      </w:pPr>
    </w:p>
    <w:p>
      <w:pPr>
        <w:ind w:left="640" w:right="319" w:hanging="350"/>
        <w:spacing w:after="0" w:line="261" w:lineRule="auto"/>
        <w:tabs>
          <w:tab w:leader="none" w:pos="620" w:val="left"/>
        </w:tabs>
        <w:rPr>
          <w:sz w:val="20"/>
          <w:szCs w:val="20"/>
          <w:color w:val="auto"/>
        </w:rPr>
      </w:pPr>
      <w:r>
        <w:rPr>
          <w:rFonts w:ascii="Times New Roman" w:cs="Times New Roman" w:eastAsia="Times New Roman" w:hAnsi="Times New Roman"/>
          <w:sz w:val="14"/>
          <w:szCs w:val="14"/>
          <w:color w:val="auto"/>
        </w:rPr>
        <w:t>10.</w:t>
        <w:tab/>
        <w:t>Consists of 7,303 shares of common stock and 7,304 shares of common stock issuable upon vesting of restricted stock units within 60 days of April 10, 2025.</w:t>
      </w:r>
    </w:p>
    <w:p>
      <w:pPr>
        <w:spacing w:after="0" w:line="1" w:lineRule="exact"/>
        <w:rPr>
          <w:sz w:val="20"/>
          <w:szCs w:val="20"/>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79,676 shares of common stock and 30,021 shares of common stock for which settlement is deferred and may occur within 60 days of April 10, 2025.</w:t>
      </w: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2,120,552.60 shares of common stock; 1,504,818 shares of common stock issuable upon exercise of options exercisable as of or within 60 days of April 10, 2025, 14,608 shares of common stock issuable upon vesting of restricted stock units as of or within 60 days of April 10, 2025 and 30,021 shares of common stock for which settlement is deferred and may occur within 60 days of April 10,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spacing w:after="0" w:line="75" w:lineRule="exact"/>
        <w:rPr>
          <w:sz w:val="20"/>
          <w:szCs w:val="20"/>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directors or nominees to become a director;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be the beneficial owner of more than 5% of any class our voting stock;</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nominee or beneficial owner of more than 5% of our voting stock, and any person (other than a tenant or employee) sharing the household of such director, executive officer, nominee or beneficial owner of more than 5% of our voting stock; or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general partner or principal or in a similar position or in which such person has a 5% or greater beneficial ownership interest in any class of our voting stock.</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policies and procedures designed to minimize potential conflicts of interest arising from any dealings the Company may have with its affiliates and to provide appropriate procedures for the disclosure of any real or potential conflicts of interest that may exist from time to time. Specifically, pursuant to our Audit Committee charter, the Audit Committee has the responsibility to review related person transactions.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RELATED TO DIRECTORS, EQUITY HOLDERS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Other than our compensation arrangements with directors and executive officers described elsewhere in this proxy statement and indemnification agreements with each of our directors and executive officers, the following are certain transactions since January 1, 2023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March 11, 2021, Ouster, Colonnade Sponsor LLC (the “Sponsor”), Colonnade WPB LLC (the “Sponsor PIPE Purchaser”), certain members of the Sponsor and the Sponsor PIPE Purchaser and certain former stockholders of our subsidiary, Ouster Technologies, Inc. entered into the Amended and Restated Registration Rights Agreement (the “Registration Rights Agreement”). Such parties have registration rights to require the Company to register a sale of any of our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future registration statements. The Company will bear the expenses incurred in connection with the filing of any such registration statements. The Registration Rights Agreement expires in March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2024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2024 other than one late Form 4 reporting one transaction for Karin Radstrom; one late Form 4 reporting one transaction for Susan Heystee; one late Form 4 reporting one transaction for Kristin Slanina; one late Form 4 reporting one transaction for Theodore Tewksbury, Ph.D.; one late Form 4 reporting one transaction for Ernest E. Maddock; one late Form 4 reporting one transaction for Virgina Boulet; and one late Form 4 reporting two transactions for Megan Chung.</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Susan Heystee, Ernest E. Maddock, Kristin Slanina and Stephen A. Skaggs served on the Compensation Committee of the Board. No member of our Compensation Committee is an officer or employee of the Company. During the year ended December 31, 2021, Susan Heystee served as Interim Chief Revenue Officer of the Company. Ms. Heystee did not serve on the Compensation Committee during the period that she served as Interim Chief Revenue Officer.</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none of our executive officers served as a member of the board of directors or compensation committee, or other committee serving an equivalent function, of any other entity that has one or more of its executive officers serving as a member of our Board or Compensation Committee.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2026 annual meeting of stockholders pursuant to Rule 14a-8 under the Exchange Act must submit the proposal to our offices at 350 Treat Avenue, San Francisco, California 94110 in writing not later than December 29, 2025 (which is 120 days prior to April 28, 2026, the one-year anniversary of the mailing of the Company’s 2025 definitive proxy statement).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Stockholders intending to present a proposal at the 2026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 stockholder’s intent to present such proposal or nomination not earlier</w:t>
      </w:r>
    </w:p>
    <w:p>
      <w:pPr>
        <w:spacing w:after="0" w:line="3"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than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and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Therefore, we must receive notice of such a proposal or nomination for the 2026 annual meeting of stockholders no earlier than February 18, 2026 and no later than March 20, 2026. The notice must contain the information required by the Bylaws, a copy of which is available upon request to our Secretary. In the event that the date of the 2026 annual meeting of stockholders is more than 30 days before or more than 60 days after June 18, 2026, then our Secretary must receive such written notice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2026 annual</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meeting of stockholders or, if later,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 xml:space="preserve">Stockholders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8"/>
          <w:szCs w:val="18"/>
          <w:i w:val="1"/>
          <w:iCs w:val="1"/>
          <w:color w:val="auto"/>
        </w:rPr>
        <w:t>www.sec.gov.</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OUSTER’S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Ouster’s Annual Report on Form 10-K for the fiscal year ended December 31, 2024, including financial statements and schedules, but not including exhibits, as filed with the SEC, will be sent to any stockholder of record on April 21, 2025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2024 at </w:t>
      </w:r>
      <w:r>
        <w:rPr>
          <w:rFonts w:ascii="Times New Roman" w:cs="Times New Roman" w:eastAsia="Times New Roman" w:hAnsi="Times New Roman"/>
          <w:sz w:val="18"/>
          <w:szCs w:val="18"/>
          <w:b w:val="1"/>
          <w:bCs w:val="1"/>
          <w:i w:val="1"/>
          <w:iCs w:val="1"/>
          <w:color w:val="auto"/>
        </w:rPr>
        <w:t>www.ouster.com</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Megan Chung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1191260" cy="4800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912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Certificate of Incorporation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to include a new Article XIV that reads as follows: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XIV, or the adoption of any provision of this Certificate of Incorporation inconsistent with this Article XIV, shall not adversely affect any right or protection of an officer of the Corporation, as applicable, with respect to any act or omission occurring prior to such amendment, repeal, modification or adoption. If the DGCL is amended after approval by the stockholders of this Article XIV to authorize corporate action further eliminating or limiting the personal liability of officers, then the liability of an officer of the Corporation, as applicable, shall be eliminated or limited to the fullest extent permitted by the DGCL as so amended.”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 "/>
      <w:numFmt w:val="bullet"/>
      <w:start w:val="1"/>
    </w:lvl>
  </w:abstractNum>
  <w:abstractNum w:abstractNumId="3">
    <w:nsid w:val="628C895D"/>
    <w:multiLevelType w:val="hybridMultilevel"/>
    <w:lvl w:ilvl="0">
      <w:lvlJc w:val="left"/>
      <w:lvlText w:val=" "/>
      <w:numFmt w:val="bullet"/>
      <w:start w:val="1"/>
    </w:lvl>
  </w:abstractNum>
  <w:abstractNum w:abstractNumId="4">
    <w:nsid w:val="333AB105"/>
    <w:multiLevelType w:val="hybridMultilevel"/>
    <w:lvl w:ilvl="0">
      <w:lvlJc w:val="left"/>
      <w:lvlText w:val=" "/>
      <w:numFmt w:val="bullet"/>
      <w:start w:val="1"/>
    </w:lvl>
  </w:abstractNum>
  <w:abstractNum w:abstractNumId="5">
    <w:nsid w:val="721DA317"/>
    <w:multiLevelType w:val="hybridMultilevel"/>
    <w:lvl w:ilvl="0">
      <w:lvlJc w:val="left"/>
      <w:lvlText w:val=" "/>
      <w:numFmt w:val="bullet"/>
      <w:start w:val="1"/>
    </w:lvl>
  </w:abstractNum>
  <w:abstractNum w:abstractNumId="6">
    <w:nsid w:val="2443A858"/>
    <w:multiLevelType w:val="hybridMultilevel"/>
    <w:lvl w:ilvl="0">
      <w:lvlJc w:val="left"/>
      <w:lvlText w:val=" "/>
      <w:numFmt w:val="bullet"/>
      <w:start w:val="1"/>
    </w:lvl>
  </w:abstractNum>
  <w:abstractNum w:abstractNumId="7">
    <w:nsid w:val="2D1D5AE9"/>
    <w:multiLevelType w:val="hybridMultilevel"/>
    <w:lvl w:ilvl="0">
      <w:lvlJc w:val="left"/>
      <w:lvlText w:val=" "/>
      <w:numFmt w:val="bullet"/>
      <w:start w:val="1"/>
    </w:lvl>
  </w:abstractNum>
  <w:abstractNum w:abstractNumId="8">
    <w:nsid w:val="6763845E"/>
    <w:multiLevelType w:val="hybridMultilevel"/>
    <w:lvl w:ilvl="0">
      <w:lvlJc w:val="left"/>
      <w:lvlText w:val=" "/>
      <w:numFmt w:val="bullet"/>
      <w:start w:val="1"/>
    </w:lvl>
  </w:abstractNum>
  <w:abstractNum w:abstractNumId="9">
    <w:nsid w:val="75A2A8D4"/>
    <w:multiLevelType w:val="hybridMultilevel"/>
    <w:lvl w:ilvl="0">
      <w:lvlJc w:val="left"/>
      <w:lvlText w:val=" "/>
      <w:numFmt w:val="bullet"/>
      <w:start w:val="1"/>
    </w:lvl>
  </w:abstractNum>
  <w:abstractNum w:abstractNumId="10">
    <w:nsid w:val="8EDBDAB"/>
    <w:multiLevelType w:val="hybridMultilevel"/>
    <w:lvl w:ilvl="0">
      <w:lvlJc w:val="left"/>
      <w:lvlText w:val=" "/>
      <w:numFmt w:val="bullet"/>
      <w:start w:val="1"/>
    </w:lvl>
  </w:abstractNum>
  <w:abstractNum w:abstractNumId="11">
    <w:nsid w:val="79838CB2"/>
    <w:multiLevelType w:val="hybridMultilevel"/>
    <w:lvl w:ilvl="0">
      <w:lvlJc w:val="left"/>
      <w:lvlText w:val=" "/>
      <w:numFmt w:val="bullet"/>
      <w:start w:val="1"/>
    </w:lvl>
  </w:abstractNum>
  <w:abstractNum w:abstractNumId="12">
    <w:nsid w:val="4353D0CD"/>
    <w:multiLevelType w:val="hybridMultilevel"/>
    <w:lvl w:ilvl="0">
      <w:lvlJc w:val="left"/>
      <w:lvlText w:val=" "/>
      <w:numFmt w:val="bullet"/>
      <w:start w:val="1"/>
    </w:lvl>
  </w:abstractNum>
  <w:abstractNum w:abstractNumId="13">
    <w:nsid w:val="B03E0C6"/>
    <w:multiLevelType w:val="hybridMultilevel"/>
    <w:lvl w:ilvl="0">
      <w:lvlJc w:val="left"/>
      <w:lvlText w:val=" "/>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7"/>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9"/>
    </w:lvl>
  </w:abstractNum>
  <w:abstractNum w:abstractNumId="36">
    <w:nsid w:val="7724C67E"/>
    <w:multiLevelType w:val="hybridMultilevel"/>
    <w:lvl w:ilvl="0">
      <w:lvlJc w:val="left"/>
      <w:lvlText w:val="%1."/>
      <w:numFmt w:val="decimal"/>
      <w:start w:val="1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2025-04-28T15:14:05Z</dcterms:created>
  <dcterms:modified xsi:type="dcterms:W3CDTF">2025-04-28T15:14:05Z</dcterms:modified>
</cp:coreProperties>
</file>