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6227x2_def14a_100-regcov_pg1"/>
        <w:bookmarkStart w:id="1" w:name="ny20066227x2_def14a.htm"/>
        <w:bookmarkStart w:id="2" w:name="ksny20066227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1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(Rule 14a-101)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INFORMATION REQUIRED IN 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SCHEDULE 14A INFORMATION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Securities Exchange Act of 1934 (Amendment No. )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0"/>
              <w:jc w:val="left"/>
              <w:rPr>
                <w:color w:val="000000"/>
              </w:rPr>
            </w:pPr>
            <w:r>
              <w:rPr>
                <w:color w:val="000000"/>
              </w:rPr>
              <w:t> ☐</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0"/>
              <w:jc w:val="left"/>
              <w:rPr/>
            </w:pPr>
            <w:r>
              <w:rPr/>
              <w:t> </w:t>
            </w:r>
          </w:p>
        </w:tc>
      </w:tr>
      <w:tr>
        <w:trPr/>
        <w:tc>
          <w:tcPr>
            <w:tcW w:w="5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40"/>
              </w:rPr>
            </w:pPr>
            <w:r>
              <w:rPr>
                <w:rFonts w:ascii="Times New Roman;Times;serif" w:hAnsi="Times New Roman;Times;serif"/>
                <w:color w:val="000000"/>
                <w:sz w:val="40"/>
              </w:rPr>
              <w:t>OUSTER, INC.</w:t>
            </w:r>
          </w:p>
        </w:tc>
      </w:tr>
      <w:tr>
        <w:trPr/>
        <w:tc>
          <w:tcPr>
            <w:tcW w:w="54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tc>
      </w:tr>
      <w:tr>
        <w:trPr/>
        <w:tc>
          <w:tcPr>
            <w:tcW w:w="548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 of Person(s) Filing Proxy Statement, if Other Than the Registrant)</w:t>
            </w:r>
          </w:p>
        </w:tc>
      </w:tr>
      <w:tr>
        <w:trPr/>
        <w:tc>
          <w:tcPr>
            <w:tcW w:w="548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6227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038350"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1152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80" w:after="283"/>
        <w:jc w:val="center"/>
        <w:rPr>
          <w:rFonts w:ascii="Times New Roman;Times;serif" w:hAnsi="Times New Roman;Times;serif"/>
          <w:b/>
          <w:color w:val="000000"/>
          <w:sz w:val="64"/>
        </w:rPr>
      </w:pPr>
      <w:r>
        <w:rPr>
          <w:rFonts w:ascii="Times New Roman;Times;serif" w:hAnsi="Times New Roman;Times;serif"/>
          <w:b/>
          <w:color w:val="000000"/>
          <w:sz w:val="64"/>
        </w:rPr>
        <w:t xml:space="preserve">NOTICE &amp; PROXY </w:t>
      </w:r>
    </w:p>
    <w:p>
      <w:pPr>
        <w:pStyle w:val="TextBody"/>
        <w:bidi w:val="0"/>
        <w:spacing w:before="0" w:after="283"/>
        <w:jc w:val="center"/>
        <w:rPr>
          <w:rFonts w:ascii="Times New Roman;Times;serif" w:hAnsi="Times New Roman;Times;serif"/>
          <w:b/>
          <w:color w:val="000000"/>
          <w:sz w:val="64"/>
        </w:rPr>
      </w:pPr>
      <w:r>
        <w:rPr>
          <w:rFonts w:ascii="Times New Roman;Times;serif" w:hAnsi="Times New Roman;Times;serif"/>
          <w:b/>
          <w:color w:val="000000"/>
          <w:sz w:val="64"/>
        </w:rPr>
        <w:t xml:space="preserve">STATEMENT </w:t>
      </w:r>
    </w:p>
    <w:p>
      <w:pPr>
        <w:pStyle w:val="TextBody"/>
        <w:bidi w:val="0"/>
        <w:spacing w:before="130" w:after="283"/>
        <w:jc w:val="center"/>
        <w:rPr>
          <w:rFonts w:ascii="Times New Roman;Times;serif" w:hAnsi="Times New Roman;Times;serif"/>
          <w:b/>
          <w:color w:val="000000"/>
          <w:sz w:val="52"/>
        </w:rPr>
      </w:pPr>
      <w:r>
        <w:rPr>
          <w:rFonts w:ascii="Times New Roman;Times;serif" w:hAnsi="Times New Roman;Times;serif"/>
          <w:b/>
          <w:color w:val="000000"/>
          <w:sz w:val="52"/>
        </w:rPr>
        <w:t xml:space="preserve">Annual Meeting of Stockholders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17,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10:00 a.m. (Pacific Time)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OUSTER, INC.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350 TREAT AVENUE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SAN FRANCISCO, CA 94110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28,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Ouster’s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2026 Annual Meeting of Stockholders (the “Annual Meeting”) of Ouster, Inc. (“Ouster” or the “Company”) to be held on Wednesday, June 17, 2026 at 10:00 a.m., Pacific Time. Ouster’s Annual Meeting will be a completely virtual meeting of stockholders, which will be conducted via live webcast. You will be able to attend the virtual Annual Meeting, vote your shares electronically and submit your questions during the Annual Meeting by visiting </w:t>
      </w:r>
      <w:r>
        <w:rPr>
          <w:rFonts w:ascii="Times New Roman;Times;serif" w:hAnsi="Times New Roman;Times;serif"/>
          <w:i/>
          <w:color w:val="000000"/>
          <w:sz w:val="20"/>
        </w:rPr>
        <w:t>www.virtualshareholdermeeting.com/OUST2026</w:t>
      </w:r>
      <w:r>
        <w:rPr>
          <w:rFonts w:ascii="Times New Roman;Times;serif" w:hAnsi="Times New Roman;Times;serif"/>
          <w:color w:val="000000"/>
          <w:sz w:val="20"/>
        </w:rPr>
        <w:t>. Utilizing a virtual meeting format will allow stockholders to participate from any location, and we expect will lead to increased attendance, improved communications and cost savings for Ouster’s stockholders and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Notice of Meeting and Proxy Statement on the following pages describe the matters to be presented at the Annual Meeting. Details regarding how to attend the Annual Meeting and the business to be conducted at the Annual Meeting are more fully described in the Notice of Annual Meeting and Proxy Statement.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Ouster’s Notice of Internet Availability of Proxy Materials, then instructions regarding how you can vote are contained in that notice. If you have received a printed proxy card, then instructions regarding how you can vote are contained on the proxy card. If you decide to attend the Annual Meeting, you will be able to vote your shares electronically during the Annual Meeting, even if you have previously submitted your proxy.</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Thank you for your support.</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175" w:after="283"/>
        <w:ind w:left="0" w:right="0" w:hanging="0"/>
        <w:jc w:val="left"/>
        <w:rPr>
          <w:color w:val="000000"/>
        </w:rPr>
      </w:pPr>
      <w:r>
        <w:rPr>
          <w:color w:val="000000"/>
        </w:rPr>
        <w:drawing>
          <wp:inline distT="0" distB="0" distL="0" distR="0">
            <wp:extent cx="733425"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3425"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Theodore L. Tewksbury, Ph.D.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 of the Board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To be Held on Wednesday, June 17, 2026</w:t>
      </w:r>
      <w:r>
        <w:rPr>
          <w:rFonts w:ascii="Times New Roman;Times;serif" w:hAnsi="Times New Roman;Times;serif"/>
          <w:color w:val="000000"/>
          <w:sz w:val="20"/>
        </w:rPr>
        <w:t xml:space="preserve"> </w:t>
      </w:r>
    </w:p>
    <w:p>
      <w:pPr>
        <w:pStyle w:val="HorizontalLine"/>
        <w:bidi w:val="0"/>
        <w:spacing w:before="200" w:after="200"/>
        <w:jc w:val="left"/>
        <w:rPr/>
      </w:pPr>
      <w:r>
        <w:rPr/>
      </w:r>
    </w:p>
    <w:p>
      <w:pPr>
        <w:pStyle w:val="TextBody"/>
        <w:bidi w:val="0"/>
        <w:jc w:val="left"/>
        <w:rPr/>
      </w:pPr>
      <w:hyperlink w:anchor="TOC">
        <w:bookmarkStart w:id="4" w:name="ny20066227x2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OUSTER, INC.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350 TREAT AVENUE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SAN FRANCISCO, CA 94110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of Stockholders (the “Annual Meeting”) of Ouster, Inc., a Delaware corporation (“Ouster” or the “Company”), will be held at 10:00 a.m., Pacific Time, on Wednesday, June 17, 2026. The Annual Meeting will be a completely virtual meeting, which will be conducted via live webcast. You will be able to attend the Annual Meeting electronically and submit your questions during the Annual Meeting by visiting </w:t>
      </w:r>
      <w:r>
        <w:rPr>
          <w:rFonts w:ascii="Times New Roman;Times;serif" w:hAnsi="Times New Roman;Times;serif"/>
          <w:i/>
          <w:color w:val="000000"/>
          <w:sz w:val="20"/>
        </w:rPr>
        <w:t>www.virtualshareholdermeeting.com/OUST2026.</w:t>
      </w:r>
      <w:r>
        <w:rPr>
          <w:rFonts w:ascii="Times New Roman;Times;serif" w:hAnsi="Times New Roman;Times;serif"/>
          <w:color w:val="000000"/>
          <w:sz w:val="20"/>
        </w:rPr>
        <w:t xml:space="preserve"> The Annual Meeting is called for the following purposes: </w:t>
      </w:r>
    </w:p>
    <w:tbl>
      <w:tblPr>
        <w:tblW w:w="10205" w:type="dxa"/>
        <w:jc w:val="left"/>
        <w:tblInd w:w="0" w:type="dxa"/>
        <w:tblLayout w:type="fixed"/>
        <w:tblCellMar>
          <w:top w:w="0" w:type="dxa"/>
          <w:left w:w="0" w:type="dxa"/>
          <w:bottom w:w="0" w:type="dxa"/>
          <w:right w:w="0" w:type="dxa"/>
        </w:tblCellMar>
      </w:tblPr>
      <w:tblGrid>
        <w:gridCol w:w="270"/>
        <w:gridCol w:w="170"/>
        <w:gridCol w:w="170"/>
        <w:gridCol w:w="9595"/>
      </w:tblGrid>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elect Phillip M. Eyler and Angus Pacala as Class II Directors to serve until our 2029 annual meeting of stockholders and until their respective successors shall have been duly elected and qualified;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PricewaterhouseCoopers LLP as our independent registered public accounting firm for the fiscal year ending December 31, 2026;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on an advisory (non-binding) basis, the compensation of our named executive officers;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Certificate of Incorporation, as amended (the “Certificate of Incorporation”) to increase the number of authorized shares of the Company’s common stock, par value $0.0001 per share (the “common stock”) from 100,000,000 to 200,000,000;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Certificate of Incorporation to provide for exculpation of officers from breaches of fiduciary duty to the extent permitted by the General Corporation Law of the State of Delaware; and </w:t>
            </w:r>
          </w:p>
        </w:tc>
      </w:tr>
      <w:tr>
        <w:trPr/>
        <w:tc>
          <w:tcPr>
            <w:tcW w:w="2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color w:val="000000"/>
              </w:rPr>
            </w:pPr>
            <w:r>
              <w:rPr>
                <w:color w:val="000000"/>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Annual Meeting or any continuation, postponement or adjournment of the Annual Meeting.</w:t>
            </w:r>
          </w:p>
        </w:tc>
      </w:tr>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record of Ouster’s outstanding shares of common stock at the close of business on April 24, 2026 are entitled to notice of and to vote at the Annual Meeting, or any continuation, postponement or adjournment of the Annual Meeting. A complete list of these stockholders will be open to the examination of any stockholder at our principal executive offices at 350 Treat Avenue, San Francisco, California for a period of 10 days prior to the Annual Meeting. The Annual Meeting may be continued or adjourned from time to time without notice other than by announcement at the Annual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85" w:after="283"/>
        <w:ind w:left="0" w:right="0" w:hanging="0"/>
        <w:jc w:val="left"/>
        <w:rPr>
          <w:color w:val="000000"/>
        </w:rPr>
      </w:pPr>
      <w:r>
        <w:rPr>
          <w:color w:val="000000"/>
        </w:rPr>
        <w:drawing>
          <wp:inline distT="0" distB="0" distL="0" distR="0">
            <wp:extent cx="1323975" cy="523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23975" cy="523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Megan Chung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Counsel and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28, 2026 </w:t>
      </w:r>
    </w:p>
    <w:p>
      <w:pPr>
        <w:pStyle w:val="HorizontalLine"/>
        <w:bidi w:val="0"/>
        <w:spacing w:before="200" w:after="200"/>
        <w:jc w:val="left"/>
        <w:rPr/>
      </w:pPr>
      <w:r>
        <w:rPr/>
      </w:r>
    </w:p>
    <w:p>
      <w:pPr>
        <w:pStyle w:val="TextBody"/>
        <w:bidi w:val="0"/>
        <w:jc w:val="left"/>
        <w:rPr/>
      </w:pPr>
      <w:hyperlink w:anchor="TOC">
        <w:bookmarkStart w:id="5" w:name="ny20066227x2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CONTENTS </w:t>
      </w:r>
    </w:p>
    <w:p>
      <w:pPr>
        <w:pStyle w:val="Normal"/>
        <w:bidi w:val="0"/>
        <w:spacing w:before="0" w:after="0"/>
        <w:ind w:left="0" w:right="0" w:hanging="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98"/>
        <w:gridCol w:w="170"/>
        <w:gridCol w:w="170"/>
        <w:gridCol w:w="467"/>
      </w:tblGrid>
      <w:tr>
        <w:trPr/>
        <w:tc>
          <w:tcPr>
            <w:tcW w:w="93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r>
      <w:tr>
        <w:trPr/>
        <w:tc>
          <w:tcPr>
            <w:tcW w:w="939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98"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PS">
              <w:r>
                <w:rPr>
                  <w:rStyle w:val="InternetLink"/>
                  <w:rFonts w:ascii="Times New Roman;Times;serif" w:hAnsi="Times New Roman;Times;serif"/>
                  <w:color w:val="000000"/>
                  <w:sz w:val="20"/>
                </w:rPr>
                <w:t>1</w:t>
              </w:r>
            </w:hyperlink>
            <w:hyperlink w:anchor="tPS">
              <w:r>
                <w:rPr>
                  <w:rStyle w:val="InternetLink"/>
                  <w:rFonts w:ascii="Times New Roman;Times;serif" w:hAnsi="Times New Roman;Times;serif"/>
                  <w:color w:val="000000"/>
                  <w:sz w:val="20"/>
                </w:rPr>
                <w:t xml:space="preserve"> </w:t>
              </w:r>
            </w:hyperlink>
          </w:p>
        </w:tc>
      </w:tr>
      <w:tr>
        <w:trPr/>
        <w:tc>
          <w:tcPr>
            <w:tcW w:w="9398" w:type="dxa"/>
            <w:tcBorders/>
            <w:vAlign w:val="center"/>
          </w:tcPr>
          <w:p>
            <w:pPr>
              <w:pStyle w:val="TableContents"/>
              <w:bidi w:val="0"/>
              <w:spacing w:before="0" w:after="283"/>
              <w:ind w:left="200" w:right="0" w:hanging="0"/>
              <w:jc w:val="left"/>
              <w:rPr/>
            </w:pPr>
            <w:hyperlink w:anchor="tPROP">
              <w:r>
                <w:rPr>
                  <w:rStyle w:val="InternetLink"/>
                  <w:rFonts w:ascii="Times New Roman;Times;serif" w:hAnsi="Times New Roman;Times;serif"/>
                  <w:color w:val="000000"/>
                  <w:sz w:val="20"/>
                </w:rPr>
                <w:t>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PROP">
              <w:r>
                <w:rPr>
                  <w:rStyle w:val="InternetLink"/>
                  <w:rFonts w:ascii="Times New Roman;Times;serif" w:hAnsi="Times New Roman;Times;serif"/>
                  <w:color w:val="000000"/>
                  <w:sz w:val="20"/>
                </w:rPr>
                <w:t>2</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ROT">
              <w:r>
                <w:rPr>
                  <w:rStyle w:val="InternetLink"/>
                  <w:rFonts w:ascii="Times New Roman;Times;serif" w:hAnsi="Times New Roman;Times;serif"/>
                  <w:color w:val="000000"/>
                  <w:sz w:val="20"/>
                </w:rPr>
                <w:t>RECOMMENDATIONS OF THE 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ROT">
              <w:r>
                <w:rPr>
                  <w:rStyle w:val="InternetLink"/>
                  <w:rFonts w:ascii="Times New Roman;Times;serif" w:hAnsi="Times New Roman;Times;serif"/>
                  <w:color w:val="000000"/>
                  <w:sz w:val="20"/>
                </w:rPr>
                <w:t>2</w:t>
              </w:r>
            </w:hyperlink>
          </w:p>
        </w:tc>
      </w:tr>
      <w:tr>
        <w:trPr/>
        <w:tc>
          <w:tcPr>
            <w:tcW w:w="9398" w:type="dxa"/>
            <w:tcBorders/>
            <w:vAlign w:val="center"/>
          </w:tcPr>
          <w:p>
            <w:pPr>
              <w:pStyle w:val="TableContents"/>
              <w:bidi w:val="0"/>
              <w:spacing w:before="0" w:after="283"/>
              <w:ind w:left="200" w:right="0" w:hanging="0"/>
              <w:jc w:val="left"/>
              <w:rPr/>
            </w:pPr>
            <w:hyperlink w:anchor="tIAT">
              <w:r>
                <w:rPr>
                  <w:rStyle w:val="InternetLink"/>
                  <w:rFonts w:ascii="Times New Roman;Times;serif" w:hAnsi="Times New Roman;Times;serif"/>
                  <w:color w:val="000000"/>
                  <w:sz w:val="20"/>
                </w:rPr>
                <w:t>INFORMATION ABOUT THIS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IAT">
              <w:r>
                <w:rPr>
                  <w:rStyle w:val="InternetLink"/>
                  <w:rFonts w:ascii="Times New Roman;Times;serif" w:hAnsi="Times New Roman;Times;serif"/>
                  <w:color w:val="000000"/>
                  <w:sz w:val="20"/>
                </w:rPr>
                <w:t>2</w:t>
              </w:r>
            </w:hyperlink>
          </w:p>
        </w:tc>
      </w:tr>
      <w:tr>
        <w:trPr/>
        <w:tc>
          <w:tcPr>
            <w:tcW w:w="9398"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2026 ANNUAL MEETING OF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QAA">
              <w:r>
                <w:rPr>
                  <w:rStyle w:val="InternetLink"/>
                  <w:rFonts w:ascii="Times New Roman;Times;serif" w:hAnsi="Times New Roman;Times;serif"/>
                  <w:color w:val="000000"/>
                  <w:sz w:val="20"/>
                </w:rPr>
                <w:t>4</w:t>
              </w:r>
            </w:hyperlink>
          </w:p>
        </w:tc>
      </w:tr>
      <w:tr>
        <w:trPr/>
        <w:tc>
          <w:tcPr>
            <w:tcW w:w="9398" w:type="dxa"/>
            <w:tcBorders/>
            <w:vAlign w:val="center"/>
          </w:tcPr>
          <w:p>
            <w:pPr>
              <w:pStyle w:val="TableContents"/>
              <w:bidi w:val="0"/>
              <w:spacing w:before="0" w:after="283"/>
              <w:ind w:left="0" w:right="0" w:hanging="0"/>
              <w:jc w:val="left"/>
              <w:rPr/>
            </w:pPr>
            <w:hyperlink w:anchor="tPTB">
              <w:r>
                <w:rPr>
                  <w:rStyle w:val="InternetLink"/>
                  <w:rFonts w:ascii="Times New Roman;Times;serif" w:hAnsi="Times New Roman;Times;serif"/>
                  <w:color w:val="000000"/>
                  <w:sz w:val="20"/>
                </w:rPr>
                <w:t>PROPOSALS TO BE VOTED 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PTB">
              <w:r>
                <w:rPr>
                  <w:rStyle w:val="InternetLink"/>
                  <w:rFonts w:ascii="Times New Roman;Times;serif" w:hAnsi="Times New Roman;Times;serif"/>
                  <w:color w:val="000000"/>
                  <w:sz w:val="20"/>
                </w:rPr>
                <w:t>9</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PROP1">
              <w:r>
                <w:rPr>
                  <w:rStyle w:val="InternetLink"/>
                  <w:rFonts w:ascii="Times New Roman;Times;serif" w:hAnsi="Times New Roman;Times;serif"/>
                  <w:color w:val="000000"/>
                  <w:sz w:val="20"/>
                </w:rPr>
                <w:t>PROPOSAL 1: ELECTION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9</w:t>
              </w:r>
            </w:hyperlink>
          </w:p>
        </w:tc>
      </w:tr>
      <w:tr>
        <w:trPr/>
        <w:tc>
          <w:tcPr>
            <w:tcW w:w="9398" w:type="dxa"/>
            <w:tcBorders/>
            <w:vAlign w:val="center"/>
          </w:tcPr>
          <w:p>
            <w:pPr>
              <w:pStyle w:val="TableContents"/>
              <w:bidi w:val="0"/>
              <w:spacing w:before="0" w:after="283"/>
              <w:ind w:left="400" w:right="0" w:hanging="200"/>
              <w:jc w:val="left"/>
              <w:rPr/>
            </w:pPr>
            <w:hyperlink w:anchor="tPROP2">
              <w:r>
                <w:rPr>
                  <w:rStyle w:val="InternetLink"/>
                  <w:rFonts w:ascii="Times New Roman;Times;serif" w:hAnsi="Times New Roman;Times;serif"/>
                  <w:color w:val="000000"/>
                  <w:sz w:val="20"/>
                </w:rPr>
                <w:t>PROPOSAL 2: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13</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RTA">
              <w:r>
                <w:rPr>
                  <w:rStyle w:val="InternetLink"/>
                  <w:rFonts w:ascii="Times New Roman;Times;serif" w:hAnsi="Times New Roman;Times;serif"/>
                  <w:color w:val="000000"/>
                  <w:sz w:val="20"/>
                </w:rPr>
                <w:t>REPORT OF THE AUDIT COMMITTEE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RTA">
              <w:r>
                <w:rPr>
                  <w:rStyle w:val="InternetLink"/>
                  <w:rFonts w:ascii="Times New Roman;Times;serif" w:hAnsi="Times New Roman;Times;serif"/>
                  <w:color w:val="000000"/>
                  <w:sz w:val="20"/>
                </w:rPr>
                <w:t>14</w:t>
              </w:r>
            </w:hyperlink>
          </w:p>
        </w:tc>
      </w:tr>
      <w:tr>
        <w:trPr/>
        <w:tc>
          <w:tcPr>
            <w:tcW w:w="9398" w:type="dxa"/>
            <w:tcBorders/>
            <w:vAlign w:val="center"/>
          </w:tcPr>
          <w:p>
            <w:pPr>
              <w:pStyle w:val="TableContents"/>
              <w:bidi w:val="0"/>
              <w:spacing w:before="0" w:after="283"/>
              <w:ind w:left="200" w:right="0" w:hanging="0"/>
              <w:jc w:val="left"/>
              <w:rPr/>
            </w:pPr>
            <w:hyperlink w:anchor="tIRP">
              <w:r>
                <w:rPr>
                  <w:rStyle w:val="InternetLink"/>
                  <w:rFonts w:ascii="Times New Roman;Times;serif" w:hAnsi="Times New Roman;Times;serif"/>
                  <w:color w:val="000000"/>
                  <w:sz w:val="20"/>
                </w:rPr>
                <w:t>INDEPENDENT REGISTERED PUBLIC ACCOUNTING FIRM FEES AND 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IRP">
              <w:r>
                <w:rPr>
                  <w:rStyle w:val="InternetLink"/>
                  <w:rFonts w:ascii="Times New Roman;Times;serif" w:hAnsi="Times New Roman;Times;serif"/>
                  <w:color w:val="000000"/>
                  <w:sz w:val="20"/>
                </w:rPr>
                <w:t>15</w:t>
              </w:r>
            </w:hyperlink>
          </w:p>
        </w:tc>
      </w:tr>
      <w:tr>
        <w:trPr/>
        <w:tc>
          <w:tcPr>
            <w:tcW w:w="9398" w:type="dxa"/>
            <w:tcBorders/>
            <w:shd w:fill="CCEEFF" w:val="clear"/>
            <w:vAlign w:val="center"/>
          </w:tcPr>
          <w:p>
            <w:pPr>
              <w:pStyle w:val="TableContents"/>
              <w:bidi w:val="0"/>
              <w:spacing w:before="0" w:after="283"/>
              <w:ind w:left="400" w:right="0" w:hanging="200"/>
              <w:jc w:val="left"/>
              <w:rPr/>
            </w:pPr>
            <w:hyperlink w:anchor="tPROP3">
              <w:r>
                <w:rPr>
                  <w:rStyle w:val="InternetLink"/>
                  <w:rFonts w:ascii="Times New Roman;Times;serif" w:hAnsi="Times New Roman;Times;serif"/>
                  <w:color w:val="000000"/>
                  <w:sz w:val="20"/>
                </w:rPr>
                <w:t>PROPOSAL 3: APPROVAL, ON AN ADVISORY (NON-BINDING) BASIS, OF THE COMPENSATION OF OUR NAMED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PROP3">
              <w:r>
                <w:rPr>
                  <w:rStyle w:val="InternetLink"/>
                  <w:rFonts w:ascii="Times New Roman;Times;serif" w:hAnsi="Times New Roman;Times;serif"/>
                  <w:color w:val="000000"/>
                  <w:sz w:val="20"/>
                </w:rPr>
                <w:t>16</w:t>
              </w:r>
            </w:hyperlink>
          </w:p>
        </w:tc>
      </w:tr>
      <w:tr>
        <w:trPr/>
        <w:tc>
          <w:tcPr>
            <w:tcW w:w="9398" w:type="dxa"/>
            <w:tcBorders/>
            <w:vAlign w:val="center"/>
          </w:tcPr>
          <w:p>
            <w:pPr>
              <w:pStyle w:val="TableContents"/>
              <w:bidi w:val="0"/>
              <w:spacing w:before="0" w:after="283"/>
              <w:ind w:left="400" w:right="0" w:hanging="200"/>
              <w:jc w:val="left"/>
              <w:rPr/>
            </w:pPr>
            <w:hyperlink w:anchor="tPROP4">
              <w:r>
                <w:rPr>
                  <w:rStyle w:val="InternetLink"/>
                  <w:rFonts w:ascii="Times New Roman;Times;serif" w:hAnsi="Times New Roman;Times;serif"/>
                  <w:color w:val="000000"/>
                  <w:sz w:val="20"/>
                </w:rPr>
                <w:t>PROPOSAL 4: APPROVAL OF AN AMENDMENT TO OUR CERTIFICATE OF INCORPORATION, AS AMENDED (THE “CERTIFICATE OF INCORPORATION”) TO INCREASE THE NUMBER OF AUTHORIZED SHARES OF THE COMPANY’S COMMON STOCK, PAR VALUE $0.0001 PER SHARE (THE “COMMON STOCK”) FROM 100,000,000 TO 200,000,000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PROP4">
              <w:r>
                <w:rPr>
                  <w:rStyle w:val="InternetLink"/>
                  <w:rFonts w:ascii="Times New Roman;Times;serif" w:hAnsi="Times New Roman;Times;serif"/>
                  <w:color w:val="000000"/>
                  <w:sz w:val="20"/>
                </w:rPr>
                <w:t>17</w:t>
              </w:r>
            </w:hyperlink>
          </w:p>
        </w:tc>
      </w:tr>
      <w:tr>
        <w:trPr/>
        <w:tc>
          <w:tcPr>
            <w:tcW w:w="9398" w:type="dxa"/>
            <w:tcBorders/>
            <w:shd w:fill="CCEEFF" w:val="clear"/>
            <w:vAlign w:val="center"/>
          </w:tcPr>
          <w:p>
            <w:pPr>
              <w:pStyle w:val="TableContents"/>
              <w:bidi w:val="0"/>
              <w:spacing w:before="0" w:after="283"/>
              <w:ind w:left="400" w:right="0" w:hanging="200"/>
              <w:jc w:val="left"/>
              <w:rPr/>
            </w:pPr>
            <w:hyperlink w:anchor="tPROP5">
              <w:r>
                <w:rPr>
                  <w:rStyle w:val="InternetLink"/>
                  <w:rFonts w:ascii="Times New Roman;Times;serif" w:hAnsi="Times New Roman;Times;serif"/>
                  <w:color w:val="000000"/>
                  <w:sz w:val="20"/>
                </w:rPr>
                <w:t>PROPOSAL 5: APPROVAL OF AN AMENDMENT TO OUR CERTIFICATE OF INCORPORATION TO PROVIDE FOR EXCULPATION OF OFFICERS FROM BREACHES OF FIDUCIARY DUTY TO THE EXTENT PERMITTED BY THE GENERAL CORPORATION LAW OF THE STATE OF DELAWARE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PROP5">
              <w:r>
                <w:rPr>
                  <w:rStyle w:val="InternetLink"/>
                  <w:rFonts w:ascii="Times New Roman;Times;serif" w:hAnsi="Times New Roman;Times;serif"/>
                  <w:color w:val="000000"/>
                  <w:sz w:val="20"/>
                </w:rPr>
                <w:t>19</w:t>
              </w:r>
            </w:hyperlink>
          </w:p>
        </w:tc>
      </w:tr>
      <w:tr>
        <w:trPr/>
        <w:tc>
          <w:tcPr>
            <w:tcW w:w="9398"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EO">
              <w:r>
                <w:rPr>
                  <w:rStyle w:val="InternetLink"/>
                  <w:rFonts w:ascii="Times New Roman;Times;serif" w:hAnsi="Times New Roman;Times;serif"/>
                  <w:color w:val="000000"/>
                  <w:sz w:val="20"/>
                </w:rPr>
                <w:t>21</w:t>
              </w:r>
            </w:hyperlink>
          </w:p>
        </w:tc>
      </w:tr>
      <w:tr>
        <w:trPr/>
        <w:tc>
          <w:tcPr>
            <w:tcW w:w="9398" w:type="dxa"/>
            <w:tcBorders/>
            <w:shd w:fill="CCEEFF" w:val="clear"/>
            <w:vAlign w:val="center"/>
          </w:tcPr>
          <w:p>
            <w:pPr>
              <w:pStyle w:val="TableContents"/>
              <w:bidi w:val="0"/>
              <w:spacing w:before="0" w:after="283"/>
              <w:ind w:left="0" w:right="0" w:hanging="0"/>
              <w:jc w:val="left"/>
              <w:rPr/>
            </w:pPr>
            <w:hyperlink w:anchor="tCGR">
              <w:r>
                <w:rPr>
                  <w:rStyle w:val="InternetLink"/>
                  <w:rFonts w:ascii="Times New Roman;Times;serif" w:hAnsi="Times New Roman;Times;serif"/>
                  <w:color w:val="000000"/>
                  <w:sz w:val="20"/>
                </w:rPr>
                <w:t>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CGR">
              <w:r>
                <w:rPr>
                  <w:rStyle w:val="InternetLink"/>
                  <w:rFonts w:ascii="Times New Roman;Times;serif" w:hAnsi="Times New Roman;Times;serif"/>
                  <w:color w:val="000000"/>
                  <w:sz w:val="20"/>
                </w:rPr>
                <w:t>22</w:t>
              </w:r>
            </w:hyperlink>
          </w:p>
        </w:tc>
      </w:tr>
      <w:tr>
        <w:trPr/>
        <w:tc>
          <w:tcPr>
            <w:tcW w:w="9398" w:type="dxa"/>
            <w:tcBorders/>
            <w:vAlign w:val="center"/>
          </w:tcPr>
          <w:p>
            <w:pPr>
              <w:pStyle w:val="TableContents"/>
              <w:bidi w:val="0"/>
              <w:spacing w:before="0" w:after="283"/>
              <w:ind w:left="200" w:right="0" w:hanging="0"/>
              <w:jc w:val="left"/>
              <w:rPr/>
            </w:pPr>
            <w:hyperlink w:anchor="tGNR">
              <w:r>
                <w:rPr>
                  <w:rStyle w:val="InternetLink"/>
                  <w:rFonts w:ascii="Times New Roman;Times;serif" w:hAnsi="Times New Roman;Times;serif"/>
                  <w:color w:val="000000"/>
                  <w:sz w:val="20"/>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GNR">
              <w:r>
                <w:rPr>
                  <w:rStyle w:val="InternetLink"/>
                  <w:rFonts w:ascii="Times New Roman;Times;serif" w:hAnsi="Times New Roman;Times;serif"/>
                  <w:color w:val="000000"/>
                  <w:sz w:val="20"/>
                </w:rPr>
                <w:t>22</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BC">
              <w:r>
                <w:rPr>
                  <w:rStyle w:val="InternetLink"/>
                  <w:rFonts w:ascii="Times New Roman;Times;serif" w:hAnsi="Times New Roman;Times;serif"/>
                  <w:color w:val="000000"/>
                  <w:sz w:val="20"/>
                </w:rPr>
                <w:t>BOARD COMPOSITION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BC">
              <w:r>
                <w:rPr>
                  <w:rStyle w:val="InternetLink"/>
                  <w:rFonts w:ascii="Times New Roman;Times;serif" w:hAnsi="Times New Roman;Times;serif"/>
                  <w:color w:val="000000"/>
                  <w:sz w:val="20"/>
                </w:rPr>
                <w:t>22</w:t>
              </w:r>
            </w:hyperlink>
          </w:p>
        </w:tc>
      </w:tr>
      <w:tr>
        <w:trPr/>
        <w:tc>
          <w:tcPr>
            <w:tcW w:w="9398" w:type="dxa"/>
            <w:tcBorders/>
            <w:vAlign w:val="center"/>
          </w:tcPr>
          <w:p>
            <w:pPr>
              <w:pStyle w:val="TableContents"/>
              <w:bidi w:val="0"/>
              <w:spacing w:before="0" w:after="283"/>
              <w:ind w:left="200" w:right="0" w:hanging="0"/>
              <w:jc w:val="left"/>
              <w:rPr/>
            </w:pPr>
            <w:hyperlink w:anchor="tDI">
              <w:r>
                <w:rPr>
                  <w:rStyle w:val="InternetLink"/>
                  <w:rFonts w:ascii="Times New Roman;Times;serif" w:hAnsi="Times New Roman;Times;serif"/>
                  <w:color w:val="000000"/>
                  <w:sz w:val="20"/>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DI">
              <w:r>
                <w:rPr>
                  <w:rStyle w:val="InternetLink"/>
                  <w:rFonts w:ascii="Times New Roman;Times;serif" w:hAnsi="Times New Roman;Times;serif"/>
                  <w:color w:val="000000"/>
                  <w:sz w:val="20"/>
                </w:rPr>
                <w:t>22</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CBI">
              <w:r>
                <w:rPr>
                  <w:rStyle w:val="InternetLink"/>
                  <w:rFonts w:ascii="Times New Roman;Times;serif" w:hAnsi="Times New Roman;Times;serif"/>
                  <w:color w:val="000000"/>
                  <w:sz w:val="20"/>
                </w:rPr>
                <w:t>COMMUNICATIONS BY INTERESTED PARTIES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CBI">
              <w:r>
                <w:rPr>
                  <w:rStyle w:val="InternetLink"/>
                  <w:rFonts w:ascii="Times New Roman;Times;serif" w:hAnsi="Times New Roman;Times;serif"/>
                  <w:color w:val="000000"/>
                  <w:sz w:val="20"/>
                </w:rPr>
                <w:t>23</w:t>
              </w:r>
            </w:hyperlink>
          </w:p>
        </w:tc>
      </w:tr>
      <w:tr>
        <w:trPr/>
        <w:tc>
          <w:tcPr>
            <w:tcW w:w="9398" w:type="dxa"/>
            <w:tcBorders/>
            <w:vAlign w:val="center"/>
          </w:tcPr>
          <w:p>
            <w:pPr>
              <w:pStyle w:val="TableContents"/>
              <w:bidi w:val="0"/>
              <w:spacing w:before="0" w:after="283"/>
              <w:ind w:left="200" w:right="0" w:hanging="0"/>
              <w:jc w:val="left"/>
              <w:rPr/>
            </w:pPr>
            <w:hyperlink w:anchor="tBLS">
              <w:r>
                <w:rPr>
                  <w:rStyle w:val="InternetLink"/>
                  <w:rFonts w:ascii="Times New Roman;Times;serif" w:hAnsi="Times New Roman;Times;serif"/>
                  <w:color w:val="000000"/>
                  <w:sz w:val="20"/>
                </w:rPr>
                <w:t>BOARD LEADERSHIP STRUCTURE AND ROLE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BLS">
              <w:r>
                <w:rPr>
                  <w:rStyle w:val="InternetLink"/>
                  <w:rFonts w:ascii="Times New Roman;Times;serif" w:hAnsi="Times New Roman;Times;serif"/>
                  <w:color w:val="000000"/>
                  <w:sz w:val="20"/>
                </w:rPr>
                <w:t>23</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ETS">
              <w:r>
                <w:rPr>
                  <w:rStyle w:val="InternetLink"/>
                  <w:rFonts w:ascii="Times New Roman;Times;serif" w:hAnsi="Times New Roman;Times;serif"/>
                  <w:color w:val="000000"/>
                  <w:sz w:val="20"/>
                </w:rPr>
                <w:t>EXECUTIVE SESSIONS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ETS">
              <w:r>
                <w:rPr>
                  <w:rStyle w:val="InternetLink"/>
                  <w:rFonts w:ascii="Times New Roman;Times;serif" w:hAnsi="Times New Roman;Times;serif"/>
                  <w:color w:val="000000"/>
                  <w:sz w:val="20"/>
                </w:rPr>
                <w:t>24</w:t>
              </w:r>
            </w:hyperlink>
          </w:p>
        </w:tc>
      </w:tr>
      <w:tr>
        <w:trPr/>
        <w:tc>
          <w:tcPr>
            <w:tcW w:w="9398" w:type="dxa"/>
            <w:tcBorders/>
            <w:vAlign w:val="center"/>
          </w:tcPr>
          <w:p>
            <w:pPr>
              <w:pStyle w:val="TableContents"/>
              <w:bidi w:val="0"/>
              <w:spacing w:before="0" w:after="283"/>
              <w:ind w:left="200" w:right="0" w:hanging="0"/>
              <w:jc w:val="left"/>
              <w:rPr/>
            </w:pPr>
            <w:hyperlink w:anchor="tITC">
              <w:r>
                <w:rPr>
                  <w:rStyle w:val="InternetLink"/>
                  <w:rFonts w:ascii="Times New Roman;Times;serif" w:hAnsi="Times New Roman;Times;serif"/>
                  <w:color w:val="000000"/>
                  <w:sz w:val="20"/>
                </w:rPr>
                <w:t xml:space="preserve">INSIDER TRADING COMPLIANCE POLICY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ITC">
              <w:r>
                <w:rPr>
                  <w:rStyle w:val="InternetLink"/>
                  <w:rFonts w:ascii="Times New Roman;Times;serif" w:hAnsi="Times New Roman;Times;serif"/>
                  <w:color w:val="000000"/>
                  <w:sz w:val="20"/>
                </w:rPr>
                <w:t>24</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ROE">
              <w:r>
                <w:rPr>
                  <w:rStyle w:val="InternetLink"/>
                  <w:rFonts w:ascii="Times New Roman;Times;serif" w:hAnsi="Times New Roman;Times;serif"/>
                  <w:color w:val="000000"/>
                  <w:sz w:val="20"/>
                </w:rPr>
                <w:t>RECOVERY OF ERRONEOUSLY AWARDED COMPENSATION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ROE">
              <w:r>
                <w:rPr>
                  <w:rStyle w:val="InternetLink"/>
                  <w:rFonts w:ascii="Times New Roman;Times;serif" w:hAnsi="Times New Roman;Times;serif"/>
                  <w:color w:val="000000"/>
                  <w:sz w:val="20"/>
                </w:rPr>
                <w:t>24</w:t>
              </w:r>
            </w:hyperlink>
          </w:p>
        </w:tc>
      </w:tr>
      <w:tr>
        <w:trPr/>
        <w:tc>
          <w:tcPr>
            <w:tcW w:w="9398" w:type="dxa"/>
            <w:tcBorders/>
            <w:vAlign w:val="center"/>
          </w:tcPr>
          <w:p>
            <w:pPr>
              <w:pStyle w:val="TableContents"/>
              <w:bidi w:val="0"/>
              <w:spacing w:before="0" w:after="283"/>
              <w:ind w:left="200" w:right="0" w:hanging="0"/>
              <w:jc w:val="left"/>
              <w:rPr/>
            </w:pPr>
            <w:hyperlink w:anchor="tEAT">
              <w:r>
                <w:rPr>
                  <w:rStyle w:val="InternetLink"/>
                  <w:rFonts w:ascii="Times New Roman;Times;serif" w:hAnsi="Times New Roman;Times;serif"/>
                  <w:color w:val="000000"/>
                  <w:sz w:val="20"/>
                </w:rPr>
                <w:t>EQUITY AWARD TIMING POLICIES AND PRACTICE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EAT">
              <w:r>
                <w:rPr>
                  <w:rStyle w:val="InternetLink"/>
                  <w:rFonts w:ascii="Times New Roman;Times;serif" w:hAnsi="Times New Roman;Times;serif"/>
                  <w:color w:val="000000"/>
                  <w:sz w:val="20"/>
                </w:rPr>
                <w:t>24</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COB">
              <w:r>
                <w:rPr>
                  <w:rStyle w:val="InternetLink"/>
                  <w:rFonts w:ascii="Times New Roman;Times;serif" w:hAnsi="Times New Roman;Times;serif"/>
                  <w:color w:val="000000"/>
                  <w:sz w:val="20"/>
                </w:rPr>
                <w:t>CODE OF BUSINESS CONDUCT AND ETHICS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COB">
              <w:r>
                <w:rPr>
                  <w:rStyle w:val="InternetLink"/>
                  <w:rFonts w:ascii="Times New Roman;Times;serif" w:hAnsi="Times New Roman;Times;serif"/>
                  <w:color w:val="000000"/>
                  <w:sz w:val="20"/>
                </w:rPr>
                <w:t>24</w:t>
              </w:r>
            </w:hyperlink>
          </w:p>
        </w:tc>
      </w:tr>
      <w:tr>
        <w:trPr/>
        <w:tc>
          <w:tcPr>
            <w:tcW w:w="9398" w:type="dxa"/>
            <w:tcBorders/>
            <w:vAlign w:val="center"/>
          </w:tcPr>
          <w:p>
            <w:pPr>
              <w:pStyle w:val="TableContents"/>
              <w:bidi w:val="0"/>
              <w:spacing w:before="0" w:after="283"/>
              <w:ind w:left="200" w:right="0" w:hanging="0"/>
              <w:jc w:val="left"/>
              <w:rPr/>
            </w:pPr>
            <w:hyperlink w:anchor="tABM">
              <w:r>
                <w:rPr>
                  <w:rStyle w:val="InternetLink"/>
                  <w:rFonts w:ascii="Times New Roman;Times;serif" w:hAnsi="Times New Roman;Times;serif"/>
                  <w:color w:val="000000"/>
                  <w:sz w:val="20"/>
                </w:rPr>
                <w:t>ATTENDANCE BY MEMBERS OF THE BOARD OF DIRECTORS AT MEETINGS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ABM">
              <w:r>
                <w:rPr>
                  <w:rStyle w:val="InternetLink"/>
                  <w:rFonts w:ascii="Times New Roman;Times;serif" w:hAnsi="Times New Roman;Times;serif"/>
                  <w:color w:val="000000"/>
                  <w:sz w:val="20"/>
                </w:rPr>
                <w:t>24</w:t>
              </w:r>
            </w:hyperlink>
          </w:p>
        </w:tc>
      </w:tr>
      <w:tr>
        <w:trPr/>
        <w:tc>
          <w:tcPr>
            <w:tcW w:w="9398" w:type="dxa"/>
            <w:tcBorders/>
            <w:shd w:fill="CCEEFF" w:val="clear"/>
            <w:vAlign w:val="center"/>
          </w:tcPr>
          <w:p>
            <w:pPr>
              <w:pStyle w:val="TableContents"/>
              <w:bidi w:val="0"/>
              <w:spacing w:before="0" w:after="283"/>
              <w:ind w:left="0" w:right="0" w:hanging="0"/>
              <w:jc w:val="left"/>
              <w:rPr/>
            </w:pPr>
            <w:hyperlink w:anchor="tCTB">
              <w:r>
                <w:rPr>
                  <w:rStyle w:val="InternetLink"/>
                  <w:rFonts w:ascii="Times New Roman;Times;serif" w:hAnsi="Times New Roman;Times;serif"/>
                  <w:color w:val="000000"/>
                  <w:sz w:val="20"/>
                </w:rPr>
                <w:t>COMMITTEES OF THE 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CTB">
              <w:r>
                <w:rPr>
                  <w:rStyle w:val="InternetLink"/>
                  <w:rFonts w:ascii="Times New Roman;Times;serif" w:hAnsi="Times New Roman;Times;serif"/>
                  <w:color w:val="000000"/>
                  <w:sz w:val="20"/>
                </w:rPr>
                <w:t>26</w:t>
              </w:r>
            </w:hyperlink>
          </w:p>
        </w:tc>
      </w:tr>
      <w:tr>
        <w:trPr/>
        <w:tc>
          <w:tcPr>
            <w:tcW w:w="9398" w:type="dxa"/>
            <w:tcBorders/>
            <w:vAlign w:val="center"/>
          </w:tcPr>
          <w:p>
            <w:pPr>
              <w:pStyle w:val="TableContents"/>
              <w:bidi w:val="0"/>
              <w:spacing w:before="0" w:after="283"/>
              <w:ind w:left="200" w:right="0" w:hanging="0"/>
              <w:jc w:val="left"/>
              <w:rPr/>
            </w:pPr>
            <w:hyperlink w:anchor="tACT">
              <w:r>
                <w:rPr>
                  <w:rStyle w:val="InternetLink"/>
                  <w:rFonts w:ascii="Times New Roman;Times;serif" w:hAnsi="Times New Roman;Times;serif"/>
                  <w:color w:val="000000"/>
                  <w:sz w:val="20"/>
                </w:rPr>
                <w:t>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ACT">
              <w:r>
                <w:rPr>
                  <w:rStyle w:val="InternetLink"/>
                  <w:rFonts w:ascii="Times New Roman;Times;serif" w:hAnsi="Times New Roman;Times;serif"/>
                  <w:color w:val="000000"/>
                  <w:sz w:val="20"/>
                </w:rPr>
                <w:t>26</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CC">
              <w:r>
                <w:rPr>
                  <w:rStyle w:val="InternetLink"/>
                  <w:rFonts w:ascii="Times New Roman;Times;serif" w:hAnsi="Times New Roman;Times;serif"/>
                  <w:color w:val="000000"/>
                  <w:sz w:val="20"/>
                </w:rPr>
                <w:t>COMPENSATION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CC">
              <w:r>
                <w:rPr>
                  <w:rStyle w:val="InternetLink"/>
                  <w:rFonts w:ascii="Times New Roman;Times;serif" w:hAnsi="Times New Roman;Times;serif"/>
                  <w:color w:val="000000"/>
                  <w:sz w:val="20"/>
                </w:rPr>
                <w:t>27</w:t>
              </w:r>
            </w:hyperlink>
          </w:p>
        </w:tc>
      </w:tr>
      <w:tr>
        <w:trPr/>
        <w:tc>
          <w:tcPr>
            <w:tcW w:w="9398" w:type="dxa"/>
            <w:tcBorders/>
            <w:vAlign w:val="center"/>
          </w:tcPr>
          <w:p>
            <w:pPr>
              <w:pStyle w:val="TableContents"/>
              <w:bidi w:val="0"/>
              <w:spacing w:before="0" w:after="283"/>
              <w:ind w:left="200" w:right="0" w:hanging="0"/>
              <w:jc w:val="left"/>
              <w:rPr/>
            </w:pPr>
            <w:hyperlink w:anchor="tNAC">
              <w:r>
                <w:rPr>
                  <w:rStyle w:val="InternetLink"/>
                  <w:rFonts w:ascii="Times New Roman;Times;serif" w:hAnsi="Times New Roman;Times;serif"/>
                  <w:color w:val="000000"/>
                  <w:sz w:val="20"/>
                </w:rPr>
                <w:t>NOMINATING AND CORPORATE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NAC">
              <w:r>
                <w:rPr>
                  <w:rStyle w:val="InternetLink"/>
                  <w:rFonts w:ascii="Times New Roman;Times;serif" w:hAnsi="Times New Roman;Times;serif"/>
                  <w:color w:val="000000"/>
                  <w:sz w:val="20"/>
                </w:rPr>
                <w:t>27</w:t>
              </w:r>
            </w:hyperlink>
          </w:p>
        </w:tc>
      </w:tr>
      <w:tr>
        <w:trPr/>
        <w:tc>
          <w:tcPr>
            <w:tcW w:w="9398" w:type="dxa"/>
            <w:tcBorders/>
            <w:shd w:fill="CCEEFF" w:val="clear"/>
            <w:vAlign w:val="center"/>
          </w:tcPr>
          <w:p>
            <w:pPr>
              <w:pStyle w:val="TableContents"/>
              <w:bidi w:val="0"/>
              <w:spacing w:before="0" w:after="283"/>
              <w:ind w:left="0" w:right="0" w:hanging="0"/>
              <w:jc w:val="left"/>
              <w:rPr/>
            </w:pPr>
            <w:hyperlink w:anchor="tECT">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ECT">
              <w:r>
                <w:rPr>
                  <w:rStyle w:val="InternetLink"/>
                  <w:rFonts w:ascii="Times New Roman;Times;serif" w:hAnsi="Times New Roman;Times;serif"/>
                  <w:color w:val="000000"/>
                  <w:sz w:val="20"/>
                </w:rPr>
                <w:t>29</w:t>
              </w:r>
            </w:hyperlink>
          </w:p>
        </w:tc>
      </w:tr>
      <w:tr>
        <w:trPr/>
        <w:tc>
          <w:tcPr>
            <w:tcW w:w="9398" w:type="dxa"/>
            <w:tcBorders/>
            <w:vAlign w:val="center"/>
          </w:tcPr>
          <w:p>
            <w:pPr>
              <w:pStyle w:val="TableContents"/>
              <w:bidi w:val="0"/>
              <w:spacing w:before="0" w:after="283"/>
              <w:ind w:left="200" w:right="0" w:hanging="0"/>
              <w:jc w:val="left"/>
              <w:rPr/>
            </w:pPr>
            <w:hyperlink w:anchor="tPVP">
              <w:r>
                <w:rPr>
                  <w:rStyle w:val="InternetLink"/>
                  <w:rFonts w:ascii="Times New Roman;Times;serif" w:hAnsi="Times New Roman;Times;serif"/>
                  <w:color w:val="000000"/>
                  <w:sz w:val="20"/>
                </w:rPr>
                <w:t xml:space="preserve">PAY VERSUS PERFORMANCE (PVP)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PVP">
              <w:r>
                <w:rPr>
                  <w:rStyle w:val="InternetLink"/>
                  <w:rFonts w:ascii="Times New Roman;Times;serif" w:hAnsi="Times New Roman;Times;serif"/>
                  <w:color w:val="000000"/>
                  <w:sz w:val="20"/>
                </w:rPr>
                <w:t>32</w:t>
              </w:r>
            </w:hyperlink>
          </w:p>
        </w:tc>
      </w:tr>
      <w:tr>
        <w:trPr/>
        <w:tc>
          <w:tcPr>
            <w:tcW w:w="9398"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DC">
              <w:r>
                <w:rPr>
                  <w:rStyle w:val="InternetLink"/>
                  <w:rFonts w:ascii="Times New Roman;Times;serif" w:hAnsi="Times New Roman;Times;serif"/>
                  <w:color w:val="000000"/>
                  <w:sz w:val="20"/>
                </w:rPr>
                <w:t>35</w:t>
              </w:r>
            </w:hyperlink>
          </w:p>
        </w:tc>
      </w:tr>
      <w:tr>
        <w:trPr/>
        <w:tc>
          <w:tcPr>
            <w:tcW w:w="9398" w:type="dxa"/>
            <w:tcBorders/>
            <w:vAlign w:val="center"/>
          </w:tcPr>
          <w:p>
            <w:pPr>
              <w:pStyle w:val="TableContents"/>
              <w:bidi w:val="0"/>
              <w:spacing w:before="0" w:after="283"/>
              <w:ind w:left="0" w:right="0" w:hanging="0"/>
              <w:jc w:val="left"/>
              <w:rPr/>
            </w:pPr>
            <w:hyperlink w:anchor="tECP">
              <w:r>
                <w:rPr>
                  <w:rStyle w:val="InternetLink"/>
                  <w:rFonts w:ascii="Times New Roman;Times;serif" w:hAnsi="Times New Roman;Times;serif"/>
                  <w:color w:val="000000"/>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ECP">
              <w:r>
                <w:rPr>
                  <w:rStyle w:val="InternetLink"/>
                  <w:rFonts w:ascii="Times New Roman;Times;serif" w:hAnsi="Times New Roman;Times;serif"/>
                  <w:color w:val="000000"/>
                  <w:sz w:val="20"/>
                </w:rPr>
                <w:t>37</w:t>
              </w:r>
            </w:hyperlink>
          </w:p>
        </w:tc>
      </w:tr>
      <w:tr>
        <w:trPr/>
        <w:tc>
          <w:tcPr>
            <w:tcW w:w="9398" w:type="dxa"/>
            <w:tcBorders/>
            <w:shd w:fill="CCEEFF" w:val="clear"/>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SOO">
              <w:r>
                <w:rPr>
                  <w:rStyle w:val="InternetLink"/>
                  <w:rFonts w:ascii="Times New Roman;Times;serif" w:hAnsi="Times New Roman;Times;serif"/>
                  <w:color w:val="000000"/>
                  <w:sz w:val="20"/>
                </w:rPr>
                <w:t>38</w:t>
              </w:r>
            </w:hyperlink>
          </w:p>
        </w:tc>
      </w:tr>
      <w:tr>
        <w:trPr/>
        <w:tc>
          <w:tcPr>
            <w:tcW w:w="9398"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CRA">
              <w:r>
                <w:rPr>
                  <w:rStyle w:val="InternetLink"/>
                  <w:rFonts w:ascii="Times New Roman;Times;serif" w:hAnsi="Times New Roman;Times;serif"/>
                  <w:color w:val="000000"/>
                  <w:sz w:val="20"/>
                </w:rPr>
                <w:t>39</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PAP">
              <w:r>
                <w:rPr>
                  <w:rStyle w:val="InternetLink"/>
                  <w:rFonts w:ascii="Times New Roman;Times;serif" w:hAnsi="Times New Roman;Times;serif"/>
                  <w:color w:val="000000"/>
                  <w:sz w:val="20"/>
                </w:rPr>
                <w:t>POLICIES AND PROCEDURES FOR RELATED PERSON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PAP">
              <w:r>
                <w:rPr>
                  <w:rStyle w:val="InternetLink"/>
                  <w:rFonts w:ascii="Times New Roman;Times;serif" w:hAnsi="Times New Roman;Times;serif"/>
                  <w:color w:val="000000"/>
                  <w:sz w:val="20"/>
                </w:rPr>
                <w:t>39</w:t>
              </w:r>
            </w:hyperlink>
          </w:p>
        </w:tc>
      </w:tr>
      <w:tr>
        <w:trPr/>
        <w:tc>
          <w:tcPr>
            <w:tcW w:w="9398" w:type="dxa"/>
            <w:tcBorders/>
            <w:vAlign w:val="center"/>
          </w:tcPr>
          <w:p>
            <w:pPr>
              <w:pStyle w:val="TableContents"/>
              <w:bidi w:val="0"/>
              <w:spacing w:before="0" w:after="283"/>
              <w:ind w:left="200" w:right="0" w:hanging="0"/>
              <w:jc w:val="left"/>
              <w:rPr/>
            </w:pPr>
            <w:hyperlink w:anchor="tTRT">
              <w:r>
                <w:rPr>
                  <w:rStyle w:val="InternetLink"/>
                  <w:rFonts w:ascii="Times New Roman;Times;serif" w:hAnsi="Times New Roman;Times;serif"/>
                  <w:color w:val="000000"/>
                  <w:sz w:val="20"/>
                </w:rPr>
                <w:t>TRANSACTIONS RELATED TO DIRECTORS, EQUITY HOLDERS AND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TRT">
              <w:r>
                <w:rPr>
                  <w:rStyle w:val="InternetLink"/>
                  <w:rFonts w:ascii="Times New Roman;Times;serif" w:hAnsi="Times New Roman;Times;serif"/>
                  <w:color w:val="000000"/>
                  <w:sz w:val="20"/>
                </w:rPr>
                <w:t>39</w:t>
              </w:r>
            </w:hyperlink>
          </w:p>
        </w:tc>
      </w:tr>
      <w:tr>
        <w:trPr/>
        <w:tc>
          <w:tcPr>
            <w:tcW w:w="9398" w:type="dxa"/>
            <w:tcBorders/>
            <w:shd w:fill="CCEEFF" w:val="clear"/>
            <w:vAlign w:val="center"/>
          </w:tcPr>
          <w:p>
            <w:pPr>
              <w:pStyle w:val="TableContents"/>
              <w:bidi w:val="0"/>
              <w:spacing w:before="0" w:after="283"/>
              <w:ind w:left="0" w:right="0" w:hanging="0"/>
              <w:jc w:val="left"/>
              <w:rPr/>
            </w:pPr>
            <w:hyperlink w:anchor="tOMT">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OMT">
              <w:r>
                <w:rPr>
                  <w:rStyle w:val="InternetLink"/>
                  <w:rFonts w:ascii="Times New Roman;Times;serif" w:hAnsi="Times New Roman;Times;serif"/>
                  <w:color w:val="000000"/>
                  <w:sz w:val="20"/>
                </w:rPr>
                <w:t>40</w:t>
              </w:r>
            </w:hyperlink>
          </w:p>
        </w:tc>
      </w:tr>
      <w:tr>
        <w:trPr/>
        <w:tc>
          <w:tcPr>
            <w:tcW w:w="9398" w:type="dxa"/>
            <w:tcBorders/>
            <w:vAlign w:val="center"/>
          </w:tcPr>
          <w:p>
            <w:pPr>
              <w:pStyle w:val="TableContents"/>
              <w:bidi w:val="0"/>
              <w:spacing w:before="0" w:after="283"/>
              <w:ind w:left="200" w:right="0" w:hanging="0"/>
              <w:jc w:val="left"/>
              <w:rPr/>
            </w:pPr>
            <w:hyperlink w:anchor="tDSR">
              <w:r>
                <w:rPr>
                  <w:rStyle w:val="InternetLink"/>
                  <w:rFonts w:ascii="Times New Roman;Times;serif" w:hAnsi="Times New Roman;Times;serif"/>
                  <w:color w:val="000000"/>
                  <w:sz w:val="20"/>
                </w:rPr>
                <w:t>DELINQUENT SECTION 16(a)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DSR">
              <w:r>
                <w:rPr>
                  <w:rStyle w:val="InternetLink"/>
                  <w:rFonts w:ascii="Times New Roman;Times;serif" w:hAnsi="Times New Roman;Times;serif"/>
                  <w:color w:val="000000"/>
                  <w:sz w:val="20"/>
                </w:rPr>
                <w:t>40</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CCI">
              <w:r>
                <w:rPr>
                  <w:rStyle w:val="InternetLink"/>
                  <w:rFonts w:ascii="Times New Roman;Times;serif" w:hAnsi="Times New Roman;Times;serif"/>
                  <w:color w:val="000000"/>
                  <w:sz w:val="20"/>
                </w:rPr>
                <w:t>COMPENSATION COMMITTEE INTERLOCKS AND INSIDER PARTICIPATION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CCI">
              <w:r>
                <w:rPr>
                  <w:rStyle w:val="InternetLink"/>
                  <w:rFonts w:ascii="Times New Roman;Times;serif" w:hAnsi="Times New Roman;Times;serif"/>
                  <w:color w:val="000000"/>
                  <w:sz w:val="20"/>
                </w:rPr>
                <w:t>40</w:t>
              </w:r>
            </w:hyperlink>
          </w:p>
        </w:tc>
      </w:tr>
      <w:tr>
        <w:trPr/>
        <w:tc>
          <w:tcPr>
            <w:tcW w:w="9398" w:type="dxa"/>
            <w:tcBorders/>
            <w:vAlign w:val="center"/>
          </w:tcPr>
          <w:p>
            <w:pPr>
              <w:pStyle w:val="TableContents"/>
              <w:bidi w:val="0"/>
              <w:spacing w:before="0" w:after="283"/>
              <w:ind w:left="200" w:right="0" w:hanging="0"/>
              <w:jc w:val="left"/>
              <w:rPr/>
            </w:pPr>
            <w:hyperlink w:anchor="tSP">
              <w:r>
                <w:rPr>
                  <w:rStyle w:val="InternetLink"/>
                  <w:rFonts w:ascii="Times New Roman;Times;serif" w:hAnsi="Times New Roman;Times;serif"/>
                  <w:color w:val="000000"/>
                  <w:sz w:val="20"/>
                </w:rPr>
                <w:t>STOCKHOLDERS’ 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SP">
              <w:r>
                <w:rPr>
                  <w:rStyle w:val="InternetLink"/>
                  <w:rFonts w:ascii="Times New Roman;Times;serif" w:hAnsi="Times New Roman;Times;serif"/>
                  <w:color w:val="000000"/>
                  <w:sz w:val="20"/>
                </w:rPr>
                <w:t>40</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OMA">
              <w:r>
                <w:rPr>
                  <w:rStyle w:val="InternetLink"/>
                  <w:rFonts w:ascii="Times New Roman;Times;serif" w:hAnsi="Times New Roman;Times;serif"/>
                  <w:color w:val="000000"/>
                  <w:sz w:val="20"/>
                </w:rPr>
                <w:t>OTHER MATTERS AT THE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OMA">
              <w:r>
                <w:rPr>
                  <w:rStyle w:val="InternetLink"/>
                  <w:rFonts w:ascii="Times New Roman;Times;serif" w:hAnsi="Times New Roman;Times;serif"/>
                  <w:color w:val="000000"/>
                  <w:sz w:val="20"/>
                </w:rPr>
                <w:t>40</w:t>
              </w:r>
            </w:hyperlink>
          </w:p>
        </w:tc>
      </w:tr>
      <w:tr>
        <w:trPr/>
        <w:tc>
          <w:tcPr>
            <w:tcW w:w="9398" w:type="dxa"/>
            <w:tcBorders/>
            <w:vAlign w:val="center"/>
          </w:tcPr>
          <w:p>
            <w:pPr>
              <w:pStyle w:val="TableContents"/>
              <w:bidi w:val="0"/>
              <w:spacing w:before="0" w:after="283"/>
              <w:ind w:left="200" w:right="0" w:hanging="0"/>
              <w:jc w:val="left"/>
              <w:rPr/>
            </w:pPr>
            <w:hyperlink w:anchor="tSOP">
              <w:r>
                <w:rPr>
                  <w:rStyle w:val="InternetLink"/>
                  <w:rFonts w:ascii="Times New Roman;Times;serif" w:hAnsi="Times New Roman;Times;serif"/>
                  <w:color w:val="000000"/>
                  <w:sz w:val="20"/>
                </w:rPr>
                <w:t>SOLICITATION OF PROXIES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SOP">
              <w:r>
                <w:rPr>
                  <w:rStyle w:val="InternetLink"/>
                  <w:rFonts w:ascii="Times New Roman;Times;serif" w:hAnsi="Times New Roman;Times;serif"/>
                  <w:color w:val="000000"/>
                  <w:sz w:val="20"/>
                </w:rPr>
                <w:t>41</w:t>
              </w:r>
            </w:hyperlink>
          </w:p>
        </w:tc>
      </w:tr>
      <w:tr>
        <w:trPr/>
        <w:tc>
          <w:tcPr>
            <w:tcW w:w="9398" w:type="dxa"/>
            <w:tcBorders/>
            <w:shd w:fill="CCEEFF" w:val="clear"/>
            <w:vAlign w:val="center"/>
          </w:tcPr>
          <w:p>
            <w:pPr>
              <w:pStyle w:val="TableContents"/>
              <w:bidi w:val="0"/>
              <w:spacing w:before="0" w:after="283"/>
              <w:ind w:left="200" w:right="0" w:hanging="0"/>
              <w:jc w:val="left"/>
              <w:rPr/>
            </w:pPr>
            <w:hyperlink w:anchor="tOAR">
              <w:r>
                <w:rPr>
                  <w:rStyle w:val="InternetLink"/>
                  <w:rFonts w:ascii="Times New Roman;Times;serif" w:hAnsi="Times New Roman;Times;serif"/>
                  <w:color w:val="000000"/>
                  <w:sz w:val="20"/>
                </w:rPr>
                <w:t>OUSTER’S ANNUAL REPORT ON FORM 10-K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OAR">
              <w:r>
                <w:rPr>
                  <w:rStyle w:val="InternetLink"/>
                  <w:rFonts w:ascii="Times New Roman;Times;serif" w:hAnsi="Times New Roman;Times;serif"/>
                  <w:color w:val="000000"/>
                  <w:sz w:val="20"/>
                </w:rPr>
                <w:t>41</w:t>
              </w:r>
            </w:hyperlink>
          </w:p>
        </w:tc>
      </w:tr>
      <w:tr>
        <w:trPr/>
        <w:tc>
          <w:tcPr>
            <w:tcW w:w="9398" w:type="dxa"/>
            <w:tcBorders/>
            <w:vAlign w:val="center"/>
          </w:tcPr>
          <w:p>
            <w:pPr>
              <w:pStyle w:val="TableContents"/>
              <w:bidi w:val="0"/>
              <w:spacing w:before="0" w:after="283"/>
              <w:ind w:left="0" w:right="0" w:hanging="0"/>
              <w:jc w:val="left"/>
              <w:rPr/>
            </w:pPr>
            <w:hyperlink w:anchor="tATC">
              <w:r>
                <w:rPr>
                  <w:rStyle w:val="InternetLink"/>
                  <w:rFonts w:ascii="Times New Roman;Times;serif" w:hAnsi="Times New Roman;Times;serif"/>
                  <w:color w:val="000000"/>
                  <w:sz w:val="20"/>
                </w:rPr>
                <w:t xml:space="preserve">ANNEX A AMENDMENT TO THE CERTIFICATE OF INCORPORATION (PROPOSAL 4)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283"/>
              <w:ind w:left="9" w:right="0" w:hanging="0"/>
              <w:jc w:val="left"/>
              <w:rPr/>
            </w:pPr>
            <w:hyperlink w:anchor="tATC">
              <w:r>
                <w:rPr>
                  <w:rStyle w:val="InternetLink"/>
                  <w:rFonts w:ascii="Times New Roman;Times;serif" w:hAnsi="Times New Roman;Times;serif"/>
                  <w:color w:val="000000"/>
                  <w:sz w:val="20"/>
                </w:rPr>
                <w:t xml:space="preserve">A-1 </w:t>
              </w:r>
            </w:hyperlink>
          </w:p>
        </w:tc>
      </w:tr>
      <w:tr>
        <w:trPr/>
        <w:tc>
          <w:tcPr>
            <w:tcW w:w="9398" w:type="dxa"/>
            <w:tcBorders/>
            <w:shd w:fill="CCEEFF" w:val="clear"/>
            <w:vAlign w:val="center"/>
          </w:tcPr>
          <w:p>
            <w:pPr>
              <w:pStyle w:val="TableContents"/>
              <w:bidi w:val="0"/>
              <w:spacing w:before="0" w:after="283"/>
              <w:ind w:left="0" w:right="0" w:hanging="0"/>
              <w:jc w:val="left"/>
              <w:rPr/>
            </w:pPr>
            <w:hyperlink w:anchor="tANB">
              <w:r>
                <w:rPr>
                  <w:rStyle w:val="InternetLink"/>
                  <w:rFonts w:ascii="Times New Roman;Times;serif" w:hAnsi="Times New Roman;Times;serif"/>
                  <w:color w:val="000000"/>
                  <w:sz w:val="20"/>
                </w:rPr>
                <w:t>ANNEX B AMENDMENT TO THE CERTIFICATE OF INCORPORATION (PROPOSAL 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283"/>
              <w:ind w:left="9" w:right="0" w:hanging="0"/>
              <w:jc w:val="left"/>
              <w:rPr/>
            </w:pPr>
            <w:hyperlink w:anchor="tANB">
              <w:r>
                <w:rPr>
                  <w:rStyle w:val="InternetLink"/>
                  <w:rFonts w:ascii="Times New Roman;Times;serif" w:hAnsi="Times New Roman;Times;serif"/>
                  <w:color w:val="000000"/>
                  <w:sz w:val="20"/>
                </w:rPr>
                <w:t>B-1</w:t>
              </w:r>
            </w:hyperlink>
          </w:p>
        </w:tc>
      </w:tr>
      <w:tr>
        <w:trPr/>
        <w:tc>
          <w:tcPr>
            <w:tcW w:w="939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6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66227x2_def14a_103-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9" w:name="tPS"/>
      <w:bookmarkEnd w:id="9"/>
      <w:r>
        <w:rPr>
          <w:rFonts w:ascii="Times New Roman;Times;serif" w:hAnsi="Times New Roman;Times;serif"/>
          <w:b/>
          <w:color w:val="000000"/>
          <w:sz w:val="20"/>
        </w:rPr>
        <w:t xml:space="preserve">PROXY STATEMENT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OUSTER,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 TREAT AVENUE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FRANCISCO, CA 94110</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in connection with the solicitation by the Board of Directors (the “Board”) of Ouster, Inc. (“Ouster,” “we,” “us,” or the “Company”) of proxies to be voted at Ouster’s Annual Meeting of Stockholders to be held on Wednesday, June 17, 2026 (the “Annual Meeting”), at 10:00 a.m., Pacific Time, and at any continuation, postponement or adjournment of the Annual Meeting. The Annual Meeting will be a completely virtual meeting, which will be conducted via live webcast. You will be able to attend the Annual Meeting and submit your questions during the Annual Meeting by visiting </w:t>
      </w:r>
      <w:r>
        <w:rPr>
          <w:rFonts w:ascii="Times New Roman;Times;serif" w:hAnsi="Times New Roman;Times;serif"/>
          <w:i/>
          <w:color w:val="000000"/>
          <w:sz w:val="20"/>
        </w:rPr>
        <w:t>www.virtualshareholdermeeting.com/OUST2026</w:t>
      </w:r>
      <w:r>
        <w:rPr>
          <w:rFonts w:ascii="Times New Roman;Times;serif" w:hAnsi="Times New Roman;Times;serif"/>
          <w:color w:val="000000"/>
          <w:sz w:val="20"/>
        </w:rPr>
        <w:t xml:space="preserve"> and entering your 16-digit control number included in your Notice of Internet Availability of Proxy Materials, on your proxy card or on the instructions that accompanied your proxy materials.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Holders of record of outstanding shares of common stock at the close of business on April 24, 2026 (the “Record Date”) will be entitled to notice of and to vote at the Annual Meeting and any continuation, postponement or adjournment of the Annual Meeting. At the close of business on the Record Date, there were 63,672,949 shares of common stock issued and outstanding and entitled to vote at the Annual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the Company’s Annual Report to stockholders for the fiscal year ended December 31, 2025 (the “2025 Annual Report”) will be released on or about April 28, 2026 to Ouster’s stockholders on the Record Date.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STOCKHOLDER MEETING TO BE HELD ON WEDNESDAY, JUNE 17, 2026</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2025 Annual Report to Stockholders are available at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https://materials.proxyvote.com/68989M</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66227x2_def14a_104-proposal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1" w:name="tPROP"/>
      <w:bookmarkEnd w:id="11"/>
      <w:r>
        <w:rPr>
          <w:rFonts w:ascii="Times New Roman;Times;serif" w:hAnsi="Times New Roman;Times;serif"/>
          <w:b/>
          <w:color w:val="000000"/>
          <w:sz w:val="20"/>
        </w:rPr>
        <w:t xml:space="preserve">PROPOSALS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our stockholders will be asked: </w:t>
      </w:r>
    </w:p>
    <w:tbl>
      <w:tblPr>
        <w:tblW w:w="10205" w:type="dxa"/>
        <w:jc w:val="left"/>
        <w:tblInd w:w="0" w:type="dxa"/>
        <w:tblLayout w:type="fixed"/>
        <w:tblCellMar>
          <w:top w:w="0" w:type="dxa"/>
          <w:left w:w="0" w:type="dxa"/>
          <w:bottom w:w="0" w:type="dxa"/>
          <w:right w:w="0" w:type="dxa"/>
        </w:tblCellMar>
      </w:tblPr>
      <w:tblGrid>
        <w:gridCol w:w="270"/>
        <w:gridCol w:w="170"/>
        <w:gridCol w:w="170"/>
        <w:gridCol w:w="9595"/>
      </w:tblGrid>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elect Phillip M. Eyler and Angus Pacala as Class II Directors to serve until our 2029 annual meeting of stockholders and until their respective successors shall have been duly elected and qualified;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PricewaterhouseCoopers LLP as our independent registered public accounting firm for the fiscal year ending December 31, 2026;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on an advisory (non-binding) basis, the compensation of our named executive officers;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Certificate of Incorporation, as amended (the “Certificate of Incorporation”), to increase the number of authorized shares of the Company’s common stock, par value $0.0001 per share (the “common stock”) from 100,000,000 to 200,000,000;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Certificate of Incorporation to provide for exculpation of officers from breaches of fiduciary duty to the extent permitted by the General Corporation Law of the State of Delaware; and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Annual Meeting or any continuation, postponement, or adjournment of the Annual Meeting.</w:t>
            </w:r>
          </w:p>
        </w:tc>
      </w:tr>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410" w:after="283"/>
        <w:ind w:left="0" w:right="0" w:hanging="0"/>
        <w:jc w:val="left"/>
        <w:rPr>
          <w:rFonts w:ascii="Times New Roman;Times;serif" w:hAnsi="Times New Roman;Times;serif"/>
          <w:b/>
          <w:color w:val="000000"/>
          <w:sz w:val="20"/>
        </w:rPr>
      </w:pPr>
      <w:bookmarkStart w:id="12" w:name="tROT"/>
      <w:bookmarkEnd w:id="12"/>
      <w:r>
        <w:rPr>
          <w:rFonts w:ascii="Times New Roman;Times;serif" w:hAnsi="Times New Roman;Times;serif"/>
          <w:b/>
          <w:color w:val="000000"/>
          <w:sz w:val="20"/>
        </w:rPr>
        <w:t xml:space="preserve">RECOMMENDATIONS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unanimously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w:t>
      </w:r>
    </w:p>
    <w:tbl>
      <w:tblPr>
        <w:tblW w:w="10205" w:type="dxa"/>
        <w:jc w:val="left"/>
        <w:tblInd w:w="0" w:type="dxa"/>
        <w:tblLayout w:type="fixed"/>
        <w:tblCellMar>
          <w:top w:w="0" w:type="dxa"/>
          <w:left w:w="0" w:type="dxa"/>
          <w:bottom w:w="0" w:type="dxa"/>
          <w:right w:w="0" w:type="dxa"/>
        </w:tblCellMar>
      </w:tblPr>
      <w:tblGrid>
        <w:gridCol w:w="270"/>
        <w:gridCol w:w="170"/>
        <w:gridCol w:w="170"/>
        <w:gridCol w:w="9595"/>
      </w:tblGrid>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each of Phillip M. Eyler and Angus Pacala as Class II Directors;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PricewaterhouseCoopers LLP as our independent registered public accounting firm for the fiscal year ending December 31, 2026;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on an advisory (non-binding) basis, of the compensation of our named executive officers;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an amendment to our Certificate of Incorporation to increase the number of authorized shares of common stock from 100,000,000 to 200,000,000; and </w:t>
            </w:r>
          </w:p>
        </w:tc>
      </w:tr>
      <w:tr>
        <w:trPr/>
        <w:tc>
          <w:tcPr>
            <w:tcW w:w="270" w:type="dxa"/>
            <w:tcBorders/>
            <w:vAlign w:val="center"/>
          </w:tcPr>
          <w:p>
            <w:pPr>
              <w:pStyle w:val="TableContents"/>
              <w:bidi w:val="0"/>
              <w:spacing w:before="0" w:after="283"/>
              <w:jc w:val="center"/>
              <w:rPr>
                <w:color w:val="000000"/>
              </w:rPr>
            </w:pPr>
            <w:r>
              <w:rPr>
                <w:color w:val="000000"/>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2875"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an amendment to our Certificate of Incorporation to provide for exculpation of officers from breaches of fiduciary duty to the extent permitted by the General Corporation Law of the State of Delaware.</w:t>
            </w:r>
          </w:p>
        </w:tc>
      </w:tr>
      <w:tr>
        <w:trPr/>
        <w:tc>
          <w:tcPr>
            <w:tcW w:w="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color w:val="000000"/>
          <w:sz w:val="20"/>
        </w:rPr>
      </w:pPr>
      <w:bookmarkStart w:id="13" w:name="tIAT"/>
      <w:bookmarkEnd w:id="13"/>
      <w:r>
        <w:rPr>
          <w:rFonts w:ascii="Times New Roman;Times;serif" w:hAnsi="Times New Roman;Times;serif"/>
          <w:b/>
          <w:color w:val="000000"/>
          <w:sz w:val="20"/>
        </w:rPr>
        <w:t xml:space="preserve">INFORMATION ABOUT THIS PROXY STATEMENT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Why you received this proxy statement</w:t>
      </w:r>
      <w:r>
        <w:rPr>
          <w:rFonts w:ascii="Times New Roman;Times;serif" w:hAnsi="Times New Roman;Times;serif"/>
          <w:b w:val="false"/>
          <w:color w:val="000000"/>
          <w:sz w:val="20"/>
        </w:rPr>
        <w:t xml:space="preserve">. You are viewing or have received these proxy materials because Ouster’s Board is soliciting your proxy to vote your shares at the Annual Meeting. This proxy statement includes information that we are required to provide to you under the rules of the Securities and Exchange Commission (the “SEC”) and that is designed to assist you in voting your shares.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Notice of Internet Availability of Proxy Materials</w:t>
      </w:r>
      <w:r>
        <w:rPr>
          <w:rFonts w:ascii="Times New Roman;Times;serif" w:hAnsi="Times New Roman;Times;serif"/>
          <w:b w:val="false"/>
          <w:color w:val="000000"/>
          <w:sz w:val="20"/>
        </w:rPr>
        <w:t xml:space="preserve">. As permitted by SEC rules, Ouster is making this proxy statement and its 2025 Annual Report available to its stockholders electronically via the Internet. On or about April 28,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4" w:name="ny20066227x2_def14a_104-proposals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Printed Copies of Our Proxy Materials</w:t>
      </w:r>
      <w:r>
        <w:rPr>
          <w:rFonts w:ascii="Times New Roman;Times;serif" w:hAnsi="Times New Roman;Times;serif"/>
          <w:b w:val="false"/>
          <w:color w:val="000000"/>
          <w:sz w:val="20"/>
        </w:rPr>
        <w:t xml:space="preserve">. If you received printed copies of our proxy materials, then instructions regarding how you can vote are contained on the proxy card included in the materials.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Householding</w:t>
      </w:r>
      <w:r>
        <w:rPr>
          <w:rFonts w:ascii="Times New Roman;Times;serif" w:hAnsi="Times New Roman;Times;serif"/>
          <w:b w:val="false"/>
          <w:color w:val="000000"/>
          <w:sz w:val="20"/>
        </w:rPr>
        <w:t>. The SEC’s rules permit us and intermediaries (such as brokers, banks and other agents) to deliver a single set of proxy materials to one address shared by two or more of our stockholders. This delivery method is referred to as “householding” and can result in significant cost savings. To take advantage of this opportunity, we and a number of intermediaries with account holders who are our stockholders have delivered only one set of proxy materials to multiple stockholders who share an address, unless we received contrary instructions from the impacted stockholders prior to the mailing date. A proxy card or voting instruction form will be delivered for each of the stockholders sharing an address. We agree to deliver promptly, upon written or oral request, a separate set of proxy materials, as requested, to any stockholder at the shared address to which a single set of those documents was delivered. If you prefer to receive separate copies of the proxy materials, contact Broadridge Financial Solutions, Inc. at (866) 540-7095 or in writing at Broadridge Financial Solutions, Inc., Householding Department, 51 Mercedes Way, Edgewood, New York 11717.</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currently a stockholder sharing an address with another stockholder and wish to receive only one set of future proxy materials for your household, please contact Broadridge at the above phone number or address.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5" w:name="ny20066227x2_def14a_105-qa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16" w:name="tQAA"/>
      <w:bookmarkEnd w:id="16"/>
      <w:r>
        <w:rPr>
          <w:rFonts w:ascii="Times New Roman;Times;serif" w:hAnsi="Times New Roman;Times;serif"/>
          <w:b/>
          <w:color w:val="000000"/>
          <w:sz w:val="20"/>
        </w:rPr>
        <w:t>QUESTIONS AND ANSWERS ABOUT THE 2026 ANNUAL MEETING OF STOCKHOLDERS</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Annual Meeting is April 24, 2026. You are entitled to vote at the Annual Meeting only if you were a stockholder of record at the close of business on that date, or if you hold a valid proxy for the Annual Meeting. You will need to obtain your own Internet access if you choose to attend the Annual Meeting and/or vote over the Internet. Each share of our common stock entitles its holders to one vote per share on all matters presented to our stockholders at the Annual Meeting. At the close of business on the Record Date, there were 63,672,949 shares of common stock issued and outstanding and entitled to vote at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BEING A “RECORD HOLDER” AND HOLDING SHARES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record holder holds shares in his or her name. Shares held in “street name” are held in the name of a bank, broker or other agent on a person’s behalf.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VOTE IF MY SHARES ARE HELD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Yes. If your shares are held by a bank, broker or other agent, you are considered the “beneficial owner” of those shares held in “street name.” If your shares are held in “street name,” our proxy materials are being provided to you by your bank, broker or other agent, along with a voting instruction card if you received printed copies of our proxy materials. As the beneficial owner, you have the right to direct your bank, broker or other agent how to vote your shares, and the bank, broker or other agent is required to vote your shares in accordance with your instructions.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and you have not received a 16-digit control number, you should contact your bank or broker to obtain your control number or otherwise vote through the bank or broker. If you would like to vote your shares online during the Annual Meeting, your bank or broker will need to provide you with a 16-digit control number.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HOLD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Annual Meeting for any business to be conducted. The presence at the Annual Meeting, represented by remote communication or represented by proxy, of the holders of one third (1/3) in voting power of common stock issued and outstanding and entitled to vote on the Record Date will constitute a quorum.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scheduled time of the Annual Meeting, then either (i) the person presiding over the Annual Meeting or (ii) a majority in voting power of the stockholders entitled to vote at the Annual Meeting, present by remote communication or represented by proxy, may adjourn the Annual Meeting until a quorum is present or represented.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ATTEND AND VOTE AT THE 2026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attend and vote at the Annual Meeting only if you are an Ouster stockholder who is entitled to vote at the Annual Meeting, or if you hold a valid proxy for the Annual Meeting. The Annual Meeting will be held entirely online to allow greater participation. You will be able to attend the Annual Meeting and submit your questions by visiting the following website: </w:t>
      </w:r>
      <w:r>
        <w:rPr>
          <w:rFonts w:ascii="Times New Roman;Times;serif" w:hAnsi="Times New Roman;Times;serif"/>
          <w:i/>
          <w:color w:val="000000"/>
          <w:sz w:val="20"/>
        </w:rPr>
        <w:t>www.virtualshareholdermeeting.com/OUST2026</w:t>
      </w:r>
      <w:r>
        <w:rPr>
          <w:rFonts w:ascii="Times New Roman;Times;serif" w:hAnsi="Times New Roman;Times;serif"/>
          <w:color w:val="000000"/>
          <w:sz w:val="20"/>
        </w:rPr>
        <w:t>. You will also be able to vote your shares electronically at the Annual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participate in the Annual Meeting, you will need the 16-digit control number included in your Internet Notice, on your proxy card or on the instructions that accompanied your proxy materials. The Annual Meeting webcast will begin promptly at 10:00 a.m., Pacific Time. We encourage you to access the Annual Meeting prior to the start time. Online check-in will begin at 9:45 a.m., Pacific Time, and you should allow ample time for check-in procedures. If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7" w:name="ny20066227x2_def14a_105-qa_pg2"/>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hold your shares through a bank or broker, instructions should also be provided on the voting instruction card provided by your bank or brokerage firm. If you lose your 16-digit control number, you may join the Annual Meeting as a “Guest,” but you will not be able to vote or ask questions.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MEETING HELD VIRTUALLY?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hosting a virtual meeting is in the best interests of the Company and our stockholders. A virtual meeting enables increased stockholder attendance and participation because stockholders can participate from any location around the world. A virtual meeting can also provide cost savings for our stockholders and us, and it is more environmentally friendly.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DURING THE CHECK-IN TIME OR DURING THE ANNUAL MEETING I HAVE TECHNICAL DIFFICULTIES OR TROUBLE ACCESSING THE VIRTUAL MEETING WEBSITE?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when accessing the Annual Meeting website. If you encounter any difficulties accessing the Annual Meeting, please call the technical support number that will be posted on the Annual Meeting login page.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INTERNET NOTICE OR MORE THAN ONE SET OF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recommend that stockholders vote by proxy even if they plan to participate in the Annual Meeting. If you are a stockholder of record, you may vote by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Internet—You can vote over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by following the instructions on the Internet Notice or proxy card; </w:t>
            </w:r>
          </w:p>
        </w:tc>
      </w:tr>
    </w:tbl>
    <w:tbl>
      <w:tblPr>
        <w:tblW w:w="10195" w:type="dxa"/>
        <w:jc w:val="left"/>
        <w:tblInd w:w="0" w:type="dxa"/>
        <w:tblLayout w:type="fixed"/>
        <w:tblCellMar>
          <w:top w:w="0" w:type="dxa"/>
          <w:left w:w="0" w:type="dxa"/>
          <w:bottom w:w="0" w:type="dxa"/>
          <w:right w:w="0" w:type="dxa"/>
        </w:tblCellMar>
      </w:tblPr>
      <w:tblGrid>
        <w:gridCol w:w="140"/>
        <w:gridCol w:w="10055"/>
      </w:tblGrid>
      <w:tr>
        <w:trPr/>
        <w:tc>
          <w:tcPr>
            <w:tcW w:w="14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Telephone—You can vote by telephone by calling (800) 690-6903 and following the instructions on the proxy card; or </w:t>
            </w:r>
          </w:p>
        </w:tc>
      </w:tr>
    </w:tbl>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Mail—You can vote by mail by signing, dating and mailing the proxy card, which you may have received by mail.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Internet and telephone voting facilities for stockholders of record will be available 24 hours a day and will close at 8:59 p.m., Pacific Time, on June 16, 2026.</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participate in the Annual Meeting, including to vote via the Internet during the Annual Meeting, you will need to visit </w:t>
      </w:r>
      <w:r>
        <w:rPr>
          <w:rFonts w:ascii="Times New Roman;Times;serif" w:hAnsi="Times New Roman;Times;serif"/>
          <w:i/>
          <w:color w:val="000000"/>
          <w:sz w:val="20"/>
        </w:rPr>
        <w:t>www.virtualshareholdermeeting.com/OUST2026</w:t>
      </w:r>
      <w:r>
        <w:rPr>
          <w:rFonts w:ascii="Times New Roman;Times;serif" w:hAnsi="Times New Roman;Times;serif"/>
          <w:color w:val="000000"/>
          <w:sz w:val="20"/>
        </w:rPr>
        <w:t xml:space="preserve"> and enter the 16-digit control number included on your Internet Notice, proxy card or the instructions that accompanied your proxy materials. The Annual Meeting webcast will begin promptly at 10:00 a.m., Pacific Time, on June 17, 2026.</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you will receive instructions on how to vote from the bank or brokerage firm.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may visit </w:t>
      </w:r>
      <w:r>
        <w:rPr>
          <w:rFonts w:ascii="Times New Roman;Times;serif" w:hAnsi="Times New Roman;Times;serif"/>
          <w:i/>
          <w:color w:val="000000"/>
          <w:sz w:val="20"/>
        </w:rPr>
        <w:t>www.virtualshareholdermeeting.com/OUST2026</w:t>
      </w:r>
      <w:r>
        <w:rPr>
          <w:rFonts w:ascii="Times New Roman;Times;serif" w:hAnsi="Times New Roman;Times;serif"/>
          <w:color w:val="000000"/>
          <w:sz w:val="20"/>
        </w:rPr>
        <w:t xml:space="preserve"> and enter the 16-digit control number included in the voting instruction card provided to you by your bank or brokerage firm. If you hold your shares in “street name” and you do not receive a 16-digit control number, you may need to log in to your bank or brokerage firm’s website and select the shareholder communications mailbox to access the Annual Meeting and vote. Instructions should also be provided on the voting instruction card provided by your bank or brokerage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8" w:name="ny20066227x2_def14a_105-qa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If you are a stockholder of record, you may revoke your proxy and change your vote: </w:t>
      </w:r>
    </w:p>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9685" w:type="dxa"/>
        <w:jc w:val="left"/>
        <w:tblInd w:w="0" w:type="dxa"/>
        <w:tblLayout w:type="fixed"/>
        <w:tblCellMar>
          <w:top w:w="0" w:type="dxa"/>
          <w:left w:w="0" w:type="dxa"/>
          <w:bottom w:w="0" w:type="dxa"/>
          <w:right w:w="0" w:type="dxa"/>
        </w:tblCellMar>
      </w:tblPr>
      <w:tblGrid>
        <w:gridCol w:w="140"/>
        <w:gridCol w:w="9545"/>
      </w:tblGrid>
      <w:tr>
        <w:trPr/>
        <w:tc>
          <w:tcPr>
            <w:tcW w:w="14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or telephone by calling (800) 690-6903;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giving timely written notice of revocation to our Secretary prior to the Annual Meeting by writing to Ouster’s offices at 350 Treat Avenue, San Francisco, California 94110; or </w:t>
            </w:r>
          </w:p>
        </w:tc>
      </w:tr>
    </w:tbl>
    <w:tbl>
      <w:tblPr>
        <w:tblW w:w="3370" w:type="dxa"/>
        <w:jc w:val="left"/>
        <w:tblInd w:w="0" w:type="dxa"/>
        <w:tblLayout w:type="fixed"/>
        <w:tblCellMar>
          <w:top w:w="0" w:type="dxa"/>
          <w:left w:w="0" w:type="dxa"/>
          <w:bottom w:w="0" w:type="dxa"/>
          <w:right w:w="0" w:type="dxa"/>
        </w:tblCellMar>
      </w:tblPr>
      <w:tblGrid>
        <w:gridCol w:w="140"/>
        <w:gridCol w:w="3230"/>
      </w:tblGrid>
      <w:tr>
        <w:trPr/>
        <w:tc>
          <w:tcPr>
            <w:tcW w:w="14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voting during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Your most recent proxy card or Internet or telephone proxy is the one that is counted. Your virtual attendance at the Annual Meeting by itself will not revoke your proxy.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holder of shares or if your shares are held in “street name,” you may change or revoke your voting instructions by following the specific directions provided to you by your bank, broker or other agent, or you may vote electronically during the Annual Meeting using your 16-digit control number.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Financial Solutions, Inc., our inspector of election, will tabulate and certify the votes.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DO NOT SPECIFY HOW MY SHARES ARE TO BE VOTED? </w:t>
      </w:r>
    </w:p>
    <w:p>
      <w:pPr>
        <w:pStyle w:val="TextBody"/>
        <w:bidi w:val="0"/>
        <w:spacing w:before="120" w:after="283"/>
        <w:ind w:left="0" w:right="0" w:hanging="0"/>
        <w:jc w:val="both"/>
        <w:rPr/>
      </w:pPr>
      <w:r>
        <w:rPr>
          <w:rFonts w:ascii="Times New Roman;Times;serif" w:hAnsi="Times New Roman;Times;serif"/>
          <w:color w:val="000000"/>
          <w:sz w:val="20"/>
        </w:rPr>
        <w:t xml:space="preserve">If you submit a proxy but do not indicate any voting instructions, the persons named as proxies on the Company’s proxy card will vote in accordance with the recommendations of the Board. The Board’s recommendations are indicated on page </w:t>
      </w:r>
      <w:hyperlink w:anchor="tROT">
        <w:r>
          <w:rPr>
            <w:rStyle w:val="InternetLink"/>
          </w:rPr>
          <w:t>2</w:t>
        </w:r>
      </w:hyperlink>
      <w:r>
        <w:rPr>
          <w:rFonts w:ascii="Times New Roman;Times;serif" w:hAnsi="Times New Roman;Times;serif"/>
          <w:color w:val="000000"/>
          <w:sz w:val="20"/>
        </w:rPr>
        <w:t xml:space="preserve"> of this proxy statement, as well as with the description of each proposal in this proxy statement.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business other than those matters listed in the Notice of Meeting at the beginning of this proxy statement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REQUIRED FOR THE APPROVAL OF THE PROPOSALS TO BE VOTED UPON AND HOW WILL ABSTENTIONS AND BROKER NON-VOTES BE TREATED? </w:t>
      </w:r>
    </w:p>
    <w:tbl>
      <w:tblPr>
        <w:tblW w:w="10205" w:type="dxa"/>
        <w:jc w:val="left"/>
        <w:tblInd w:w="0" w:type="dxa"/>
        <w:tblLayout w:type="fixed"/>
        <w:tblCellMar>
          <w:top w:w="0" w:type="dxa"/>
          <w:left w:w="0" w:type="dxa"/>
          <w:bottom w:w="0" w:type="dxa"/>
          <w:right w:w="0" w:type="dxa"/>
        </w:tblCellMar>
      </w:tblPr>
      <w:tblGrid>
        <w:gridCol w:w="2359"/>
        <w:gridCol w:w="170"/>
        <w:gridCol w:w="170"/>
        <w:gridCol w:w="3134"/>
        <w:gridCol w:w="170"/>
        <w:gridCol w:w="170"/>
        <w:gridCol w:w="4032"/>
      </w:tblGrid>
      <w:tr>
        <w:trPr/>
        <w:tc>
          <w:tcPr>
            <w:tcW w:w="23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2" w:type="dxa"/>
            <w:tcBorders/>
            <w:vAlign w:val="center"/>
          </w:tcPr>
          <w:p>
            <w:pPr>
              <w:pStyle w:val="TableContents"/>
              <w:bidi w:val="0"/>
              <w:spacing w:before="0" w:after="0"/>
              <w:jc w:val="left"/>
              <w:rPr/>
            </w:pPr>
            <w:r>
              <w:rPr/>
              <w:t> </w:t>
            </w:r>
          </w:p>
        </w:tc>
      </w:tr>
      <w:tr>
        <w:trPr/>
        <w:tc>
          <w:tcPr>
            <w:tcW w:w="2359"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4"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2"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of Votes Withheld /Abstentions and Broker Non-Votes </w:t>
            </w:r>
          </w:p>
        </w:tc>
      </w:tr>
      <w:tr>
        <w:trPr/>
        <w:tc>
          <w:tcPr>
            <w:tcW w:w="23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1</w:t>
            </w:r>
            <w:r>
              <w:rPr>
                <w:rFonts w:ascii="Times New Roman;Times;serif" w:hAnsi="Times New Roman;Times;serif"/>
                <w:color w:val="000000"/>
                <w:sz w:val="20"/>
              </w:rPr>
              <w:t>: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plurality of the votes cast. This means that the two nominees receiving the highest number of affirmative “FOR” votes will be elected as Class II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withheld and broker non-votes will have no effect. </w:t>
            </w:r>
          </w:p>
        </w:tc>
      </w:tr>
      <w:tr>
        <w:trPr/>
        <w:tc>
          <w:tcPr>
            <w:tcW w:w="235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2" w:type="dxa"/>
            <w:tcBorders/>
            <w:vAlign w:val="center"/>
          </w:tcPr>
          <w:p>
            <w:pPr>
              <w:pStyle w:val="TableContents"/>
              <w:bidi w:val="0"/>
              <w:spacing w:before="0" w:after="0"/>
              <w:jc w:val="left"/>
              <w:rPr>
                <w:color w:val="000000"/>
              </w:rPr>
            </w:pPr>
            <w:r>
              <w:rPr>
                <w:color w:val="000000"/>
              </w:rPr>
              <w:t> </w:t>
            </w:r>
          </w:p>
        </w:tc>
      </w:tr>
      <w:tr>
        <w:trPr/>
        <w:tc>
          <w:tcPr>
            <w:tcW w:w="23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2</w:t>
            </w:r>
            <w:r>
              <w:rPr>
                <w:rFonts w:ascii="Times New Roman;Times;serif" w:hAnsi="Times New Roman;Times;serif"/>
                <w:color w:val="000000"/>
                <w:sz w:val="20"/>
              </w:rPr>
              <w:t>: Ratification of Appointment of our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in voting power of the votes cast (excluding abstentions and broker non-votes)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if any, will have no effect, and because brokers have discretionary authority to vote on this proposal we do not expect any broker non-votes in connection with this proposal. </w:t>
            </w:r>
          </w:p>
        </w:tc>
      </w:tr>
      <w:tr>
        <w:trPr/>
        <w:tc>
          <w:tcPr>
            <w:tcW w:w="235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2" w:type="dxa"/>
            <w:tcBorders/>
            <w:vAlign w:val="center"/>
          </w:tcPr>
          <w:p>
            <w:pPr>
              <w:pStyle w:val="TableContents"/>
              <w:bidi w:val="0"/>
              <w:spacing w:before="0" w:after="0"/>
              <w:jc w:val="left"/>
              <w:rPr>
                <w:color w:val="000000"/>
              </w:rPr>
            </w:pPr>
            <w:r>
              <w:rPr>
                <w:color w:val="000000"/>
              </w:rPr>
              <w:t> </w:t>
            </w:r>
          </w:p>
        </w:tc>
      </w:tr>
      <w:tr>
        <w:trPr/>
        <w:tc>
          <w:tcPr>
            <w:tcW w:w="23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66227x2_def14a_105-qa_pg4"/>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351"/>
        <w:gridCol w:w="170"/>
        <w:gridCol w:w="170"/>
        <w:gridCol w:w="2964"/>
        <w:gridCol w:w="170"/>
        <w:gridCol w:w="170"/>
        <w:gridCol w:w="2210"/>
      </w:tblGrid>
      <w:tr>
        <w:trPr/>
        <w:tc>
          <w:tcPr>
            <w:tcW w:w="43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4351"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of Votes Withheld /Abstentions and Broker Non-Votes </w:t>
            </w:r>
          </w:p>
        </w:tc>
      </w:tr>
      <w:tr>
        <w:trPr/>
        <w:tc>
          <w:tcPr>
            <w:tcW w:w="4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3</w:t>
            </w:r>
            <w:r>
              <w:rPr>
                <w:rFonts w:ascii="Times New Roman;Times;serif" w:hAnsi="Times New Roman;Times;serif"/>
                <w:color w:val="000000"/>
                <w:sz w:val="20"/>
              </w:rPr>
              <w:t>: Approval, on an Advisory (Non-Binding) Basis, of the Compensation of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in voting power of the votes cast (excluding abstentions and broker non-votes)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will have no effect. </w:t>
            </w:r>
          </w:p>
        </w:tc>
      </w:tr>
      <w:tr>
        <w:trPr/>
        <w:tc>
          <w:tcPr>
            <w:tcW w:w="435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r>
      <w:tr>
        <w:trPr/>
        <w:tc>
          <w:tcPr>
            <w:tcW w:w="4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4</w:t>
            </w:r>
            <w:r>
              <w:rPr>
                <w:rFonts w:ascii="Times New Roman;Times;serif" w:hAnsi="Times New Roman;Times;serif"/>
                <w:color w:val="000000"/>
                <w:sz w:val="20"/>
              </w:rPr>
              <w:t xml:space="preserve">: Approval of an amendment to our Certificate of Incorporation to increase the number of authorized shares of the Company’s common stock from 100,000,000 to 200,000,000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votes cast for the matter exceed the votes cast against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will have no effect. </w:t>
            </w:r>
          </w:p>
        </w:tc>
      </w:tr>
      <w:tr>
        <w:trPr/>
        <w:tc>
          <w:tcPr>
            <w:tcW w:w="435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r>
      <w:tr>
        <w:trPr/>
        <w:tc>
          <w:tcPr>
            <w:tcW w:w="4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5</w:t>
            </w:r>
            <w:r>
              <w:rPr>
                <w:rFonts w:ascii="Times New Roman;Times;serif" w:hAnsi="Times New Roman;Times;serif"/>
                <w:color w:val="000000"/>
                <w:sz w:val="20"/>
              </w:rPr>
              <w:t>: Approval of an amendment to our Certificate of Incorporation to provide for exculpation of officers from breaches of fiduciary duty to the extent permitted by the General Corporation Law of the State of Delaware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a majority of the outstanding shares of common stock entitled to vote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and broker non-votes will have the same effect as votes against the proposal.</w:t>
            </w:r>
          </w:p>
        </w:tc>
      </w:tr>
      <w:tr>
        <w:trPr/>
        <w:tc>
          <w:tcPr>
            <w:tcW w:w="43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AN ABSTENTION AND HOW WILL VOTES WITHHELD AND ABSTENTIONS BE TREATED?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“vote withheld,” in the case of the proposal regarding the election of directors, or an “abstention,” in the case of the four other proposals to be voted on at the Annual Meeting, represents a stockholder’s affirmative choice to decline to vote on a proposal. Votes withheld and abstentions are counted as present and entitled to vote solely for purposes of determining a quorum. Votes withheld will have no effect on the election of directors and abstentions will have no effect on Proposal Nos. 2, 3 and 4. Abstentions will have the same effect as votes against Proposal No. 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AND DO THEY COUNT FOR DETERMINING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broker non-votes occur when shares held by a broker, bank or other agent in “street name” for a beneficial owner are not voted with respect to a particular proposal because the broker, bank or other agent (1) has not received voting instructions from the beneficial owner and (2) lacks discretionary voting power to vote those shares. A broker or other agent is entitled to vote shares held for a beneficial owner on routine matters without instructions from the beneficial owner of those shares. The only routine matters presented at the Annual Meeting are Proposal No. 2, relating to the ratification of the appointment of PricewaterhouseCoopers LLP as our independent registered public accounting firm for the year ending December 31, 2026, and Proposal No. 4, relating to the increase in our authorized shares. On the other hand, absent instructions from the beneficial owner of such shares, a broker is not entitled to vote shares held for a beneficial owner on non-routine matters, such as Proposal Nos. 1, 3 and 5. Broker non-votes count for purposes of determining whether a quorum is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2026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Annual Meeting and we will report the final results in a Current Report on Form 8-K, which we intend to file with the SEC within four business days of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0" w:name="ny20066227x2_def14a_105-qa_pg5"/>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A QUESTION-AND-ANSWER SESSION DURING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Annual Meeting, we will hold a Q&amp;A session, during which we intend to answer appropriate questions submitted by stockholders during the Annual Meeting or questions submitted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in advance of the Annual Meeting that are pertinent to the Company and the Annual Meeting matters, for up to 10 minutes after the completion of the Annual Meeting. Appropriate questions submitted by stockholders will be read during the Q&amp;A portion of the Annual Meeting. Through this process, we believe we can respond to more questions than we were able to respond to at an in-person meeting. Only stockholders that have accessed the Annual Meeting as a stockholder (rather than a “Guest”) by following the procedures outlined above in “Who can attend and vote at the 2026 Annual Meeting of Stockholders?” will be permitted to submit questions during the Annual Meeting. If you would like to submit questions in advance of the Annual Meeting, please visit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before 11:59 p.m. Eastern Time on June 16, 2026 and enter your 16-digit control number. Each stockholder is limited to no more than two questions. Questions should be succinct and only cover a single topic. We will not address questions that are, among other things: </w:t>
      </w:r>
    </w:p>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irrelevant to the business of the Company or to the business of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related to material non-public information of the Company, including the status or results of our business since our last Quarterly Report on Form 10-Q;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any pending, threatened or ongoing litigation;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personal grievances; </w:t>
            </w:r>
          </w:p>
        </w:tc>
      </w:tr>
    </w:tbl>
    <w:tbl>
      <w:tblPr>
        <w:tblW w:w="5905" w:type="dxa"/>
        <w:jc w:val="left"/>
        <w:tblInd w:w="0" w:type="dxa"/>
        <w:tblLayout w:type="fixed"/>
        <w:tblCellMar>
          <w:top w:w="0" w:type="dxa"/>
          <w:left w:w="0" w:type="dxa"/>
          <w:bottom w:w="0" w:type="dxa"/>
          <w:right w:w="0" w:type="dxa"/>
        </w:tblCellMar>
      </w:tblPr>
      <w:tblGrid>
        <w:gridCol w:w="140"/>
        <w:gridCol w:w="5765"/>
      </w:tblGrid>
      <w:tr>
        <w:trPr/>
        <w:tc>
          <w:tcPr>
            <w:tcW w:w="14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derogatory references to individuals or that are otherwise in bad taste;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substantially repetitious of questions already made by another stockholder; </w:t>
            </w:r>
          </w:p>
        </w:tc>
      </w:tr>
    </w:tbl>
    <w:tbl>
      <w:tblPr>
        <w:tblW w:w="3115" w:type="dxa"/>
        <w:jc w:val="left"/>
        <w:tblInd w:w="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excess of the two-question limit;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furtherance of the stockholder’s personal or business interests;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out of order or not otherwise suitable for the conduct of the Annual Meeting as determined by the Chair or Corporate Secretary in their reasonable judgment.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Depending on the number of questions submitted, we may not be able to answer all questions during the Annual Meeting. Additional information regarding the Q&amp;A session will be available in the “Rules of Conduct” available on the Annual Meeting webpage for stockholders who have accessed the Annual Meeting as a stockholder (rather than a “Guest”) by following the procedures outlined above in “Who can attend and vote at the 2026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1" w:name="ny20066227x2_def14a_106-prop1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22" w:name="tPTB"/>
      <w:bookmarkEnd w:id="22"/>
      <w:r>
        <w:rPr>
          <w:rFonts w:ascii="Times New Roman;Times;serif" w:hAnsi="Times New Roman;Times;serif"/>
          <w:b/>
          <w:color w:val="000000"/>
          <w:sz w:val="20"/>
        </w:rPr>
        <w:t>PROPOSALS TO BE VOTED ON</w:t>
      </w:r>
    </w:p>
    <w:p>
      <w:pPr>
        <w:pStyle w:val="TextBody"/>
        <w:bidi w:val="0"/>
        <w:spacing w:before="390" w:after="283"/>
        <w:ind w:left="0" w:right="0" w:hanging="0"/>
        <w:jc w:val="left"/>
        <w:rPr>
          <w:rFonts w:ascii="Times New Roman;Times;serif" w:hAnsi="Times New Roman;Times;serif"/>
          <w:b/>
          <w:color w:val="000000"/>
          <w:sz w:val="20"/>
        </w:rPr>
      </w:pPr>
      <w:bookmarkStart w:id="23" w:name="tPROP1"/>
      <w:bookmarkEnd w:id="23"/>
      <w:r>
        <w:rPr>
          <w:rFonts w:ascii="Times New Roman;Times;serif" w:hAnsi="Times New Roman;Times;serif"/>
          <w:b/>
          <w:color w:val="000000"/>
          <w:sz w:val="20"/>
        </w:rPr>
        <w:t xml:space="preserve">PROPOSAL 1: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the Annual Meeting, two (2) Class II Directors are to be elected to hold office until our annual meeting of stockholders to be held in 2029 and until such director’s successor is duly elected and qualified or until such director’s earlier death, resignation or removal.</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currently have eight (8) directors on our Board. Current director Virginia Boulet has not been nominated for re-election at the Annual Meeting. The proposal regarding the election of directors requires the approval of a plurality of the votes cast. This means that the two nominees receiving the highest number of affirmative “FOR” votes will be elected as Class II Directors. Votes withheld and broker non-votes will have no effect on the outcome of the vote on this proposal.</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is currently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II, whose current term will expire at the upcoming Annual Meeting and whose subsequent term will expire at the 2029 annual meeting of stockholders; Class III, whose term will expire at the 2027 annual meeting of stockholders; and Class I, whose term will expire at the 2028 annual meeting of stockholders. The current Class I Directors are Christina C. Correia, Stephen A. Skaggs and Ernest Maddock; the current Class II Directors are Virginia Boulet, Phillip M. Eyler and Angus Pacala; and the current Class III Directors are Susan Heystee and Theodore L. Tewksbury, Ph.D.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submit a proxy but do not indicate any voting instructions, the persons named as proxies will vote the shares of common stock represented by the proxy for the election as Class II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Phillip M. Eyler and Angus Pacala will be unable to serve if elected. Each of Phillip M. Eyler and Angus Pacala has consented to being named in this proxy statement and to serve if elected.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812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election of each of the below Class II Director nominees.</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FOR CLASS II DIRECTORS (CURRENT TERMS TO EXPIRE AT THE 2026 ANNUAL MEETING) </w:t>
      </w:r>
    </w:p>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who are also nominees for election to the Board as Class II Directors are as follows: </w:t>
      </w:r>
    </w:p>
    <w:tbl>
      <w:tblPr>
        <w:tblW w:w="8870" w:type="dxa"/>
        <w:jc w:val="left"/>
        <w:tblInd w:w="0" w:type="dxa"/>
        <w:tblLayout w:type="fixed"/>
        <w:tblCellMar>
          <w:top w:w="0" w:type="dxa"/>
          <w:left w:w="0" w:type="dxa"/>
          <w:bottom w:w="0" w:type="dxa"/>
          <w:right w:w="0" w:type="dxa"/>
        </w:tblCellMar>
      </w:tblPr>
      <w:tblGrid>
        <w:gridCol w:w="1430"/>
        <w:gridCol w:w="170"/>
        <w:gridCol w:w="170"/>
        <w:gridCol w:w="335"/>
        <w:gridCol w:w="170"/>
        <w:gridCol w:w="170"/>
        <w:gridCol w:w="1955"/>
        <w:gridCol w:w="170"/>
        <w:gridCol w:w="170"/>
        <w:gridCol w:w="4130"/>
      </w:tblGrid>
      <w:tr>
        <w:trPr/>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r>
        <w:trPr/>
        <w:tc>
          <w:tcPr>
            <w:tcW w:w="14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Position(s) with Ouster </w:t>
            </w:r>
          </w:p>
        </w:tc>
      </w:tr>
      <w:tr>
        <w:trPr/>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Phillip M. Eyler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4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Angus Pacala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2015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Co-Founder and Chief Executive Officer</w:t>
            </w:r>
          </w:p>
        </w:tc>
      </w:tr>
      <w:tr>
        <w:trPr/>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4" w:name="ny20066227x2_def14a_106-prop1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II Director nominee are as follows: </w:t>
      </w:r>
    </w:p>
    <w:tbl>
      <w:tblPr>
        <w:tblW w:w="3225" w:type="dxa"/>
        <w:jc w:val="left"/>
        <w:tblInd w:w="0" w:type="dxa"/>
        <w:tblLayout w:type="fixed"/>
        <w:tblCellMar>
          <w:top w:w="0" w:type="dxa"/>
          <w:left w:w="0" w:type="dxa"/>
          <w:bottom w:w="0" w:type="dxa"/>
          <w:right w:w="0" w:type="dxa"/>
        </w:tblCellMar>
      </w:tblPr>
      <w:tblGrid>
        <w:gridCol w:w="185"/>
        <w:gridCol w:w="185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PHILLIP M. EYLER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55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Phillip M. Eyler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a member of the Board since December 2025. Mr. Eyler has also served as a member of the board of directors of the Sleep Number Corporation (Nasdaq: SNBR), a smart bed and sleep wellness company, since 2022, including as its Chairman since 2025 and a member of the Compensation Committee from 2022 to May 2025. Mr. Eyler has also served as a director of Sensata Technologies Holding PLC (NYSE:ST), a company that designs and manufactures sensors for the transportation and industrial markets, including as a member of the Nominating and Corporate Governance Committee and Growth and Innovation Committee, since 2024. Previously, Mr. Eyler served as President and Chief Executive Officer of Gentherm Incorporated (Nasdaq: THRM), a global leader in cutting edge thermal management and pneumatic comfort technologies catering to the automotive and medical industries, from 2017 until his retirement in 2025. He previously served as President of the Connected Car Division of Harman International Industries, Inc. from 2015 to 2017 and as Senior Vice President and General Manager of Global Automotive Audio from 2011 to 2015. Mr. Eyler holds an MBA from the Fuqua School of Business at Duke University and a BS in Mechanical Engineering from Purdue University. We believe that Mr. Eyler is qualified to serve as a member of the Board due to his experience as a director of other public companies and his global leadership experience in electronics, software, and sensing technology in several relevant industries.</w:t>
      </w:r>
    </w:p>
    <w:tbl>
      <w:tblPr>
        <w:tblW w:w="2925" w:type="dxa"/>
        <w:jc w:val="left"/>
        <w:tblInd w:w="0" w:type="dxa"/>
        <w:tblLayout w:type="fixed"/>
        <w:tblCellMar>
          <w:top w:w="0" w:type="dxa"/>
          <w:left w:w="0" w:type="dxa"/>
          <w:bottom w:w="0" w:type="dxa"/>
          <w:right w:w="0" w:type="dxa"/>
        </w:tblCellMar>
      </w:tblPr>
      <w:tblGrid>
        <w:gridCol w:w="185"/>
        <w:gridCol w:w="155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ANGUS PACALA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38</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bookmarkStart w:id="25" w:name="tAPB"/>
      <w:bookmarkEnd w:id="25"/>
      <w:r>
        <w:rPr>
          <w:rFonts w:ascii="Times New Roman;Times;serif" w:hAnsi="Times New Roman;Times;serif"/>
          <w:b/>
          <w:i/>
          <w:color w:val="000000"/>
          <w:sz w:val="20"/>
        </w:rPr>
        <w:t>Angus Pacala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co-founded Ouster in June 2015 and has served as our Chief Executive Officer and director since then. Previously, 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due to his extensive technical background and his history as Ouster’s co-founder.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CONTINUING MEMBERS OF THE BOARD OF DIRECTORS: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III DIRECTORS (TERMS TO EXPIRE AT THE 2027 ANNUAL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who are Class III Directors are as follows: </w:t>
      </w:r>
    </w:p>
    <w:tbl>
      <w:tblPr>
        <w:tblW w:w="7565" w:type="dxa"/>
        <w:jc w:val="left"/>
        <w:tblInd w:w="0" w:type="dxa"/>
        <w:tblLayout w:type="fixed"/>
        <w:tblCellMar>
          <w:top w:w="0" w:type="dxa"/>
          <w:left w:w="0" w:type="dxa"/>
          <w:bottom w:w="0" w:type="dxa"/>
          <w:right w:w="0" w:type="dxa"/>
        </w:tblCellMar>
      </w:tblPr>
      <w:tblGrid>
        <w:gridCol w:w="2690"/>
        <w:gridCol w:w="170"/>
        <w:gridCol w:w="170"/>
        <w:gridCol w:w="335"/>
        <w:gridCol w:w="170"/>
        <w:gridCol w:w="170"/>
        <w:gridCol w:w="1085"/>
        <w:gridCol w:w="170"/>
        <w:gridCol w:w="170"/>
        <w:gridCol w:w="243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r>
        <w:trPr/>
        <w:tc>
          <w:tcPr>
            <w:tcW w:w="26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Served as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Position(s) with Ouster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Susan Heystee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Vice Chair of the Board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Theodore L. Tewksbury, Ph.D.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 of the Board</w:t>
            </w:r>
          </w:p>
        </w:tc>
      </w:tr>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III Director are as follows: </w:t>
      </w:r>
    </w:p>
    <w:tbl>
      <w:tblPr>
        <w:tblW w:w="3060" w:type="dxa"/>
        <w:jc w:val="left"/>
        <w:tblInd w:w="0" w:type="dxa"/>
        <w:tblLayout w:type="fixed"/>
        <w:tblCellMar>
          <w:top w:w="0" w:type="dxa"/>
          <w:left w:w="0" w:type="dxa"/>
          <w:bottom w:w="0" w:type="dxa"/>
          <w:right w:w="0" w:type="dxa"/>
        </w:tblCellMar>
      </w:tblPr>
      <w:tblGrid>
        <w:gridCol w:w="185"/>
        <w:gridCol w:w="1685"/>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SUSAN HEYSTEE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64</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Susan Heystee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September 2018. Ms. Heystee has served as Vice Chair of our Board since April 2024 and she previously served as our lead independent director from March 2023 until April 2024. From August 2021 to February 2023, Ms. Heystee served as the Chair of our Board. She also served as our Interim Chief Revenue Officer from January 2021 to July 2021. Previously, Ms. Heystee was Senior Vice President of Global Automotive Business at Verizon Connect from January 2017 to June 2018. Prior to that,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(NYSE: CHPT), an electric vehicle charging station company, since May 2021. Ms. Heystee holds bachelor’s degrees in mathematics and business from the University of Waterloo and an Advanced Management Program Certificate from Harvard Business School. We believe that Ms. Heystee is qualified to serve as a member of our Board due to her extensive experience in the technology sector and knowledge of market driven strategies.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6" w:name="ny20066227x2_def14a_106-prop1_pg3"/>
        <w:bookmarkEnd w:id="26"/>
        <w:r>
          <w:rPr>
            <w:rStyle w:val="InternetLink"/>
            <w:rFonts w:ascii="Times New Roman;Times;Serif" w:hAnsi="Times New Roman;Times;Serif"/>
            <w:b/>
            <w:caps w:val="false"/>
            <w:smallCaps w:val="false"/>
            <w:color w:val="000000"/>
            <w:sz w:val="16"/>
          </w:rPr>
          <w:t>TABLE OF CONTENTS</w:t>
        </w:r>
      </w:hyperlink>
    </w:p>
    <w:tbl>
      <w:tblPr>
        <w:tblW w:w="4710" w:type="dxa"/>
        <w:jc w:val="left"/>
        <w:tblInd w:w="0" w:type="dxa"/>
        <w:tblLayout w:type="fixed"/>
        <w:tblCellMar>
          <w:top w:w="0" w:type="dxa"/>
          <w:left w:w="0" w:type="dxa"/>
          <w:bottom w:w="0" w:type="dxa"/>
          <w:right w:w="0" w:type="dxa"/>
        </w:tblCellMar>
      </w:tblPr>
      <w:tblGrid>
        <w:gridCol w:w="185"/>
        <w:gridCol w:w="3335"/>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3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35"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THEODORE L. TEWKSBURY, PH.D.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69</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33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Dr. Tewksbury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Chair of our Board since April 2024 and previously served as Executive Chairperson of our Board from February 2023 to April 2024. Dr. Tewksbury served as the Chief Executive Officer of Velodyne Lidar, Inc. (“Velodyne”) from November 2021 until February 2023. Prior to that, he was CEO of Eta Compute, a provider of ultra-low power AI vision systems, from August 2019 to November 2021. Dr. Tewksbury has been a director of Maxlinear, Inc. (Nasdaq: MXL), a mixed-signal semiconductor company, since May 2015, where he chairs the Cybersecurity Committee and serves on the Audit and Nominating and Governance committees, and Silvaco Group, Inc. (Nasdaq: SVCO), a software solutions company for semiconductor and photonics design, since April 2026, where he serves as a member of the Audit Committee. From February 2017 to March 2019, Dr. Tewksbury was Chairman and CEO of Energy Focus, Inc., a provider of high-performance LED lighting solutions. Dr. Tewksbury was a director of Entropic Communications from September 2010 and CEO from November 2014 until MaxLinear’s acquisition of Entropic in April 2015. From 2013 to November 2014, he was an independent consultant to technology companies. From 2008 to 2013, Dr. Tewksbury served as CEO of Integrated Device Technology, Inc. and, from 2006 to 2008, was President and COO of AMI Semiconductor, both of which were public semiconductor companies. Prior to that, he held management and engineering leadership roles at Maxim Integrated Products, IBM Microelectronics and Analog Devices. Dr. Tewksbury was a member of the board of directors of the Global Semiconductor Alliance (GSA) from March 2011 to August 2013. Dr. Tewksbury holds a B.S. in Architecture and an M.S. and a Ph.D. in Electrical Engineering from the Massachusetts Institute of Technology. We believe that Dr. Tewksbury is qualified to serve as a member of our Board and as the Chair of our Board of Directors due to his industry knowledge and extensive experience as an executive and director for public technology companies.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CONTINUING MEMBERS OF THE BOARD OF DIRECTORS:</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DIRECTORS (TERMS TO EXPIRE AT THE 2028 ANNUAL MEETING)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who are Class I Directors are as follows: </w:t>
      </w:r>
    </w:p>
    <w:tbl>
      <w:tblPr>
        <w:tblW w:w="6680" w:type="dxa"/>
        <w:jc w:val="left"/>
        <w:tblInd w:w="0" w:type="dxa"/>
        <w:tblLayout w:type="fixed"/>
        <w:tblCellMar>
          <w:top w:w="0" w:type="dxa"/>
          <w:left w:w="0" w:type="dxa"/>
          <w:bottom w:w="0" w:type="dxa"/>
          <w:right w:w="0" w:type="dxa"/>
        </w:tblCellMar>
      </w:tblPr>
      <w:tblGrid>
        <w:gridCol w:w="1805"/>
        <w:gridCol w:w="170"/>
        <w:gridCol w:w="170"/>
        <w:gridCol w:w="335"/>
        <w:gridCol w:w="170"/>
        <w:gridCol w:w="170"/>
        <w:gridCol w:w="1085"/>
        <w:gridCol w:w="170"/>
        <w:gridCol w:w="170"/>
        <w:gridCol w:w="2435"/>
      </w:tblGrid>
      <w:tr>
        <w:trPr/>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r>
        <w:trPr/>
        <w:tc>
          <w:tcPr>
            <w:tcW w:w="18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Served as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Position(s) with Ouster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Christina C. Correia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8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Stephen A. Skaggs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Ernest Maddock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8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35"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 Director are as follows: </w:t>
      </w:r>
    </w:p>
    <w:tbl>
      <w:tblPr>
        <w:tblW w:w="3675" w:type="dxa"/>
        <w:jc w:val="left"/>
        <w:tblInd w:w="0" w:type="dxa"/>
        <w:tblLayout w:type="fixed"/>
        <w:tblCellMar>
          <w:top w:w="0" w:type="dxa"/>
          <w:left w:w="0" w:type="dxa"/>
          <w:bottom w:w="0" w:type="dxa"/>
          <w:right w:w="0" w:type="dxa"/>
        </w:tblCellMar>
      </w:tblPr>
      <w:tblGrid>
        <w:gridCol w:w="185"/>
        <w:gridCol w:w="230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CHRISTINA C. CORREIA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56</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3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Christina C. Correia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November 2024. Ms. Correia has also served as Group Vice President, Chief Accounting Officer and Business Finance at Lam Research Corporation (Nasdaq: LRCX), a supplier of wafer-fabrication equipment and related services to the semiconductor industry, since May 2024. Prior to her current position, Ms. Correia has held multiple leadership roles at Lam in Finance, Corporate Communications and Investor Relations since joining in 2002, including serving as Corporate Vice President, Chief Accounting Officer and Business Finance from October 2023 to May 2024, Corporate Vice President, Chief Accounting Officer, Investor Relations and Corporate Finance from March 2023 to October 2023; Corporate Vice President, Investor Relations and Corporate Finance from April 2020 to March 2023; and Corporate Vice President, Investor Relations and Corporate Communications from September 2018 to April 2020. Prior to joining Lam, Ms. Correia worked at BroadVision, Inc. (Nasdaq: BVSN), an international software company, where she served as the company’s Vice President and Corporate Controller in addition to several other senior-level finance positions from September 1999 to November 2002. She previously worked in the assurance practice at KPMG, LLP, supporting the firm’s technology clients, from September 1992 to September 1999. Ms. Correia holds a B.S. in Business Administration from the University of California, Berkeley and is a licensed Certified Public Accountant in the State of California. We believe that Ms. Correia is qualified to serve as a member of our Board due to her financial expertise and extensive executive leadership experience.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7" w:name="ny20066227x2_def14a_106-prop1_pg4"/>
        <w:bookmarkEnd w:id="27"/>
        <w:r>
          <w:rPr>
            <w:rStyle w:val="InternetLink"/>
            <w:rFonts w:ascii="Times New Roman;Times;Serif" w:hAnsi="Times New Roman;Times;Serif"/>
            <w:b/>
            <w:caps w:val="false"/>
            <w:smallCaps w:val="false"/>
            <w:color w:val="000000"/>
            <w:sz w:val="16"/>
          </w:rPr>
          <w:t>TABLE OF CONTENTS</w:t>
        </w:r>
      </w:hyperlink>
    </w:p>
    <w:tbl>
      <w:tblPr>
        <w:tblW w:w="3405" w:type="dxa"/>
        <w:jc w:val="left"/>
        <w:tblInd w:w="0" w:type="dxa"/>
        <w:tblLayout w:type="fixed"/>
        <w:tblCellMar>
          <w:top w:w="0" w:type="dxa"/>
          <w:left w:w="0" w:type="dxa"/>
          <w:bottom w:w="0" w:type="dxa"/>
          <w:right w:w="0" w:type="dxa"/>
        </w:tblCellMar>
      </w:tblPr>
      <w:tblGrid>
        <w:gridCol w:w="185"/>
        <w:gridCol w:w="2030"/>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STEPHEN A. SKAGGS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63</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Stephen A. Skaggs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November 2024. Mr. Skaggs has been a private investor since April 2016. He currently serves on the board of directors of Coherent Corp. (NYSE: COHR). Previously he held the position of Senior Vice President and Chief Financial Officer of Atmel Corporation, a leading supplier of microcontrollers, from May 2013 until its acquisition by Microchip Technology Incorporated (Nasdaq: MCHP) in April 2016. Mr. Skaggs has more than 25 years of experience in the semiconductor industry, including serving as President, Chief Executive Officer and Chief Financial Officer of Lattice Semiconductor (Nasdaq: LSCC), a supplier of programmable logic devices and related software. He was also previously a member of the board of directors of Lattice. Prior to Lattice, Mr. Skaggs was employed by Bain &amp; Company, a global management consulting firm, where he specialized in high technology product strategy, mergers and acquisitions and corporate restructurings. Mr. Skaggs holds an M.B.A. from Harvard Business School and a B.S. in Chemical Engineering from the University of California, Berkeley. We believe that Mr. Skaggs is qualified to serve as a member of our Board due to his extensive executive and management experience in the high-technology industry, including serving as chief executive officer, chief financial officer and director of other public companies. </w:t>
      </w:r>
    </w:p>
    <w:tbl>
      <w:tblPr>
        <w:tblW w:w="3270" w:type="dxa"/>
        <w:jc w:val="left"/>
        <w:tblInd w:w="0" w:type="dxa"/>
        <w:tblLayout w:type="fixed"/>
        <w:tblCellMar>
          <w:top w:w="0" w:type="dxa"/>
          <w:left w:w="0" w:type="dxa"/>
          <w:bottom w:w="0" w:type="dxa"/>
          <w:right w:w="0" w:type="dxa"/>
        </w:tblCellMar>
      </w:tblPr>
      <w:tblGrid>
        <w:gridCol w:w="185"/>
        <w:gridCol w:w="1895"/>
        <w:gridCol w:w="170"/>
        <w:gridCol w:w="170"/>
        <w:gridCol w:w="635"/>
        <w:gridCol w:w="215"/>
      </w:tblGrid>
      <w:tr>
        <w:trPr/>
        <w:tc>
          <w:tcPr>
            <w:tcW w:w="185"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ERNEST MADDOCK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Age 68</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89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Ernest Maddock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February 2023. Mr. Maddock served as Chief Financial Officer of Micron Technology, Inc., a semiconductor manufacturing company, from 2015 until his retirement in 2018. Prior to that, he served as Executive Vice President and Chief Financial Officer of Riverbed Technology, Inc., an information technology company, from 2013 to 2015. From 1997 to 2013, Mr. Maddock served in various roles at the semiconductor capital equipment company Lam Research Corporation, culminating in the position of Chief Financial Officer from 2008 to 2013. Mr. Maddock has served on the boards of directors of Ultra Clean Holdings Inc. (Nasdaq: UCTT), a provider of semiconductor capital equipment components and services, since June 2018, Avnet Inc. (Nasdaq: AVT), a technology distribution company, since August 2021 and Teradyne, Inc. (Nasdaq: TER), a semiconductor capital equipment and robotics company, since November 2022. Mr. Maddock previously served on the Board of Intersil Corporation (Nasdaq: ISIL), a semiconductor company, from 2015 until its acquisition in 2017. Mr. Maddock received a BS in Industrial Management from the Georgia Institute of Technology and an MBA with a specialization in Finance from Georgia State University. We believe that Mr. Maddock is qualified to serve as a member of our Board due to his experience as a director and financial officer for multiple public technology companies and his decades of finance and operations experience in high tech businesses.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8" w:name="ny20066227x2_def14a_107-prop2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29" w:name="tPROP2"/>
      <w:bookmarkEnd w:id="29"/>
      <w:r>
        <w:rPr>
          <w:rFonts w:ascii="Times New Roman;Times;serif" w:hAnsi="Times New Roman;Times;serif"/>
          <w:b/>
          <w:color w:val="000000"/>
          <w:sz w:val="20"/>
        </w:rPr>
        <w:t xml:space="preserve">PROPOSAL 2: Ratification of Appointment of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Audit Committee of the Board (the “Audit Committee”) has appointed PricewaterhouseCoopers LLP as our independent registered public accounting firm for the fiscal year ending December 31, 2026. Our Board has directed that this appointment be submitted to our stockholders for ratification. Although ratification of the Audit Committee’s appointment of PricewaterhouseCoopers LLP is not required, we value the opinions of our stockholders and believe that stockholder ratification of such appointment is a good corporate governance practice.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PricewaterhouseCoopers LLP also served as our independent registered public accounting firm for the fiscal years ended December 31, 2022 through December 31, 2025. Neither PricewaterhouseCoopers LLP nor any of its members has any direct or indirect financial interest in or any connection with us in any capacity other than as our auditors, providing audit and non-audit related services. A representative of PricewaterhouseCoopers LLP is expected to attend the Annual Meeting, have an opportunity to make a statement if he or she desires to do so, and be available to respond to appropriate questions from stockholders.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appointment of PricewaterhouseCoopers LLP is not ratified by the stockholders, the Audit Committee will consider this fact when it appoints the independent auditors for the fiscal year ending December 31, 2027. Even if the appointment of PricewaterhouseCoopers LLP is ratified, the Audit Committee retains the discretion to appoint a different independent auditor at any time if it determines that such a change is in the interests of Ouster.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812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ratification of the appointment of PricewaterhouseCoopers LLP as our independent registered public accounting firm for the fiscal year ending December 31, 2026.</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0" w:name="ny20066227x2_def14a_108-audit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31" w:name="tRTA"/>
      <w:bookmarkEnd w:id="31"/>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Audit Committee has reviewed the Company’s audited financial statements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w:t>
      </w:r>
      <w:r>
        <w:rPr>
          <w:rFonts w:ascii="Times New Roman;Times;serif" w:hAnsi="Times New Roman;Times;serif"/>
          <w:b/>
          <w:i/>
          <w:color w:val="000000"/>
          <w:sz w:val="20"/>
        </w:rPr>
        <w:t>PCAOB</w:t>
      </w:r>
      <w:r>
        <w:rPr>
          <w:rFonts w:ascii="Times New Roman;Times;serif" w:hAnsi="Times New Roman;Times;serif"/>
          <w:color w:val="000000"/>
          <w:sz w:val="20"/>
        </w:rPr>
        <w:t>”) and the SEC.</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independent registered public accounting firm also provided the Audit Committee with a formal written statement required by the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Audit Committee has been actively engaged in overseeing the material weaknesses that the Company identified in its Annual Report on Form 10-K for the fiscal year ended December 31, 2021 and in subsequent Form 10-Ks (“Material Weaknesses”). The Company remediated aspects of the Material Weaknesses in each of the fiscal years ended December 31, 2022, December 31, 2023, and December 31, 2024. In fiscal year ended December 31, 2025, the Company remediated all remaining aspects of the Material Weaknesses.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2025.</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Ernest Maddock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Christina C. Correia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Skaggs</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Audit Committee Report does not constitute soliciting material, and shall not be deemed to be filed or incorporated by reference into any other filing under the Securities Act of 1933, as amended, or the Exchange Act, except to the extent that the Company specifically incorporates the Audit Committee Report by reference therein.</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2" w:name="ny20066227x2_def14a_108-audit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33" w:name="tIRP"/>
      <w:bookmarkEnd w:id="33"/>
      <w:r>
        <w:rPr>
          <w:rFonts w:ascii="Times New Roman;Times;serif" w:hAnsi="Times New Roman;Times;serif"/>
          <w:b/>
          <w:color w:val="000000"/>
          <w:sz w:val="20"/>
        </w:rPr>
        <w:t xml:space="preserve">INDEPENDENT REGISTERED PUBLIC ACCOUNTING FIRM FEES AND 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Set forth below are the fees paid to our independent registered public accounting firm, PricewaterhouseCoopers LLP, for the fiscal years ended December 31, 2025 and 2024: </w:t>
      </w:r>
    </w:p>
    <w:tbl>
      <w:tblPr>
        <w:tblW w:w="4355" w:type="dxa"/>
        <w:jc w:val="left"/>
        <w:tblInd w:w="0" w:type="dxa"/>
        <w:tblLayout w:type="fixed"/>
        <w:tblCellMar>
          <w:top w:w="0" w:type="dxa"/>
          <w:left w:w="0" w:type="dxa"/>
          <w:bottom w:w="0" w:type="dxa"/>
          <w:right w:w="0" w:type="dxa"/>
        </w:tblCellMar>
      </w:tblPr>
      <w:tblGrid>
        <w:gridCol w:w="1625"/>
        <w:gridCol w:w="170"/>
        <w:gridCol w:w="170"/>
        <w:gridCol w:w="980"/>
        <w:gridCol w:w="170"/>
        <w:gridCol w:w="170"/>
        <w:gridCol w:w="1070"/>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6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$1,290,344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300,000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$1,592,344</w:t>
            </w:r>
          </w:p>
        </w:tc>
      </w:tr>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Audit fees in 2025 and 2024 consisted of fees for the audit of our annual financial statements, the review of the interim financial statements included in our Quarterly Reports on Form 10-Q, the review of financial statements to be included in registration statements, services associated with the issuance of comfort letters and the issuance of consents to registration statements and other professional services provided in connection with statutory and regulatory filings or engagements.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AUDIT-RELATED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Audit-related fees consist of fees that are reasonably related to the performance of the audit and the review of our financial statements and which are not reported under “Audit Fees”.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 OTHER FEES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2025 and 2024, all other fees consisted of fees related to technical research tools and similar resources.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PRE-APPROVAL POLICY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PricewaterhouseCoopers LLP without first obtaining specific pre-approvals from the Audit Committee or the Chair of the Audit Committee. The Audit Committee may revise the list of general pre-approved services from time to time, based on subsequent determinations.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4" w:name="ny20066227x2_def14a_109-prop3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35" w:name="tPROP3"/>
      <w:bookmarkEnd w:id="35"/>
      <w:r>
        <w:rPr>
          <w:rFonts w:ascii="Times New Roman;Times;serif" w:hAnsi="Times New Roman;Times;serif"/>
          <w:b/>
          <w:color w:val="000000"/>
          <w:sz w:val="20"/>
        </w:rPr>
        <w:t xml:space="preserve">PROPOSAL 3: Approval, on an Advisory (Non-Binding) Basis, of the Compensation of Our Named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Dodd–Frank Wall Street Reform and Consumer Protection Act of 2010 (the “Dodd-Frank Act”) and Rule 14a-21(a) under the Securities Exchange Act of 1934, as amended, we request that our stockholders cast a non-binding, advisory vote to approve the compensation of our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Accordingly, we ask our stockholders to vote “</w:t>
      </w:r>
      <w:r>
        <w:rPr>
          <w:rFonts w:ascii="Times New Roman;Times;serif" w:hAnsi="Times New Roman;Times;serif"/>
          <w:b/>
          <w:color w:val="000000"/>
          <w:sz w:val="20"/>
        </w:rPr>
        <w:t>FOR</w:t>
      </w:r>
      <w:r>
        <w:rPr>
          <w:rFonts w:ascii="Times New Roman;Times;serif" w:hAnsi="Times New Roman;Times;serif"/>
          <w:color w:val="000000"/>
          <w:sz w:val="20"/>
        </w:rPr>
        <w:t>” the following resolution at the Annual Meeting:</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 xml:space="preserve">RESOLVED, that the Company’s stockholders hereby approve, on an advisory (non-binding) basis, the compensation of the Company’s named executive officers, as disclosed in the Company’s proxy statement for the 2026 annual meeting of stockholders pursuant to Item 402 of Regulation S-K, including the compensation tables and narrative discussion.”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believe that our compensation programs and policies for the year ended December 31, 2025 were an effective incentive for the achievement of our goals, aligned with stockholders’ interest and are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our performance-based compensation programs and set compensation targets and other objectives to maintain a close correlation between Company achievement and individual compensation.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vote is merely advisory and will not be binding upon the Company, our Board or the Board’s Compensation Committee (the “Compensation Committee”), nor will it create or imply any change in the duties of the Company, our Board or the Compensation Committee. The Compensation Committee will, however, take into account the outcome of the vote when considering future executive compensation decisions. At our 2025 annual meeting of stockholders, approximately 94.1% of the votes cast were voted “for” the proposal. The Board values constructive dialogue on executive compensation and other significant governance topics with our stockholders and encourages all stockholders to vote their shares on this important matter.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our annual meeting of stockholders held on June 9, 2022, our stockholders recommended, on an advisory basis, that future stockholder votes on the compensation of our named executive officers occur every year. In light of the foregoing recommendation, our Board determined to hold a “say-on-pay” advisory vote every year. An annual advisory vote on executive compensation is consistent with our policy of seeking regular dialogue with our stockholders on corporate governance matters and our executive compensation philosophy, policies and practices. We understand that our stockholders may have different views as to what is the best approach for the Company, and we look forward to hearing from our stockholders on this proposal. Accordingly, our next advisory say-on-pay vote (following the advisory vote at this Annual Meeting) is expected to occur at our 2027 annual meeting of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812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approval, on an advisory (non-binding) basis, of the compensation of our named executive officers.</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6" w:name="ny20066227x2_def14a_110-prop4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Times New Roman;Times;serif" w:hAnsi="Times New Roman;Times;serif"/>
          <w:b/>
          <w:color w:val="000000"/>
          <w:sz w:val="20"/>
        </w:rPr>
      </w:pPr>
      <w:bookmarkStart w:id="37" w:name="tPROP4"/>
      <w:bookmarkEnd w:id="37"/>
      <w:r>
        <w:rPr>
          <w:rFonts w:ascii="Times New Roman;Times;serif" w:hAnsi="Times New Roman;Times;serif"/>
          <w:b/>
          <w:color w:val="000000"/>
          <w:sz w:val="20"/>
        </w:rPr>
        <w:t xml:space="preserve">PROPOSAL 4: Approval of an Amendment to our Certificate of Incorporation to increase the number of authorized shares of the Company’s common stock from 100,000,000 to 200,000,000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currently authorizes the issuance of 100,000,000 shares of common stock. On February 24, 2026, our Board adopted a resolution to amend the Certificate of Incorporation, subject to stockholder approval, by increasing the number of authorized shares of our common stock to 200,000,000 shares (the “Authorized Shares Amendment”). The additional 100,000,000 shares of common stock authorized for issuance pursuant to the proposed Authorized Shares Amendment would be part of the existing class of common stock and, if and when issued, would have the same rights and privileges as the shares of common stock presently issued and outstanding. The holders of common stock are not entitled to preemptive rights or cumulative voting. The Authorized Shares Amendment will not affect the number of authorized shares of preferred stock of the Company, par value $0.0001 per share, which is 100,000,000 shares. Currently, there are no shares of preferred stock issued and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this proposal, then Article IV of our Certificate of Incorporation will be deleted and replaced in its entirety to read as follows: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 xml:space="preserve">The Corporation is authorized to issue two classes of stock to be designated, respectively, “Common Stock” and “Preferred Stock.” The total number of shares of capital stock that the Corporation shall have authority to issue is 300,000,000. The total number of shares of Common Stock that the Corporation is authorized to issue is 200,000,000, having a par value of $0.0001 per share, and the total number of shares of Preferred Stock that the Corporation is authorized to issue is 100,000,000, having a par value of $0.0001 per share.”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Authorized Shares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it is in the best interests of the Company and our stockholders to increase our authorized shares of common stock in order to have additional shares available for use as our Board deems appropriate or necessary. As such, the primary purpose of the Authorized Shares Amendment is to provide the Company with greater flexibility with respect to managing its common stock in connection with such corporate purposes as may, from time to time, be considered advisable by our Board. These corporate purposes could include, without limitation, financing activities, public or private offerings of common stock, stock dividends or splits, conversions of convertible securities, issuance of options and other equity awards pursuant to our incentive plans, establishing a strategic relationship with a corporate collaborator and acquisition transactions.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capitalization. Our Board will determine whether, when and on what terms the issuance of shares of common stock may be warranted in connection with any of the foregoing purposes.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Approval of Proposed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the effect the proposed Authorized Shares Amendment would have on the number of shares of common stock available for issuance, if approved by our stockholders: </w:t>
      </w:r>
    </w:p>
    <w:tbl>
      <w:tblPr>
        <w:tblW w:w="10205" w:type="dxa"/>
        <w:jc w:val="left"/>
        <w:tblInd w:w="0" w:type="dxa"/>
        <w:tblLayout w:type="fixed"/>
        <w:tblCellMar>
          <w:top w:w="0" w:type="dxa"/>
          <w:left w:w="0" w:type="dxa"/>
          <w:bottom w:w="0" w:type="dxa"/>
          <w:right w:w="0" w:type="dxa"/>
        </w:tblCellMar>
      </w:tblPr>
      <w:tblGrid>
        <w:gridCol w:w="6531"/>
        <w:gridCol w:w="170"/>
        <w:gridCol w:w="170"/>
        <w:gridCol w:w="1463"/>
        <w:gridCol w:w="170"/>
        <w:gridCol w:w="170"/>
        <w:gridCol w:w="1531"/>
      </w:tblGrid>
      <w:tr>
        <w:trPr/>
        <w:tc>
          <w:tcPr>
            <w:tcW w:w="65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1" w:type="dxa"/>
            <w:tcBorders/>
            <w:vAlign w:val="center"/>
          </w:tcPr>
          <w:p>
            <w:pPr>
              <w:pStyle w:val="TableContents"/>
              <w:bidi w:val="0"/>
              <w:spacing w:before="0" w:after="0"/>
              <w:jc w:val="left"/>
              <w:rPr/>
            </w:pPr>
            <w:r>
              <w:rPr/>
              <w:t> </w:t>
            </w:r>
          </w:p>
        </w:tc>
      </w:tr>
      <w:tr>
        <w:trPr/>
        <w:tc>
          <w:tcPr>
            <w:tcW w:w="653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March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Effectiveness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Amendment </w:t>
            </w:r>
          </w:p>
        </w:tc>
      </w:tr>
      <w:tr>
        <w:trPr/>
        <w:tc>
          <w:tcPr>
            <w:tcW w:w="653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AUTHORIZED SHARES OF COMMON STOCK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3"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1"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200,000,000 </w:t>
            </w:r>
          </w:p>
        </w:tc>
      </w:tr>
      <w:tr>
        <w:trPr/>
        <w:tc>
          <w:tcPr>
            <w:tcW w:w="65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shares of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63,461,091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1"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63,461,091 </w:t>
            </w:r>
          </w:p>
        </w:tc>
      </w:tr>
      <w:tr>
        <w:trPr/>
        <w:tc>
          <w:tcPr>
            <w:tcW w:w="653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of common stock authorized for future issuance under the Company's incentive plans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3"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4,743,644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1"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4,743,644 </w:t>
            </w:r>
          </w:p>
        </w:tc>
      </w:tr>
      <w:tr>
        <w:trPr/>
        <w:tc>
          <w:tcPr>
            <w:tcW w:w="653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of common stock authorized for future issuance under the Company's employee stock purchase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1,626,215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1"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1,626,215 </w:t>
            </w:r>
          </w:p>
        </w:tc>
      </w:tr>
      <w:tr>
        <w:trPr/>
        <w:tc>
          <w:tcPr>
            <w:tcW w:w="653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of common stock subject to outstanding equity awards under the Company's incentive plans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3"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5,223,464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1"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5,223,464 </w:t>
            </w:r>
          </w:p>
        </w:tc>
      </w:tr>
      <w:tr>
        <w:trPr/>
        <w:tc>
          <w:tcPr>
            <w:tcW w:w="65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of common stock issuable upon exercise of outstanding warrants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3,277,155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1"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3,277,155 </w:t>
            </w:r>
          </w:p>
        </w:tc>
      </w:tr>
      <w:tr>
        <w:trPr/>
        <w:tc>
          <w:tcPr>
            <w:tcW w:w="653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of common stock reserved for issuance as part of our “at the market” equity offering program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3"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10,713,209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1"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10,713,209 </w:t>
            </w:r>
          </w:p>
        </w:tc>
      </w:tr>
      <w:tr>
        <w:trPr/>
        <w:tc>
          <w:tcPr>
            <w:tcW w:w="653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8" w:name="ny20066227x2_def14a_110-prop4_pg2"/>
        <w:bookmarkEnd w:id="3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74"/>
        <w:gridCol w:w="170"/>
        <w:gridCol w:w="170"/>
        <w:gridCol w:w="1585"/>
        <w:gridCol w:w="170"/>
        <w:gridCol w:w="170"/>
        <w:gridCol w:w="1666"/>
      </w:tblGrid>
      <w:tr>
        <w:trPr/>
        <w:tc>
          <w:tcPr>
            <w:tcW w:w="62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vAlign w:val="center"/>
          </w:tcPr>
          <w:p>
            <w:pPr>
              <w:pStyle w:val="TableContents"/>
              <w:bidi w:val="0"/>
              <w:spacing w:before="0" w:after="0"/>
              <w:jc w:val="left"/>
              <w:rPr/>
            </w:pPr>
            <w:r>
              <w:rPr/>
              <w:t> </w:t>
            </w:r>
          </w:p>
        </w:tc>
      </w:tr>
      <w:tr>
        <w:trPr/>
        <w:tc>
          <w:tcPr>
            <w:tcW w:w="627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March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Effectiveness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Amendment </w:t>
            </w:r>
          </w:p>
        </w:tc>
      </w:tr>
      <w:tr>
        <w:trPr/>
        <w:tc>
          <w:tcPr>
            <w:tcW w:w="627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outstanding shares of common stock and shares of common stock Reserved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5" w:type="dxa"/>
            <w:tcBorders/>
            <w:shd w:fill="CCEEFF" w:val="clear"/>
            <w:vAlign w:val="center"/>
          </w:tcPr>
          <w:p>
            <w:pPr>
              <w:pStyle w:val="TableContents"/>
              <w:bidi w:val="0"/>
              <w:spacing w:before="0" w:after="283"/>
              <w:ind w:left="275" w:right="0" w:hanging="0"/>
              <w:jc w:val="left"/>
              <w:rPr>
                <w:rFonts w:ascii="Times New Roman;Times;serif" w:hAnsi="Times New Roman;Times;serif"/>
                <w:color w:val="000000"/>
                <w:sz w:val="20"/>
              </w:rPr>
            </w:pPr>
            <w:r>
              <w:rPr>
                <w:rFonts w:ascii="Times New Roman;Times;serif" w:hAnsi="Times New Roman;Times;serif"/>
                <w:color w:val="000000"/>
                <w:sz w:val="20"/>
              </w:rPr>
              <w:t>89,044,778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66"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89,044,778 </w:t>
            </w:r>
          </w:p>
        </w:tc>
      </w:tr>
      <w:tr>
        <w:trPr/>
        <w:tc>
          <w:tcPr>
            <w:tcW w:w="6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Unreserved shares of common stock available for issuance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5" w:type="dxa"/>
            <w:tcBorders/>
            <w:vAlign w:val="center"/>
          </w:tcPr>
          <w:p>
            <w:pPr>
              <w:pStyle w:val="TableContents"/>
              <w:bidi w:val="0"/>
              <w:spacing w:before="0" w:after="283"/>
              <w:ind w:left="275" w:right="0" w:hanging="0"/>
              <w:jc w:val="left"/>
              <w:rPr>
                <w:rFonts w:ascii="Times New Roman;Times;serif" w:hAnsi="Times New Roman;Times;serif"/>
                <w:color w:val="000000"/>
                <w:sz w:val="20"/>
              </w:rPr>
            </w:pPr>
            <w:r>
              <w:rPr>
                <w:rFonts w:ascii="Times New Roman;Times;serif" w:hAnsi="Times New Roman;Times;serif"/>
                <w:color w:val="000000"/>
                <w:sz w:val="20"/>
              </w:rPr>
              <w:t>9,384,564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109,384,564</w:t>
            </w:r>
          </w:p>
        </w:tc>
      </w:tr>
      <w:tr>
        <w:trPr/>
        <w:tc>
          <w:tcPr>
            <w:tcW w:w="62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shares that will be reserved for issuance under our existing incentive plans, employee stock purchase plan, and “at the market” equity offering program, we do not currently have any arrangements, agreements or understandings that would require the issuance of additional shares of common stock. Because our directors and executive officers have outstanding equity awards under our incentive plans, and may be granted additional equity awards under these plans, they may be deemed to have an indirect interest in the Authorized Shares Amendment because, absent the amendment, the Company may not have sufficient authorized shares to make future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Shares Amendment will not have any immediate effect on the rights of existing stockholders. However, our Board will have the authority to issue authorized common stock without requiring future stockholder approval of such issuances, except as may be required by applicable law or rules of the Nasdaq Stock Market. Future issuances of common stock or securities convertible into or exchangeable for common stock could have a dilutive effect on our earnings per share, book value per share and the voting power and interest of current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Authorized Shares Amendment is approved by stockholders, all other sections of the Certificate of Incorporation would be maintained in their current form. The Authorized Shares Amendment would become effective upon the filing of a Certificate of Amendment to our Certificate of Incorporation with the Secretary of State of the State of Delaware, which the Company intends to do promptly after the Annual Meeting if this Proposal is approved by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Authorized Shares Amendment is not approved by our stockholders at the Annual Meeting, the current Certificate of Incorporation would remain in effect in its entirety. Our Board reserves the right, notwithstanding stockholder approval of the Authorized Shares Amendment and without further action by our stockholders, not to proceed with the Authorized Shares Amendment at any time before it becomes effective.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Anti-Takeover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not proposed the Authorized Shares Amendment with the intention of discouraging tender offers or takeover attempts of the Company. However, the availability of additional authorized shares for issuance could, under certain circumstances, discourage or make more difficult efforts to obtain control of our Company. This proposal is not being presented with the intent that it be used to prevent or discourage any acquisition attempt, but nothing would prevent our Board from taking any appropriate actions not inconsistent with its fiduciary duties.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Rights of Appraisal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Delaware law, stockholders are not entitled to appraisal rights with respect to the Authorized Shares Amendment, and we will not independently provide our stockholders with any such right.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9270" w:type="dxa"/>
        <w:jc w:val="left"/>
        <w:tblInd w:w="0" w:type="dxa"/>
        <w:tblLayout w:type="fixed"/>
        <w:tblCellMar>
          <w:top w:w="0" w:type="dxa"/>
          <w:left w:w="0" w:type="dxa"/>
          <w:bottom w:w="0" w:type="dxa"/>
          <w:right w:w="0" w:type="dxa"/>
        </w:tblCellMar>
      </w:tblPr>
      <w:tblGrid>
        <w:gridCol w:w="420"/>
        <w:gridCol w:w="170"/>
        <w:gridCol w:w="170"/>
        <w:gridCol w:w="8510"/>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812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Authorized Shares Amendment</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9" w:name="ny20066227x2_def14a_111-prop5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40" w:name="tPROP5"/>
      <w:bookmarkEnd w:id="40"/>
      <w:r>
        <w:rPr>
          <w:rFonts w:ascii="Times New Roman;Times;serif" w:hAnsi="Times New Roman;Times;serif"/>
          <w:b/>
          <w:color w:val="000000"/>
          <w:sz w:val="20"/>
        </w:rPr>
        <w:t xml:space="preserve">PROPOSAL 5: Approval of an Amendment to our Certificate of Incorporation to Provide for Exculpation of Officers from Breaches of Fiduciary Duty to the Extent Permitted by the General Corporation Law of the State of Delaware.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Proposal 5, the Board seeks the approval of an amendment (the “Exculpation Amendment”) to the Company’s Certificate of Incorporation to provide for the exculpation of officers of the Company from liability for breach of the fiduciary duty of care to the extent permitted by the General Corporation Law of the State of Delaware (“DGCL”). A copy of the Exculpation Amendment contemplated by Proposal 5 is attached hereto as </w:t>
      </w:r>
      <w:r>
        <w:rPr>
          <w:rFonts w:ascii="Times New Roman;Times;serif" w:hAnsi="Times New Roman;Times;serif"/>
          <w:color w:val="000000"/>
          <w:sz w:val="20"/>
          <w:u w:val="single"/>
        </w:rPr>
        <w:t>Annex B</w:t>
      </w: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Effective August 1, 2022, Section 102(b)(7) of the DGCL was amended (“Amended 102(b)(7)”) to enable a corporation to include in its certificate of incorporation a provision exculpating certain corporate officers from liability for breach of the fiduciary duty of care in certain circumstances. Previously, Section 102(b)(7) of the DGCL provided for the ability to exculpate directors only, and our Certificate of Incorporation currently limits the monetary liability of our directors in certain circumstances consistent with Section 102(b)(7) of the DGCL. Amended 102(b)(7) allows for the exculpation of certain of our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Amended 102(b)(7) does not permit a corporation to exculpate covered officers from liability for breach of the duty of loyalty, acts or omissions not in good faith or that involve intentional misconduct or a knowing violation of law, or any transaction in which the officer derived an improper personal benefit. Under Amended 102(b)(7), the officers who may be exculpated include a person who (i) is the president, chief executive officer, chief operating officer, chief financial officer, chief legal officer, controller, treasurer or chief accounting officer of the corporation at any time during the course of conduct alleged in the action or proceeding to be wrongful, (ii) is or was identified in the corporation’s public filings with the SEC because such person is or was one of the most highly compensated executive officers of the corporation, or (iii) has consented to service of process in Delaware by written agreement (collectively, “Covered Officers”). The proposed Exculpation Amendment would allow for the exculpation of our Covered Officers to the fullest extent permitted by the DGCL.</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Board has unanimously adopted and is submitting for stockholder approval the Exculpation Amendment. If our stockholders approve the Exculpation Amendment, our Board has authorized our officers to file a Certificate of Amendment with the Delaware Secretary of State, which we anticipate doing as soon as practicable following stockholder approval of the Exculpation Amendment at the 2026 annual meeting, and the Certificate of Amendment would become effective upon acceptance by the Delaware Secretary of State.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do not approve the Exculpation Amendment, the Company’s current exculpation provisions relating to directors will remain in place, and the Certificate of Amendment will not be filed with the Delaware Secretary of State. However, even if our stockholders approve the Exculpation Amendment, our Board retains discretion under Delaware law to determine when to file the Certificate of Amendment with the Delaware Secretary of State and to abandon the Exculpation Amendment notwithstanding prior stockholder approval of the Exculpation Amendment.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Exculpation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Exculpation Amendment contemplated by Proposal 5 would allow for the exculpation of Covered Officers to the fullest extent permitted by the DGCL, as is currently in effect or as it may hereafter be amended.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Exculpation Amendment would currently allow for the exculpation of officers who are Covered Officers only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Further, the Exculpation Amendment would not limit the liability of officers for any breach of the duty of loyalty to the corporation or its stockholders, any acts or omissions not in good faith or which involve intentional misconduct or a knowing violation of the law, or any transaction from which the officer derived an improper personal benefit. Our current executive officers may have an interest in the approval of the Exculpation Amendment, as they may be exculpated from liability for certain actions to the extent consistent with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1" w:name="ny20066227x2_def14a_111-prop5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Exculpation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believes that adopting the Exculpation Amendment contemplated by this Proposal 5 would better position the Company to attract top officer candidates and retain our current officers. The Exculpation Amendment would also more closely align the protections available to our officers with those already available to our directors. We believe that failing to adopt the Exculpation Amendment could impact our recruitment and retention of exceptional officer candidates who conclude that the potential exposure to liabilities, costs of defense, and other risks of proceedings exceeds the benefits of serving as an officer of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adopting the Exculpation Amendment contemplated by this Proposal 5 would enable the officers to exercise their business judgment in furtherance of the interests of the stockholders without the potential for distraction posed by the risk of personal liability. The nature of the role of officers often requires them to make decisions on crucial matters. Frequently, officers must make decisions in response to time-sensitive opportunities and challenges, which can create substantial risk of investigations, claims, actions, suits, or proceedings seeking to impose liability based on hindsight, especially in the current litigious environment and regardless of merit. Limiting our current and prospective officers’ concern about personal risk would empower officers to best exercise their business judgment in furtherance of stockholder interests and better position the Company to retain our current officers and attract top officer candidates. We believe that enhancing our ability to retain and attract experienced officers is in the best interests of the Company and its stockholders. We also believe that adopting the proposed amendment may lessen the Company’s exposure to potential expense associated with defending our officers against claims that have no legal merit.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125" w:type="dxa"/>
        <w:jc w:val="left"/>
        <w:tblInd w:w="0" w:type="dxa"/>
        <w:tblLayout w:type="fixed"/>
        <w:tblCellMar>
          <w:top w:w="0" w:type="dxa"/>
          <w:left w:w="0" w:type="dxa"/>
          <w:bottom w:w="0" w:type="dxa"/>
          <w:right w:w="0" w:type="dxa"/>
        </w:tblCellMar>
      </w:tblPr>
      <w:tblGrid>
        <w:gridCol w:w="420"/>
        <w:gridCol w:w="170"/>
        <w:gridCol w:w="170"/>
        <w:gridCol w:w="936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812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approval of the Exculpation Amendment.</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42" w:name="ny20066227x2_def14a_112-executive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43" w:name="tEO"/>
      <w:bookmarkEnd w:id="43"/>
      <w:r>
        <w:rPr>
          <w:rFonts w:ascii="Times New Roman;Times;serif" w:hAnsi="Times New Roman;Times;serif"/>
          <w:b/>
          <w:color w:val="000000"/>
          <w:sz w:val="20"/>
        </w:rPr>
        <w:t xml:space="preserve">EXECUTIVE OFFICERS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current executive officers: </w:t>
      </w:r>
    </w:p>
    <w:tbl>
      <w:tblPr>
        <w:tblW w:w="6875" w:type="dxa"/>
        <w:jc w:val="left"/>
        <w:tblInd w:w="0" w:type="dxa"/>
        <w:tblLayout w:type="fixed"/>
        <w:tblCellMar>
          <w:top w:w="0" w:type="dxa"/>
          <w:left w:w="0" w:type="dxa"/>
          <w:bottom w:w="0" w:type="dxa"/>
          <w:right w:w="0" w:type="dxa"/>
        </w:tblCellMar>
      </w:tblPr>
      <w:tblGrid>
        <w:gridCol w:w="1685"/>
        <w:gridCol w:w="170"/>
        <w:gridCol w:w="170"/>
        <w:gridCol w:w="335"/>
        <w:gridCol w:w="170"/>
        <w:gridCol w:w="170"/>
        <w:gridCol w:w="4175"/>
      </w:tblGrid>
      <w:tr>
        <w:trPr/>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pPr>
            <w:r>
              <w:rPr/>
              <w:t> </w:t>
            </w:r>
          </w:p>
        </w:tc>
      </w:tr>
      <w:tr>
        <w:trPr/>
        <w:tc>
          <w:tcPr>
            <w:tcW w:w="16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Current Position(s) at Ouster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Chief Executive Officer and Director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and Chief Technology Officer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P. Gianella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Darien Spencer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Operating Officer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Megan Chung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Counsel and Secretary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Cyrille Jacquemet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Revenue Officer</w:t>
            </w:r>
          </w:p>
        </w:tc>
      </w:tr>
      <w:tr>
        <w:trPr/>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7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pPr>
      <w:r>
        <w:rPr>
          <w:rFonts w:ascii="Times New Roman;Times;serif" w:hAnsi="Times New Roman;Times;serif"/>
          <w:color w:val="000000"/>
          <w:sz w:val="20"/>
        </w:rPr>
        <w:t xml:space="preserve">For Angus Pacala’s biography, see page </w:t>
      </w:r>
      <w:hyperlink w:anchor="tAPB">
        <w:r>
          <w:rPr>
            <w:rStyle w:val="InternetLink"/>
          </w:rPr>
          <w:t>10</w:t>
        </w:r>
      </w:hyperlink>
      <w:r>
        <w:rPr>
          <w:rFonts w:ascii="Times New Roman;Times;serif" w:hAnsi="Times New Roman;Times;serif"/>
          <w:color w:val="000000"/>
          <w:sz w:val="20"/>
        </w:rPr>
        <w:t xml:space="preserve"> of this proxy statement.</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Mark Frichtl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co-founded Ouster in June 2015 and has served as our Chief Technology Officer since then. Previously, Mr. Frichtl 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Kenneth P. Gianella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Ouster’s Chief Financial Officer since May 2025. Prior to joining the Company, Mr. Gianella served as Chief Financial Officer and as Chief Operating Officer at Quantum Corporation (Nasdaq: QMCO), an end-to-end data management solutions provider for AI and unstructured data, from August 2024 until April 2025, and as Chief Financial Officer from January 2023 to August 2024. Prior to this, he served as the Vice President, Investor Relations at Itron, Inc. (Nasdaq: ITRI) from July 2018 to January 2023. He has also held multiple leadership and finance roles at energy, water, and smart city technology companies including Silver Spring Networks (Nasdaq: SSNI) and Sensity Systems, Inc., and various senior finance roles at KLA-Tencor Corporation (Nasdaq: KLAC), a semiconductor process control and yield management company. Mr. Gianella holds a Master of Business Administration from University of Pittsburgh and a Bachelor of Science in Business Administration from Duquesne University.</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Darien Spencer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Operating Officer since February 2023. From July 2017 to January 2023, he served as our Executive Vice President of Global Operations. Previously, Mr. Spencer was Executive Vice President of Operations and Chief Procurement Officer at Enphase Energy, an energy technology company, from August 2013 to April 2017. Prior to joining Enphase Energy, Mr. Spencer was General Manager of Business Units and Automation at Jabil Circuit, a product solutions company, from August 2012 to August 2013. Mr. Spencer has previously served as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Megan Chung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General Counsel and Secretary since February 2023. Previously, Ms. Chung served as our Deputy General Counsel from July 2021 to February 2023. Prior to joining the Company, Ms. Chung served as a Partner at the law firm of Kilpatrick Townsend &amp; Stockton LLP from 2014 to July 2021, including as Office Managing Partner for the firm’s San Diego office from October 2019 to July 2021. Ms. Chung’s practice focused on complex and technical intellectual property counseling, litigation, and portfolio management. Ms. Chung received her J.D. from the University of California, Davis School of Law and her B.A. and M.A. from Stanford University.</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Cyrille Jacquemet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Revenue Officer since April 2026. Mr. Jacquemet previously served as the Company’s Senior Vice President of Global Sales from 2023 to 2026, Vice President, EMEA from 2020 to 2023 and Director of Business Development from 2018 to 2020. Prior to joining Ouster, Mr. Jacquemet had a fifteen-year career building and guiding sales organizations for dozens of technology companies in the U.S. and Europe. He previously served as the CEO and founder of Business Crescendo, a business development consulting firm focused on international expansion where he supported go-to-market strategies, building strategic partnerships, sales prospecting and customer engagement. Mr. Jacquemet received his master’s degree in Optical Physics from Institut d'Optique Graduate School in Paris.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4" w:name="ny20066227x2_def14a_113-corporate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45" w:name="tCGR"/>
      <w:bookmarkEnd w:id="45"/>
      <w:r>
        <w:rPr>
          <w:rFonts w:ascii="Times New Roman;Times;serif" w:hAnsi="Times New Roman;Times;serif"/>
          <w:b/>
          <w:color w:val="000000"/>
          <w:sz w:val="20"/>
        </w:rPr>
        <w:t>CORPORATE GOVERNANCE</w:t>
      </w:r>
    </w:p>
    <w:p>
      <w:pPr>
        <w:pStyle w:val="TextBody"/>
        <w:bidi w:val="0"/>
        <w:spacing w:before="320" w:after="283"/>
        <w:ind w:left="0" w:right="0" w:hanging="0"/>
        <w:jc w:val="left"/>
        <w:rPr>
          <w:rFonts w:ascii="Times New Roman;Times;serif" w:hAnsi="Times New Roman;Times;serif"/>
          <w:b/>
          <w:color w:val="000000"/>
          <w:sz w:val="20"/>
        </w:rPr>
      </w:pPr>
      <w:bookmarkStart w:id="46" w:name="tGNR"/>
      <w:bookmarkEnd w:id="46"/>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Corporate Governance Guidelines, a Code of Business Conduct and Ethics and charters for the Board’s Nominating and Corporate Governance Committee, Audit Committee and Compensation Committee to assist the Board in the exercise of its responsibilities and to serve as a framework for the effective governance of Ouster. You can access our current committee charters, our Corporate Governance Guidelines and our Code of Business Conduct and Ethics in the “Corporate Governance” section under “Documents &amp; Charters” of our Investors website at </w:t>
      </w:r>
      <w:r>
        <w:rPr>
          <w:rFonts w:ascii="Times New Roman;Times;serif" w:hAnsi="Times New Roman;Times;serif"/>
          <w:i/>
          <w:color w:val="000000"/>
          <w:sz w:val="20"/>
        </w:rPr>
        <w:t>investors.ouster.com</w:t>
      </w:r>
      <w:r>
        <w:rPr>
          <w:rFonts w:ascii="Times New Roman;Times;serif" w:hAnsi="Times New Roman;Times;serif"/>
          <w:color w:val="000000"/>
          <w:sz w:val="20"/>
        </w:rPr>
        <w:t xml:space="preserve">, or by writing to our Secretary at our offices at 350 Treat Avenue, San Francisco, California 94110. </w:t>
      </w:r>
    </w:p>
    <w:p>
      <w:pPr>
        <w:pStyle w:val="TextBody"/>
        <w:bidi w:val="0"/>
        <w:spacing w:before="350" w:after="283"/>
        <w:ind w:left="0" w:right="0" w:hanging="0"/>
        <w:jc w:val="left"/>
        <w:rPr>
          <w:rFonts w:ascii="Times New Roman;Times;serif" w:hAnsi="Times New Roman;Times;serif"/>
          <w:b/>
          <w:color w:val="000000"/>
          <w:sz w:val="20"/>
        </w:rPr>
      </w:pPr>
      <w:bookmarkStart w:id="47" w:name="tBC"/>
      <w:bookmarkEnd w:id="47"/>
      <w:r>
        <w:rPr>
          <w:rFonts w:ascii="Times New Roman;Times;serif" w:hAnsi="Times New Roman;Times;serif"/>
          <w:b/>
          <w:color w:val="000000"/>
          <w:sz w:val="20"/>
        </w:rPr>
        <w:t xml:space="preserve">BOARD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eight (8) members: Virginia Boulet, Susan Heystee, Ernest Maddock, Angus Pacala, Christina C. Correia, Stephen A. Skaggs, Phillip M. Eyler and Theodore L. Tewksbury, Ph.D. As disclosed above, Virginia Boulet has not been nominated for re-election at the Annual Meeting. Our Board is currently divided into three classes with staggered, three-year terms. At each annual meeting of stockholders, the successor to each director whose term then expires will be elected to serve from the time of election and qualification until the third annual meeting following election or such director’s death, resignation or removal, whichever is earliest to occur. Between annual meetings, the Board may elect directors to fill vacancies with new directors allocated among classes and each class should consist, as nearly as may be possible, of one-third of the total number of directors. The division of our Board into three classes with staggered three-year terms may delay or prevent a change of our management or a change in control of the Company. </w:t>
      </w:r>
    </w:p>
    <w:p>
      <w:pPr>
        <w:pStyle w:val="TextBody"/>
        <w:bidi w:val="0"/>
        <w:spacing w:before="350" w:after="283"/>
        <w:ind w:left="0" w:right="0" w:hanging="0"/>
        <w:jc w:val="left"/>
        <w:rPr>
          <w:rFonts w:ascii="Times New Roman;Times;serif" w:hAnsi="Times New Roman;Times;serif"/>
          <w:b/>
          <w:color w:val="000000"/>
          <w:sz w:val="20"/>
        </w:rPr>
      </w:pPr>
      <w:bookmarkStart w:id="48" w:name="tDI"/>
      <w:bookmarkEnd w:id="48"/>
      <w:r>
        <w:rPr>
          <w:rFonts w:ascii="Times New Roman;Times;serif" w:hAnsi="Times New Roman;Times;serif"/>
          <w:b/>
          <w:color w:val="000000"/>
          <w:sz w:val="20"/>
        </w:rPr>
        <w:t xml:space="preserve">DIRECTOR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undertaken a review of the independence of our directors and considered whether any director has a relationship which, in the opinion of the Board, could interfere with the director’s exercise of independent judgment in carrying out the responsibilities of a director. Our Board has affirmatively determined that Virginia Boulet, Christina C. Correia, Susan Heystee, Ernest Maddock, Stephen A. Skaggs, Phillip M. Eyler and Theodore L. Tewksbury, Ph.D. are each an “independent director,” as defined under the rules of the Nasdaq Stock Market LLC (the “Nasdaq Rules”). In making these determinations, our Board considered the current and prior relationships that each director has with our Company and all other facts and circumstances our Board deemed relevant in determining their independence.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is responsible for identifying and reviewing the qualifications of potential director candidates and recommending to the Board those candidates to be nominated for election to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facilitate the search process for director candidates, the Nominating and Corporate Governance Committee may solicit our current directors and executives for the names of potentially qualified candidates or may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In connection with his initial election to our Board, Phillip M. Eyler was recommended to serve on our Board by a third party director search firm. Once potential candidates are identified, the Nominating and Corporate Governance Committee reviews the backgrounds of those candidates, evaluates candidates’ independence from us and potential conflicts of interest, and determines if candidates meet the qualifications desired by the Nominating and Corporate Governance Committee of candidates for election as director.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our Corporate Governance Guidelines, in evaluating the suitability of individual candidates, the Nominating and Corporate Governance Committee may take into account many factors, including: personal and professional integrity; strong ethics and values; the ability to make mature business judgments; experience in corporate management, such as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49" w:name="ny20066227x2_def14a_113-corporate_pg2"/>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committee meetings; whether the board has appropriate mix of experience, qualifications and skills to perform its oversight function; and any other relevant qualifications, attributes or skills. In determining whether to recommend a director for re-election, the Nominating and Corporate Governance Committee may also consider the director’s past attendance at meetings and participation in and contributions to the activities of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Ouster, Inc., 350 Treat Avenue, San Francisco, California 94110.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w:t>
      </w:r>
    </w:p>
    <w:p>
      <w:pPr>
        <w:pStyle w:val="TextBody"/>
        <w:bidi w:val="0"/>
        <w:spacing w:before="410" w:after="283"/>
        <w:ind w:left="0" w:right="0" w:hanging="0"/>
        <w:jc w:val="left"/>
        <w:rPr>
          <w:rFonts w:ascii="Times New Roman;Times;serif" w:hAnsi="Times New Roman;Times;serif"/>
          <w:b/>
          <w:color w:val="000000"/>
          <w:sz w:val="20"/>
        </w:rPr>
      </w:pPr>
      <w:bookmarkStart w:id="50" w:name="tCBI"/>
      <w:bookmarkEnd w:id="50"/>
      <w:r>
        <w:rPr>
          <w:rFonts w:ascii="Times New Roman;Times;serif" w:hAnsi="Times New Roman;Times;serif"/>
          <w:b/>
          <w:color w:val="000000"/>
          <w:sz w:val="20"/>
        </w:rPr>
        <w:t xml:space="preserve">COMMUNICATIONS BY INTERESTED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Company stockholder or other interested party who desires to communicate with our Board of Directors, the Chair of our Board, the lead director, if any, any chairperson of a Board committee, or our non-management or independent members of the Board, may do so by addressing such communications to the intended recipient by name or position in care of: Ouster, Inc. to the attention of the General Counsel, 350 Treat Avenue, San Francisco, California 94110. </w:t>
      </w:r>
    </w:p>
    <w:p>
      <w:pPr>
        <w:pStyle w:val="TextBody"/>
        <w:bidi w:val="0"/>
        <w:spacing w:before="400" w:after="283"/>
        <w:ind w:left="0" w:right="0" w:hanging="0"/>
        <w:jc w:val="left"/>
        <w:rPr>
          <w:rFonts w:ascii="Times New Roman;Times;serif" w:hAnsi="Times New Roman;Times;serif"/>
          <w:b/>
          <w:color w:val="000000"/>
          <w:sz w:val="20"/>
        </w:rPr>
      </w:pPr>
      <w:bookmarkStart w:id="51" w:name="tBLS"/>
      <w:bookmarkEnd w:id="51"/>
      <w:r>
        <w:rPr>
          <w:rFonts w:ascii="Times New Roman;Times;serif" w:hAnsi="Times New Roman;Times;serif"/>
          <w:b/>
          <w:color w:val="000000"/>
          <w:sz w:val="20"/>
        </w:rPr>
        <w:t xml:space="preserve">BOARD LEADERSHIP STRUCTURE AND ROLE IN RISK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Corporate Governance Guidelines provide the Board with flexibility to select our Chair of the Board, any Vice Chair of the Board and our Chief Executive Officer in the way the Board considers in the best interests of the Company. Therefore, the Board does not have a policy on whether the role of Chair and Chief Executive Officer should be separate or combined and, if it is to be separate, whether the Chair should be selected from the independent directors.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Currently, the roles of Chair of the Board and Chief Executive Officer are separated. In addition, we currently have a Vice Chair of the Board. Our Board continues to believe that the separation of the positions of Chair of the Board and Chief Executive Officer, together with the role of Vice Chair, creates an environment that encourages objective oversight of management’s performance and enhances the effectiveness of the Board as a whole. For these reasons, our Board has concluded that our current leadership structure is appropriate at this time. Our Board exercises its judgment in establishing, combining or separating the roles of Chair of the Board and Chief Executive Officer as it deems appropriate in light of prevailing circumstances.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Chair is a member of management or does not otherwise qualify as independent, the Independent Directors may elect a lead independent director. Presently, the Board has not appointed a lead independent director because the Chair is independent. If applicable, the lead independent director’s responsibilities include, but are not limited to: presiding over all meetings of the Board at which the Chair and any Vice Chair of the Board is not present, including any executive sessions of the independent directors; approving Board meeting schedules and agendas; and acting as the liaison between the independent directors and the Chief Executive Officer and Chair of the Board. When the Chair of the Board is an independent director, the Chair of the Board serves as lead independent director. The Board may modify its leadership structure in the future as it deems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an active role, as a whole and also at the committee level, in overseeing the management of our risks. Our Board is responsible for general oversight of risks and regular review of information regarding our risks. The Audit Committee is responsible for discussing the Company’s policies with respect to risk assessment and risk management, including guidelines and policies to govern the process by which the Company’s exposure to risk is handled. The Audit Committee is also specifically responsible for overseeing the management of financial, cybersecurity and data privacy risks, including oversight of the measures taken by management to remediate our material weaknesses. The Compensation Committee is responsible for overseeing the management of risks relating to our executive compensation plans and arrangements. The Nominating and Corporate Governance Committee is responsible for overseeing the management of risks associated with the independence of our Board and other corporate governance matters. The Board does not believe that its role in the oversight of our risks affects the Board’s leadership structure.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52" w:name="ny20066227x2_def14a_113-corporate_pg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3" w:name="tETS"/>
      <w:bookmarkEnd w:id="53"/>
      <w:r>
        <w:rPr>
          <w:rFonts w:ascii="Times New Roman;Times;serif" w:hAnsi="Times New Roman;Times;serif"/>
          <w:b/>
          <w:color w:val="000000"/>
          <w:sz w:val="20"/>
        </w:rPr>
        <w:t xml:space="preserve">EXECUTIVE SESSIONS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non-management, independent members of the Board meet in regularly scheduled executive sessions, at least twice a year. Theodore L. Tewksbury, as independent Chair of the Board, presides over such executive sessions. </w:t>
      </w:r>
    </w:p>
    <w:p>
      <w:pPr>
        <w:pStyle w:val="TextBody"/>
        <w:bidi w:val="0"/>
        <w:spacing w:before="240" w:after="283"/>
        <w:ind w:left="0" w:right="0" w:hanging="0"/>
        <w:jc w:val="left"/>
        <w:rPr>
          <w:rFonts w:ascii="Times New Roman;Times;serif" w:hAnsi="Times New Roman;Times;serif"/>
          <w:b/>
          <w:color w:val="000000"/>
          <w:sz w:val="20"/>
        </w:rPr>
      </w:pPr>
      <w:bookmarkStart w:id="54" w:name="tITC"/>
      <w:bookmarkEnd w:id="54"/>
      <w:r>
        <w:rPr>
          <w:rFonts w:ascii="Times New Roman;Times;serif" w:hAnsi="Times New Roman;Times;serif"/>
          <w:b/>
          <w:color w:val="000000"/>
          <w:sz w:val="20"/>
        </w:rPr>
        <w:t xml:space="preserve">INSIDER TRADING COMPLIANCE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adopted an Insider Trading Compliance Policy that governs the purchase, sale and/or other disposition of the Company’s securities by directors, officers and other employees of the Company. We believe our Insider Trading Compliance Policy is reasonably designed to promote compliance with insider trading laws, rules and regulations, as well as listing standards applicable to the Company. It is also our policy to comply with applicable insider trading laws and regulations with respect to transactions in our own securities. A copy of our Insider Trading Compliance Policy is attached as Exhibit 19.1 to our Annual Report on Form 10-K for the year ended December 31, 2025 filed with the SEC on March 2, 2026.</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w:t>
      </w:r>
    </w:p>
    <w:p>
      <w:pPr>
        <w:pStyle w:val="TextBody"/>
        <w:bidi w:val="0"/>
        <w:spacing w:before="240" w:after="283"/>
        <w:ind w:left="0" w:right="0" w:hanging="0"/>
        <w:jc w:val="left"/>
        <w:rPr>
          <w:rFonts w:ascii="Times New Roman;Times;serif" w:hAnsi="Times New Roman;Times;serif"/>
          <w:b/>
          <w:color w:val="000000"/>
          <w:sz w:val="20"/>
        </w:rPr>
      </w:pPr>
      <w:bookmarkStart w:id="55" w:name="tROE"/>
      <w:bookmarkEnd w:id="55"/>
      <w:r>
        <w:rPr>
          <w:rFonts w:ascii="Times New Roman;Times;serif" w:hAnsi="Times New Roman;Times;serif"/>
          <w:b/>
          <w:color w:val="000000"/>
          <w:sz w:val="20"/>
        </w:rPr>
        <w:t xml:space="preserve">RECOVERY OF ERRONEOUSLY AWARDED COMPENSATION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Ouster has adopted a Recovery of Erroneously Awarded Compensation Policy that, consistent with SEC and Nasdaq rules, requires the clawback of certain erroneously awarded compensation. In conformance with these rules, our policy requires the clawback by the Company of certain incentive-based compensation paid to current and former executive officers in the event that the Company is required to prepare an accounting restatement pursuant to which such compensation would not properly have been paid. </w:t>
      </w:r>
    </w:p>
    <w:p>
      <w:pPr>
        <w:pStyle w:val="TextBody"/>
        <w:bidi w:val="0"/>
        <w:spacing w:before="240" w:after="283"/>
        <w:ind w:left="0" w:right="0" w:hanging="0"/>
        <w:jc w:val="left"/>
        <w:rPr>
          <w:rFonts w:ascii="Times New Roman;Times;serif" w:hAnsi="Times New Roman;Times;serif"/>
          <w:b/>
          <w:color w:val="000000"/>
          <w:sz w:val="20"/>
        </w:rPr>
      </w:pPr>
      <w:bookmarkStart w:id="56" w:name="tEAT"/>
      <w:bookmarkEnd w:id="56"/>
      <w:r>
        <w:rPr>
          <w:rFonts w:ascii="Times New Roman;Times;serif" w:hAnsi="Times New Roman;Times;serif"/>
          <w:b/>
          <w:color w:val="000000"/>
          <w:sz w:val="20"/>
        </w:rPr>
        <w:t xml:space="preserve">EQUITY AWARD TIMING POLICIES AND PRACTICE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generally grant equity awards at regularly scheduled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not granted stock options or similar option-like instruments to our service providers since 2021. Accordingly, during fiscal year 2025, we did not grant stock options or similar option like instruments to our NEOs during the four business days prior to or the one business day following the filing of our periodic reports or the filing or furnishing of a Form 8-K that discloses material nonpublic information. </w:t>
      </w:r>
    </w:p>
    <w:p>
      <w:pPr>
        <w:pStyle w:val="TextBody"/>
        <w:bidi w:val="0"/>
        <w:spacing w:before="240" w:after="283"/>
        <w:ind w:left="0" w:right="0" w:hanging="0"/>
        <w:jc w:val="left"/>
        <w:rPr>
          <w:rFonts w:ascii="Times New Roman;Times;serif" w:hAnsi="Times New Roman;Times;serif"/>
          <w:b/>
          <w:color w:val="000000"/>
          <w:sz w:val="20"/>
        </w:rPr>
      </w:pPr>
      <w:bookmarkStart w:id="57" w:name="tCOB"/>
      <w:bookmarkEnd w:id="57"/>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on our Investors website at </w:t>
      </w:r>
      <w:r>
        <w:rPr>
          <w:rFonts w:ascii="Times New Roman;Times;serif" w:hAnsi="Times New Roman;Times;serif"/>
          <w:i/>
          <w:color w:val="000000"/>
          <w:sz w:val="20"/>
        </w:rPr>
        <w:t>investors.ouster.com</w:t>
      </w:r>
      <w:r>
        <w:rPr>
          <w:rFonts w:ascii="Times New Roman;Times;serif" w:hAnsi="Times New Roman;Times;serif"/>
          <w:color w:val="000000"/>
          <w:sz w:val="20"/>
        </w:rPr>
        <w:t xml:space="preserve"> in the “Corporate Governance” section. We expect that any amendments to the Code of Conduct, or any waivers of its requirements, that are required to be disclosed by SEC or Nasdaq Rules will be disclosed on our website. We granted no waivers under our Code of Conduct with respect to our executive officers or directors in fiscal year 2025. </w:t>
      </w:r>
    </w:p>
    <w:p>
      <w:pPr>
        <w:pStyle w:val="TextBody"/>
        <w:bidi w:val="0"/>
        <w:spacing w:before="240" w:after="283"/>
        <w:ind w:left="0" w:right="0" w:hanging="0"/>
        <w:jc w:val="left"/>
        <w:rPr>
          <w:rFonts w:ascii="Times New Roman;Times;serif" w:hAnsi="Times New Roman;Times;serif"/>
          <w:b/>
          <w:color w:val="000000"/>
          <w:sz w:val="20"/>
        </w:rPr>
      </w:pPr>
      <w:bookmarkStart w:id="58" w:name="tABM"/>
      <w:bookmarkEnd w:id="58"/>
      <w:r>
        <w:rPr>
          <w:rFonts w:ascii="Times New Roman;Times;serif" w:hAnsi="Times New Roman;Times;serif"/>
          <w:b/>
          <w:color w:val="000000"/>
          <w:sz w:val="20"/>
        </w:rPr>
        <w:t xml:space="preserve">ATTENDANCE BY MEMBERS OF THE BOARD OF DIRECTORS AT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There were 9 meetings of the Board during the fiscal year ended December 31, 2025. During the fiscal year ended December 31, 2025, each incumbent director attended at least 75% of the aggregate of (i) all meetings of the Board during the period in which he or she served as a director and (ii) all meetings of the committees on which he or she served during the period in which he or she served as a director. Last year, all of our then-current directors attended the 2025 annual meeting of stockholders.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59" w:name="ny20066227x2_def14a_113-corporate_pg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Corporate Governance Guidelines, which are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and the annual meeting of stockholders, with the understanding that, on occasion, a director may be unable to attend a meeting. All directors are expected to attend all Board and applicable committee meetings. A director who is unable to attend a meeting of the Board or a committee of the Board is expected to notify the Chair of the Board or the Chair of the appropriate committee in advance of such meeting, and, whenever possible, participate in such meeting via teleconference in the case of an in-person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60" w:name="ny20066227x2_def14a_113-corporate_pg5"/>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color w:val="000000"/>
        </w:rPr>
      </w:pPr>
      <w:bookmarkStart w:id="61" w:name="tCTB"/>
      <w:bookmarkEnd w:id="61"/>
      <w:r>
        <w:rPr>
          <w:color w:val="000000"/>
        </w:rPr>
        <w:t> </w:t>
      </w:r>
      <w:r>
        <w:rPr>
          <w:rFonts w:ascii="Times New Roman;Times;serif" w:hAnsi="Times New Roman;Times;serif"/>
          <w:b/>
          <w:color w:val="000000"/>
          <w:sz w:val="20"/>
        </w:rPr>
        <w:t xml:space="preserve">COMMITTEES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established three standing committees: Audit, Compensation and Nominating and Corporate Governance — each of which operates pursuant to a written charter that has been approved by our Board specifically for each respective committee.</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members of each of the Board committees are set forth in the following chart: </w:t>
      </w:r>
    </w:p>
    <w:tbl>
      <w:tblPr>
        <w:tblW w:w="8000" w:type="dxa"/>
        <w:jc w:val="left"/>
        <w:tblInd w:w="0" w:type="dxa"/>
        <w:tblLayout w:type="fixed"/>
        <w:tblCellMar>
          <w:top w:w="0" w:type="dxa"/>
          <w:left w:w="0" w:type="dxa"/>
          <w:bottom w:w="0" w:type="dxa"/>
          <w:right w:w="0" w:type="dxa"/>
        </w:tblCellMar>
      </w:tblPr>
      <w:tblGrid>
        <w:gridCol w:w="4370"/>
        <w:gridCol w:w="170"/>
        <w:gridCol w:w="170"/>
        <w:gridCol w:w="500"/>
        <w:gridCol w:w="170"/>
        <w:gridCol w:w="170"/>
        <w:gridCol w:w="1085"/>
        <w:gridCol w:w="170"/>
        <w:gridCol w:w="170"/>
        <w:gridCol w:w="1025"/>
      </w:tblGrid>
      <w:tr>
        <w:trPr/>
        <w:tc>
          <w:tcPr>
            <w:tcW w:w="4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Nominating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tc>
      </w:tr>
      <w:tr>
        <w:trPr/>
        <w:tc>
          <w:tcPr>
            <w:tcW w:w="4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Virginia Boulet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4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Christina C. Correia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r>
      <w:tr>
        <w:trPr/>
        <w:tc>
          <w:tcPr>
            <w:tcW w:w="4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Susan Heystee (</w:t>
            </w:r>
            <w:r>
              <w:rPr>
                <w:rFonts w:ascii="Times New Roman;Times;serif" w:hAnsi="Times New Roman;Times;serif"/>
                <w:b/>
                <w:i/>
                <w:color w:val="000000"/>
                <w:sz w:val="20"/>
              </w:rPr>
              <w:t>Vice Chair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w:t>
            </w:r>
          </w:p>
        </w:tc>
      </w:tr>
      <w:tr>
        <w:trPr/>
        <w:tc>
          <w:tcPr>
            <w:tcW w:w="4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Ernest Maddock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r>
      <w:tr>
        <w:trPr/>
        <w:tc>
          <w:tcPr>
            <w:tcW w:w="4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Stephen A. Skaggs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4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Theodore L. Tewksbury, Ph.D. (</w:t>
            </w:r>
            <w:r>
              <w:rPr>
                <w:rFonts w:ascii="Times New Roman;Times;serif" w:hAnsi="Times New Roman;Times;serif"/>
                <w:b/>
                <w:i/>
                <w:color w:val="000000"/>
                <w:sz w:val="20"/>
              </w:rPr>
              <w:t>Chair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4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Phillip M. Eyler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43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bookmarkStart w:id="62" w:name="tACT"/>
      <w:bookmarkEnd w:id="62"/>
      <w:r>
        <w:rPr>
          <w:rFonts w:ascii="Times New Roman;Times;serif" w:hAnsi="Times New Roman;Times;serif"/>
          <w:b/>
          <w:color w:val="000000"/>
          <w:sz w:val="20"/>
        </w:rPr>
        <w:t xml:space="preserve">AUDIT COMMITTEE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Committee’s responsibilities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appointing, compensating, retaining, evaluating, terminating and overseeing our independent registered public accounting firm; </w:t>
            </w:r>
          </w:p>
        </w:tc>
      </w:tr>
    </w:tbl>
    <w:tbl>
      <w:tblPr>
        <w:tblW w:w="7315" w:type="dxa"/>
        <w:jc w:val="left"/>
        <w:tblInd w:w="0" w:type="dxa"/>
        <w:tblLayout w:type="fixed"/>
        <w:tblCellMar>
          <w:top w:w="0" w:type="dxa"/>
          <w:left w:w="0" w:type="dxa"/>
          <w:bottom w:w="0" w:type="dxa"/>
          <w:right w:w="0" w:type="dxa"/>
        </w:tblCellMar>
      </w:tblPr>
      <w:tblGrid>
        <w:gridCol w:w="140"/>
        <w:gridCol w:w="7175"/>
      </w:tblGrid>
      <w:tr>
        <w:trPr/>
        <w:tc>
          <w:tcPr>
            <w:tcW w:w="140" w:type="dxa"/>
            <w:tcBorders/>
            <w:vAlign w:val="center"/>
          </w:tcPr>
          <w:p>
            <w:pPr>
              <w:pStyle w:val="TableContents"/>
              <w:bidi w:val="0"/>
              <w:spacing w:before="0" w:after="0"/>
              <w:jc w:val="left"/>
              <w:rPr>
                <w:color w:val="000000"/>
              </w:rPr>
            </w:pPr>
            <w:r>
              <w:rPr>
                <w:color w:val="000000"/>
              </w:rPr>
              <w:t>•</w:t>
            </w:r>
          </w:p>
        </w:tc>
        <w:tc>
          <w:tcPr>
            <w:tcW w:w="7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with our independent registered public accounting firm their independence;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and the independent registered public accounting firm our annual and quarterly financial statements and related disclosures;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approving all audit and permissible non-audit services to be performed by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our financial and accounting controls, including our internal audit function, and compliance with legal and regulatory requirements; </w:t>
            </w:r>
          </w:p>
        </w:tc>
      </w:tr>
    </w:tbl>
    <w:tbl>
      <w:tblPr>
        <w:tblW w:w="9040" w:type="dxa"/>
        <w:jc w:val="left"/>
        <w:tblInd w:w="0" w:type="dxa"/>
        <w:tblLayout w:type="fixed"/>
        <w:tblCellMar>
          <w:top w:w="0" w:type="dxa"/>
          <w:left w:w="0" w:type="dxa"/>
          <w:bottom w:w="0" w:type="dxa"/>
          <w:right w:w="0" w:type="dxa"/>
        </w:tblCellMar>
      </w:tblPr>
      <w:tblGrid>
        <w:gridCol w:w="140"/>
        <w:gridCol w:w="8900"/>
      </w:tblGrid>
      <w:tr>
        <w:trPr/>
        <w:tc>
          <w:tcPr>
            <w:tcW w:w="14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enterprise risk management, including the management of financial risks and cybersecurity risks;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related person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monitoring the adequacy and effectiveness of our internal control over financial reporting and our compliance with legal and regulatory requirements;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 procedures for the confidential anonymous submission of concerns regarding questionable accounting, internal controls or auditing matters or concerns about ethical or legal violations.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charter is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xml:space="preserve">. The current members of the Audit Committee are Ernest Maddock, Stephen A. Skaggs and Christina C. Correia, with Ernest Maddock serving as the chair.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determined that each of Ernest Maddock, Stephen A. Skaggs and Christina C. Correia are independent directors under Nasdaq Rules and the additional independence standards applicable to audit committee members established pursuant to Rule 10A-3 under the Exchange Act. Our Board has also determined that each of Ernest Maddock, Stephen A. Skaggs and Christina C. Correia meets the “financial literacy” requirement for Audit Committee members under Nasdaq Rules and that each of Ernest Maddock, Christina C. Correia, and Stephen A Skaggs is an “audit committee financial expert” within the meaning of the SEC rules and has accounting or related financial management expertise as required under the Nasdaq Rules.</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met 4 times during the fiscal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63" w:name="ny20066227x2_def14a_113-corporate_pg6"/>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4" w:name="tCC"/>
      <w:bookmarkEnd w:id="64"/>
      <w:r>
        <w:rPr>
          <w:rFonts w:ascii="Times New Roman;Times;serif" w:hAnsi="Times New Roman;Times;serif"/>
          <w:b/>
          <w:color w:val="000000"/>
          <w:sz w:val="20"/>
        </w:rPr>
        <w:t xml:space="preserve">COMPENSATION COMMITTEE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among other matters: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corporate goals and objectives relevant to the compensation of our Chief Executive Officer, evaluating the performance of our Chief Executive Officer in light of these goals and objectives and, based upon this evaluation (either alone, or if directed by our Board, in conjunction with a majority of the independent directors of our Board), setting the compensation of our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setting or making recommendations to our Board regarding the compensation of our other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our Board regarding the compensation of our directors as well as directors’ and officers’ indemnification and insurance arrangements;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our Board regarding our incentive compensation and equity-based plans and arrangements;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administering and overseeing our compliance with the compensation recovery policy required by applicable SEC and Nasdaq rules; and </w:t>
            </w:r>
          </w:p>
        </w:tc>
      </w:tr>
    </w:tbl>
    <w:tbl>
      <w:tblPr>
        <w:tblW w:w="4990" w:type="dxa"/>
        <w:jc w:val="left"/>
        <w:tblInd w:w="0" w:type="dxa"/>
        <w:tblLayout w:type="fixed"/>
        <w:tblCellMar>
          <w:top w:w="0" w:type="dxa"/>
          <w:left w:w="0" w:type="dxa"/>
          <w:bottom w:w="0" w:type="dxa"/>
          <w:right w:w="0" w:type="dxa"/>
        </w:tblCellMar>
      </w:tblPr>
      <w:tblGrid>
        <w:gridCol w:w="140"/>
        <w:gridCol w:w="4850"/>
      </w:tblGrid>
      <w:tr>
        <w:trPr/>
        <w:tc>
          <w:tcPr>
            <w:tcW w:w="14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appointing and overseeing any compensation consultants.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Compensation Committee’s charter, which is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xml:space="preserve">, the Compensation Committee has the authority to retain or obtain the advice of compensation consultants, legal counsel and other advisors to assist in carrying out its responsibilities. Since 2024, the Compensation Committee has engaged Semler Brossy to serve as its compensation consultant on executive compensation matters. The Compensation Committee has considered the adviser independence factors required under Nasdaq rules as they relate to Semler Brossy and has determined that Semler Brossy’s work does not raise a conflict of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Compensation Committee may delegate its authority under its charter to a subcommittee as it deems appropriate from time to time. The Compensation Committee has the authority to conduct or authorize investigations into any matters within the scope of its responsibilities as it deems appropriate, including the authority to request any officer, employee or adviser of the Company to meet with the Compensation Committee or any advisers engaged by the Compensation Committee. In addition to the foregoing and other authority expressly delegated to the Compensation Committee in the charter, the Compensation Committee may also exercise any other powers and carry out any other responsibilities consistent with the charter, the purposes of the Compensation Committee, the Company’s amended and restated bylaws (the “Bylaws”) and applicable Nasdaq Rules.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current members of our Compensation Committee are Stephen A. Skaggs, Susan Heystee, Phillip M. Eyler, and Ernest Maddock, with Stephen A. Skaggs serving as the chair. Each member of our Compensation Committee meets the requirements for independence under the current Nasdaq Rules, including the Nasdaq Rules applicable to compensation committee membership. Each member of our Compensation Committee is also a non-employee director, as defined in Section 16b-3 of the Exchange Act.</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met 7 times during the fiscal year ended December 31, 2025. </w:t>
      </w:r>
    </w:p>
    <w:p>
      <w:pPr>
        <w:pStyle w:val="TextBody"/>
        <w:bidi w:val="0"/>
        <w:spacing w:before="300" w:after="283"/>
        <w:ind w:left="0" w:right="0" w:hanging="0"/>
        <w:jc w:val="left"/>
        <w:rPr>
          <w:rFonts w:ascii="Times New Roman;Times;serif" w:hAnsi="Times New Roman;Times;serif"/>
          <w:b/>
          <w:color w:val="000000"/>
          <w:sz w:val="20"/>
        </w:rPr>
      </w:pPr>
      <w:bookmarkStart w:id="65" w:name="tNAC"/>
      <w:bookmarkEnd w:id="65"/>
      <w:r>
        <w:rPr>
          <w:rFonts w:ascii="Times New Roman;Times;serif" w:hAnsi="Times New Roman;Times;serif"/>
          <w:b/>
          <w:color w:val="000000"/>
          <w:sz w:val="20"/>
        </w:rPr>
        <w:t xml:space="preserve">NOMINATING AND CORPORATE GOVERNANCE COMMITTEE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responsible for, among other matters: </w:t>
      </w:r>
    </w:p>
    <w:tbl>
      <w:tblPr>
        <w:tblW w:w="9565" w:type="dxa"/>
        <w:jc w:val="left"/>
        <w:tblInd w:w="0" w:type="dxa"/>
        <w:tblLayout w:type="fixed"/>
        <w:tblCellMar>
          <w:top w:w="0" w:type="dxa"/>
          <w:left w:w="0" w:type="dxa"/>
          <w:bottom w:w="0" w:type="dxa"/>
          <w:right w:w="0" w:type="dxa"/>
        </w:tblCellMar>
      </w:tblPr>
      <w:tblGrid>
        <w:gridCol w:w="140"/>
        <w:gridCol w:w="9425"/>
      </w:tblGrid>
      <w:tr>
        <w:trPr/>
        <w:tc>
          <w:tcPr>
            <w:tcW w:w="14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individuals qualified to become members of our Board, consistent with criteria approved by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our Board the nominees for election to our Board at annual meetings of stockholders and director candidates to fill vacancies occurring between annual meetings of stockholders; </w:t>
            </w:r>
          </w:p>
        </w:tc>
      </w:tr>
    </w:tbl>
    <w:tbl>
      <w:tblPr>
        <w:tblW w:w="8110" w:type="dxa"/>
        <w:jc w:val="left"/>
        <w:tblInd w:w="0" w:type="dxa"/>
        <w:tblLayout w:type="fixed"/>
        <w:tblCellMar>
          <w:top w:w="0" w:type="dxa"/>
          <w:left w:w="0" w:type="dxa"/>
          <w:bottom w:w="0" w:type="dxa"/>
          <w:right w:w="0" w:type="dxa"/>
        </w:tblCellMar>
      </w:tblPr>
      <w:tblGrid>
        <w:gridCol w:w="140"/>
        <w:gridCol w:w="7970"/>
      </w:tblGrid>
      <w:tr>
        <w:trPr/>
        <w:tc>
          <w:tcPr>
            <w:tcW w:w="14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Board leadership structure and recommending any proposed changes to the Board; </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periodic evaluation of the Board and its committees; </w:t>
            </w:r>
          </w:p>
        </w:tc>
      </w:tr>
    </w:tbl>
    <w:tbl>
      <w:tblPr>
        <w:tblW w:w="8440" w:type="dxa"/>
        <w:jc w:val="left"/>
        <w:tblInd w:w="0" w:type="dxa"/>
        <w:tblLayout w:type="fixed"/>
        <w:tblCellMar>
          <w:top w:w="0" w:type="dxa"/>
          <w:left w:w="0" w:type="dxa"/>
          <w:bottom w:w="0" w:type="dxa"/>
          <w:right w:w="0" w:type="dxa"/>
        </w:tblCellMar>
      </w:tblPr>
      <w:tblGrid>
        <w:gridCol w:w="140"/>
        <w:gridCol w:w="8300"/>
      </w:tblGrid>
      <w:tr>
        <w:trPr/>
        <w:tc>
          <w:tcPr>
            <w:tcW w:w="14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succession planning for the Chief Executive Officer and other executive officer roles;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a set of corporate governance guidelines and overseeing other corporate governance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66" w:name="ny20066227x2_def14a_113-corporate_pg7"/>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charter is available on our website at </w:t>
      </w:r>
      <w:r>
        <w:rPr>
          <w:rFonts w:ascii="Times New Roman;Times;serif" w:hAnsi="Times New Roman;Times;serif"/>
          <w:i/>
          <w:color w:val="000000"/>
          <w:sz w:val="20"/>
        </w:rPr>
        <w:t>www.ouster.com</w:t>
      </w:r>
      <w:r>
        <w:rPr>
          <w:rFonts w:ascii="Times New Roman;Times;serif" w:hAnsi="Times New Roman;Times;serif"/>
          <w:color w:val="000000"/>
          <w:sz w:val="20"/>
        </w:rPr>
        <w:t>. Our Nominating and Corporate Governance Committee consists of Virginia Boulet, Susan Heystee and Theodore L. Tewksbury, with Susan Heystee serving as the chair. Each member of our Nominating and Corporate Governance Committee meets the requirements for independence under the current Nasdaq Rules. The Nominating and Corporate Governance Committee has the authority to consult with outside advisors or retain search firms to assist in the search for qualified candidates or consider director candidates recommended by our stockholders.</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4 times during the fiscal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67" w:name="ny20066227x2_def14a_114-compensation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260" w:after="283"/>
        <w:ind w:left="0" w:right="0" w:hanging="0"/>
        <w:jc w:val="left"/>
        <w:rPr>
          <w:rFonts w:ascii="Times New Roman;Times;serif" w:hAnsi="Times New Roman;Times;serif"/>
          <w:b/>
          <w:color w:val="000000"/>
          <w:sz w:val="20"/>
        </w:rPr>
      </w:pPr>
      <w:bookmarkStart w:id="68" w:name="tECT"/>
      <w:bookmarkEnd w:id="68"/>
      <w:r>
        <w:rPr>
          <w:rFonts w:ascii="Times New Roman;Times;serif" w:hAnsi="Times New Roman;Times;serif"/>
          <w:b/>
          <w:color w:val="000000"/>
          <w:sz w:val="20"/>
        </w:rPr>
        <w:t xml:space="preserve">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discusses the material components of the executive compensation program for our 2025 named executive officers. Our named executive officers and their positions for the year ended December 31, 2025 (collectively, the “named executive officers”) are: </w:t>
      </w:r>
    </w:p>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Angus Pacala, our Chief Executive Officer; </w:t>
            </w:r>
          </w:p>
        </w:tc>
      </w:tr>
    </w:tbl>
    <w:tbl>
      <w:tblPr>
        <w:tblW w:w="4180" w:type="dxa"/>
        <w:jc w:val="left"/>
        <w:tblInd w:w="0" w:type="dxa"/>
        <w:tblLayout w:type="fixed"/>
        <w:tblCellMar>
          <w:top w:w="0" w:type="dxa"/>
          <w:left w:w="0" w:type="dxa"/>
          <w:bottom w:w="0" w:type="dxa"/>
          <w:right w:w="0" w:type="dxa"/>
        </w:tblCellMar>
      </w:tblPr>
      <w:tblGrid>
        <w:gridCol w:w="140"/>
        <w:gridCol w:w="4040"/>
      </w:tblGrid>
      <w:tr>
        <w:trPr/>
        <w:tc>
          <w:tcPr>
            <w:tcW w:w="14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 Frichtl, our Chief Technology Officer; and </w:t>
            </w:r>
          </w:p>
        </w:tc>
      </w:tr>
    </w:tbl>
    <w:tbl>
      <w:tblPr>
        <w:tblW w:w="4195" w:type="dxa"/>
        <w:jc w:val="left"/>
        <w:tblInd w:w="0" w:type="dxa"/>
        <w:tblLayout w:type="fixed"/>
        <w:tblCellMar>
          <w:top w:w="0" w:type="dxa"/>
          <w:left w:w="0" w:type="dxa"/>
          <w:bottom w:w="0" w:type="dxa"/>
          <w:right w:w="0" w:type="dxa"/>
        </w:tblCellMar>
      </w:tblPr>
      <w:tblGrid>
        <w:gridCol w:w="140"/>
        <w:gridCol w:w="4055"/>
      </w:tblGrid>
      <w:tr>
        <w:trPr/>
        <w:tc>
          <w:tcPr>
            <w:tcW w:w="140" w:type="dxa"/>
            <w:tcBorders/>
            <w:vAlign w:val="center"/>
          </w:tcPr>
          <w:p>
            <w:pPr>
              <w:pStyle w:val="TableContents"/>
              <w:bidi w:val="0"/>
              <w:spacing w:before="0" w:after="0"/>
              <w:jc w:val="left"/>
              <w:rPr>
                <w:color w:val="000000"/>
              </w:rPr>
            </w:pPr>
            <w:r>
              <w:rPr>
                <w:color w:val="000000"/>
              </w:rPr>
              <w:t>•</w:t>
            </w:r>
          </w:p>
        </w:tc>
        <w:tc>
          <w:tcPr>
            <w:tcW w:w="4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Kenneth P. Gianella, our Chief Financial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As a smaller reporting company, as defined in Rule 12b-2 of the Securities Exchange Act of 1934, as amended, we are not required to include a Compensation Discussion and Analysis section of our proxy statement and have elected to comply with the scaled disclosure requirements applicable to smaller reporting companies.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2025 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about the compensation earned by each of our named executive officers during the fiscal years ended December 31, 2024 and December 31, 2025. </w:t>
      </w:r>
    </w:p>
    <w:tbl>
      <w:tblPr>
        <w:tblW w:w="10205" w:type="dxa"/>
        <w:jc w:val="left"/>
        <w:tblInd w:w="0" w:type="dxa"/>
        <w:tblLayout w:type="fixed"/>
        <w:tblCellMar>
          <w:top w:w="0" w:type="dxa"/>
          <w:left w:w="0" w:type="dxa"/>
          <w:bottom w:w="0" w:type="dxa"/>
          <w:right w:w="0" w:type="dxa"/>
        </w:tblCellMar>
      </w:tblPr>
      <w:tblGrid>
        <w:gridCol w:w="1904"/>
        <w:gridCol w:w="170"/>
        <w:gridCol w:w="170"/>
        <w:gridCol w:w="470"/>
        <w:gridCol w:w="170"/>
        <w:gridCol w:w="170"/>
        <w:gridCol w:w="725"/>
        <w:gridCol w:w="170"/>
        <w:gridCol w:w="170"/>
        <w:gridCol w:w="725"/>
        <w:gridCol w:w="170"/>
        <w:gridCol w:w="170"/>
        <w:gridCol w:w="875"/>
        <w:gridCol w:w="170"/>
        <w:gridCol w:w="170"/>
        <w:gridCol w:w="1085"/>
        <w:gridCol w:w="170"/>
        <w:gridCol w:w="170"/>
        <w:gridCol w:w="1085"/>
        <w:gridCol w:w="170"/>
        <w:gridCol w:w="170"/>
        <w:gridCol w:w="956"/>
      </w:tblGrid>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0"/>
              <w:jc w:val="left"/>
              <w:rPr/>
            </w:pPr>
            <w:r>
              <w:rPr/>
              <w:t> </w:t>
            </w:r>
          </w:p>
        </w:tc>
      </w:tr>
      <w:tr>
        <w:trPr/>
        <w:tc>
          <w:tcPr>
            <w:tcW w:w="190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04"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479,600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3,363,100 </w:t>
            </w:r>
          </w:p>
        </w:tc>
      </w:tr>
      <w:tr>
        <w:trPr/>
        <w:tc>
          <w:tcPr>
            <w:tcW w:w="1904"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1,099,515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399,240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11,692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1,910,447 </w:t>
            </w:r>
          </w:p>
        </w:tc>
      </w:tr>
      <w:tr>
        <w:trPr/>
        <w:tc>
          <w:tcPr>
            <w:tcW w:w="1904"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Technology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239,800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2,183,300 </w:t>
            </w:r>
          </w:p>
        </w:tc>
      </w:tr>
      <w:tr>
        <w:trPr/>
        <w:tc>
          <w:tcPr>
            <w:tcW w:w="190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733,013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199,620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4,307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1,336,940 </w:t>
            </w:r>
          </w:p>
        </w:tc>
      </w:tr>
      <w:tr>
        <w:trPr/>
        <w:tc>
          <w:tcPr>
            <w:tcW w:w="19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P. Gianella</w:t>
            </w:r>
            <w:r>
              <w:rPr>
                <w:rFonts w:ascii="Times New Roman;Times;serif" w:hAnsi="Times New Roman;Times;serif"/>
                <w:color w:val="000000"/>
                <w:position w:val="7"/>
                <w:sz w:val="16"/>
                <w:sz w:val="20"/>
              </w:rPr>
              <w:t>(4)</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230,769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181,759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6,923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3,801,451</w:t>
            </w:r>
          </w:p>
        </w:tc>
      </w:tr>
      <w:tr>
        <w:trPr/>
        <w:tc>
          <w:tcPr>
            <w:tcW w:w="190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 reflects a one-time sign-on bonus paid to Mr. Gianella that is subject to repayment if Mr. Gianella voluntarily resigns or is terminated for cause prior to May 19, 2026.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fiscal 2025 computed in accordance with Accounting Standards Codification (“ASC”) Topic 718. We provide information regarding the assumptions used to calculate the value of all stock awards made to named executive officers in Note 11 of our financial statements included in our Form 10-K. </w:t>
            </w:r>
          </w:p>
        </w:tc>
      </w:tr>
    </w:tbl>
    <w:tbl>
      <w:tblPr>
        <w:tblW w:w="8125" w:type="dxa"/>
        <w:jc w:val="left"/>
        <w:tblInd w:w="0" w:type="dxa"/>
        <w:tblLayout w:type="fixed"/>
        <w:tblCellMar>
          <w:top w:w="0" w:type="dxa"/>
          <w:left w:w="0" w:type="dxa"/>
          <w:bottom w:w="0" w:type="dxa"/>
          <w:right w:w="0" w:type="dxa"/>
        </w:tblCellMar>
      </w:tblPr>
      <w:tblGrid>
        <w:gridCol w:w="260"/>
        <w:gridCol w:w="78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for fiscal 2025 and 2024 constitute employer matching contributions under our 401(k) plan. </w:t>
            </w:r>
          </w:p>
        </w:tc>
      </w:tr>
    </w:tbl>
    <w:tbl>
      <w:tblPr>
        <w:tblW w:w="4900" w:type="dxa"/>
        <w:jc w:val="left"/>
        <w:tblInd w:w="0" w:type="dxa"/>
        <w:tblLayout w:type="fixed"/>
        <w:tblCellMar>
          <w:top w:w="0" w:type="dxa"/>
          <w:left w:w="0" w:type="dxa"/>
          <w:bottom w:w="0" w:type="dxa"/>
          <w:right w:w="0" w:type="dxa"/>
        </w:tblCellMar>
      </w:tblPr>
      <w:tblGrid>
        <w:gridCol w:w="260"/>
        <w:gridCol w:w="464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6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Gianella commenced employment with us on May 19, 2025.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to the Summary Compensation Table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Annual Base Salaries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For 2025, the annual base salaries of Mr. Pacala, Mr. Frichtl and Mr. Gianella were $400,000, $400,000 and $375,000,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retains the discretion to increase the annual base salaries of our named executive officers from time to time.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Short-Term Incentive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2025, each of our executive officers was eligible to earn performance-based, short-term incentive compensation based on pre-set financial metrics. During 2025, our Compensation Committee set Mr. Pacala’s and Mr. Frichtl’s target bonus opportunity for 2025 at 100% and 50% of his annual base salary, respectively, and established Mr. Gianella’s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69" w:name="ny20066227x2_def14a_114-compensation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target bonus opportunity for 2025 at 65% of his annual base salary, pro-rated for his partial year of service. In early 2026, our Compensation Committee determined that the financial metrics for 2025 were achieved at 119.9%. The bonuses set forth in the 2025 Summary Compensation Table were paid in cash in March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Mr. Gianella’s commencement of employment in May 2025, our Compensation Committee approved a one-time sign-on bonus of $100,000, paid in two equal installments in May and November 2025. Mr. Gianella is required to repay the sign-on bonus in the event he resigns his employment with us for any reason or his employment is terminated by us for cause, in each case, prior to May 19,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approved a similar performance-based program for 2026 and retains the discretion to award discretionary bonuses and to make discretionary adjustments to bonus targets and amounts from time to time.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grant equity awards, typically comprised of restricted stock or restricted stock units, to our employees, including our named executive officers, in order to attract and retain them, as well as to align their interests with the interests of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Compensation Committee granted Mr. Pacala 275,000 restricted stock units in March 2025, Mr. Frichtl 175,000 restricted stock units in April 2025 and Mr. Gianella 300,000 restricted stock units in May 2025. The awards of restricted stock units for Mr. Pacala and Mr. Frichtl vest in six substantially equal installments on each quarterly anniversary of September 11, 2025, in each case, subject to continued service to us through the applicable vesting dates. Mr. Gianella’s award of restricted stock units vests 1/3</w:t>
      </w:r>
      <w:r>
        <w:rPr>
          <w:rFonts w:ascii="Times New Roman;Times;serif" w:hAnsi="Times New Roman;Times;serif"/>
          <w:color w:val="000000"/>
          <w:position w:val="7"/>
          <w:sz w:val="16"/>
          <w:sz w:val="20"/>
        </w:rPr>
        <w:t>rd</w:t>
      </w:r>
      <w:r>
        <w:rPr>
          <w:rFonts w:ascii="Times New Roman;Times;serif" w:hAnsi="Times New Roman;Times;serif"/>
          <w:color w:val="000000"/>
          <w:sz w:val="20"/>
        </w:rPr>
        <w:t xml:space="preserve"> on June 11, 2026 and then in eight quarterly installments thereafter, subject to continued service to us through the applicable vesting dates.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Elements of Compensation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Savings and Health and Welfare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401(k) retirement savings plan for our employees, including our named executive officers, who satisfy certain eligibility requirements. Our named executive officers are eligible to participate in the 401(k) plan 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Perquisites and Other Personal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determine perquisites on a case-by-case basis and will provide a perquisite to a named executive officer when we believe it is necessary to attract or retain the named executive officer. We did not provide any perquisites or personal benefits to our named executive officers not otherwise made available to other employees in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70" w:name="ny20066227x2_def14a_114-compensation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number of shares of common stock underlying outstanding equity incentive plan awards for each named executive officer as of December 31, 2025. All amounts in the table are reported after giving effect to our 1 for 10 reverse stock split completed on April 21, 2023. </w:t>
      </w:r>
    </w:p>
    <w:tbl>
      <w:tblPr>
        <w:tblW w:w="10205" w:type="dxa"/>
        <w:jc w:val="left"/>
        <w:tblInd w:w="0" w:type="dxa"/>
        <w:tblLayout w:type="fixed"/>
        <w:tblCellMar>
          <w:top w:w="0" w:type="dxa"/>
          <w:left w:w="0" w:type="dxa"/>
          <w:bottom w:w="0" w:type="dxa"/>
          <w:right w:w="0" w:type="dxa"/>
        </w:tblCellMar>
      </w:tblPr>
      <w:tblGrid>
        <w:gridCol w:w="1319"/>
        <w:gridCol w:w="170"/>
        <w:gridCol w:w="170"/>
        <w:gridCol w:w="1232"/>
        <w:gridCol w:w="170"/>
        <w:gridCol w:w="170"/>
        <w:gridCol w:w="947"/>
        <w:gridCol w:w="170"/>
        <w:gridCol w:w="170"/>
        <w:gridCol w:w="1055"/>
        <w:gridCol w:w="170"/>
        <w:gridCol w:w="170"/>
        <w:gridCol w:w="677"/>
        <w:gridCol w:w="170"/>
        <w:gridCol w:w="170"/>
        <w:gridCol w:w="875"/>
        <w:gridCol w:w="170"/>
        <w:gridCol w:w="170"/>
        <w:gridCol w:w="770"/>
        <w:gridCol w:w="170"/>
        <w:gridCol w:w="170"/>
        <w:gridCol w:w="950"/>
      </w:tblGrid>
      <w:tr>
        <w:trPr/>
        <w:tc>
          <w:tcPr>
            <w:tcW w:w="13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4"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r>
      <w:tr>
        <w:trPr/>
        <w:tc>
          <w:tcPr>
            <w:tcW w:w="13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4"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3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1319"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10/2/2020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435,976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7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7"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1319"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10/2/2020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435,975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7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7"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14.22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319"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3/31/2025</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229,167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4,959,174 </w:t>
            </w:r>
          </w:p>
        </w:tc>
      </w:tr>
      <w:tr>
        <w:trPr/>
        <w:tc>
          <w:tcPr>
            <w:tcW w:w="1319"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10/2/2020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316,434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7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7"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r>
      <w:tr>
        <w:trPr/>
        <w:tc>
          <w:tcPr>
            <w:tcW w:w="131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10/2/2020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316,433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7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7"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14.22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31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4/01/2025</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3,155,848 </w:t>
            </w:r>
          </w:p>
        </w:tc>
      </w:tr>
      <w:tr>
        <w:trPr/>
        <w:tc>
          <w:tcPr>
            <w:tcW w:w="13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P. Gianella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5/19/2025</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6,492,000</w:t>
            </w:r>
          </w:p>
        </w:tc>
      </w:tr>
      <w:tr>
        <w:trPr/>
        <w:tc>
          <w:tcPr>
            <w:tcW w:w="131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tbl>
      <w:tblPr>
        <w:tblW w:w="8065" w:type="dxa"/>
        <w:jc w:val="left"/>
        <w:tblInd w:w="0" w:type="dxa"/>
        <w:tblLayout w:type="fixed"/>
        <w:tblCellMar>
          <w:top w:w="0" w:type="dxa"/>
          <w:left w:w="0" w:type="dxa"/>
          <w:bottom w:w="0" w:type="dxa"/>
          <w:right w:w="0" w:type="dxa"/>
        </w:tblCellMar>
      </w:tblPr>
      <w:tblGrid>
        <w:gridCol w:w="260"/>
        <w:gridCol w:w="78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8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calculated based on the $21.64 closing trading price of our common stock as of December 31, 2025. </w:t>
            </w:r>
          </w:p>
        </w:tc>
      </w:tr>
    </w:tbl>
    <w:tbl>
      <w:tblPr>
        <w:tblW w:w="8560" w:type="dxa"/>
        <w:jc w:val="left"/>
        <w:tblInd w:w="0" w:type="dxa"/>
        <w:tblLayout w:type="fixed"/>
        <w:tblCellMar>
          <w:top w:w="0" w:type="dxa"/>
          <w:left w:w="0" w:type="dxa"/>
          <w:bottom w:w="0" w:type="dxa"/>
          <w:right w:w="0" w:type="dxa"/>
        </w:tblCellMar>
      </w:tblPr>
      <w:tblGrid>
        <w:gridCol w:w="260"/>
        <w:gridCol w:w="83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Restricted stock units vest in six substantially equal installments on each quarterly anniversary of September 11, 2025.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Restricted stock units vest 1/3rd on June 11, 2026 and then in eight quarterly installments thereafter, subject to continued service to us through the applicable vesting dates.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Arrangements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Mr. Gianella’s appointment, we have entered into an offer letter agreement setting forth the terms and conditions of his employment with us, including his initial base salary, sign-on bonus, initial target annual performance bonus amount, initial equity grant and employee benefits eligibility. Mr. Gianella’s offer letter also includes severance provisions which apply on a termination by us without “cause” or by Mr. Gianella for “good reason” and are subject to his execution of a release of claims in our favor. Upon such termination Mr. Gianella would be entitled to receive a severance payment equal to twelve months of his base salary, a prorated annual target bonus (or, in the event the termination occurs ninety days prior to or within twenty-four months following a change in control, a full annual target bonus) and twelve months of continued healthcare coverage under COBRA at the Company’s expense. In addition, in the event the termination occurs ninety days prior to or within twenty-four months following a change in control, the vesting of Mr. Gianella’s equity awards will fully accelerate. Other than Mr. Gianella, none of our named executive officers are entitled to severance or other payments in connection with a termination of employment or change in control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71" w:name="ny20066227x2_def14a_115-pvp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72" w:name="tPVP"/>
      <w:bookmarkEnd w:id="72"/>
      <w:r>
        <w:rPr>
          <w:rFonts w:ascii="Times New Roman;Times;serif" w:hAnsi="Times New Roman;Times;serif"/>
          <w:b/>
          <w:color w:val="000000"/>
          <w:sz w:val="20"/>
        </w:rPr>
        <w:t xml:space="preserve">PAY VERSUS PERFORMANCE (PVP)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 </w:t>
      </w:r>
    </w:p>
    <w:tbl>
      <w:tblPr>
        <w:tblW w:w="9965" w:type="dxa"/>
        <w:jc w:val="left"/>
        <w:tblInd w:w="0" w:type="dxa"/>
        <w:tblLayout w:type="fixed"/>
        <w:tblCellMar>
          <w:top w:w="0" w:type="dxa"/>
          <w:left w:w="0" w:type="dxa"/>
          <w:bottom w:w="0" w:type="dxa"/>
          <w:right w:w="0" w:type="dxa"/>
        </w:tblCellMar>
      </w:tblPr>
      <w:tblGrid>
        <w:gridCol w:w="890"/>
        <w:gridCol w:w="170"/>
        <w:gridCol w:w="170"/>
        <w:gridCol w:w="1130"/>
        <w:gridCol w:w="170"/>
        <w:gridCol w:w="170"/>
        <w:gridCol w:w="1130"/>
        <w:gridCol w:w="170"/>
        <w:gridCol w:w="170"/>
        <w:gridCol w:w="1130"/>
        <w:gridCol w:w="170"/>
        <w:gridCol w:w="170"/>
        <w:gridCol w:w="1130"/>
        <w:gridCol w:w="170"/>
        <w:gridCol w:w="170"/>
        <w:gridCol w:w="1190"/>
        <w:gridCol w:w="170"/>
        <w:gridCol w:w="170"/>
        <w:gridCol w:w="1325"/>
      </w:tblGrid>
      <w:tr>
        <w:trPr/>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8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PEO</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thousands)</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89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3,363,100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8,343,921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2,992,376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6,222,606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250.75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(60,377)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1,910,447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2,295,093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1,237,208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1,564,845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141.60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(97,045)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1,056,962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598,839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2,486,737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946,121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88.88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(374,110)</w:t>
            </w:r>
          </w:p>
        </w:tc>
      </w:tr>
      <w:tr>
        <w:trPr/>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Pacala served as principal executive officer (PEO) for 2025, 2024 and 2023. Our non-PEO named executive officers (NEOs) included Mr. Frichtl and Mr. Gianella for 2025, Mr. Frichtl and Ms. Chung for 2024, Mark Weinswig, Darien Spencer, Anna Brunelle and Adam Dolinko for 2023. Amounts shown reflect Summary Compensation Table total compensation for our PEO and NEOs in each year.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amounts were deducted from / added to Summary Compensation Table (SCT) total compensation in accordance with the SEC-mandated adjustments to calculate Compensation Actually Paid (CAP) to our principal executive officer (PEO) and average CAP to our non-PEO named executive officers. The CAP calculation includes the end-of-year value of awards granted within the fiscal year, the change in fair value from prior year-end of vested awards and the change in the fair value of unvested awards granted in prior years, regardless of if, when, or at what intrinsic value they will actually vest.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PEO SCT Total to CAP Reconciliation </w:t>
      </w:r>
    </w:p>
    <w:tbl>
      <w:tblPr>
        <w:tblW w:w="10205" w:type="dxa"/>
        <w:jc w:val="left"/>
        <w:tblInd w:w="0" w:type="dxa"/>
        <w:tblLayout w:type="fixed"/>
        <w:tblCellMar>
          <w:top w:w="0" w:type="dxa"/>
          <w:left w:w="0" w:type="dxa"/>
          <w:bottom w:w="0" w:type="dxa"/>
          <w:right w:w="0" w:type="dxa"/>
        </w:tblCellMar>
      </w:tblPr>
      <w:tblGrid>
        <w:gridCol w:w="8722"/>
        <w:gridCol w:w="170"/>
        <w:gridCol w:w="170"/>
        <w:gridCol w:w="1143"/>
      </w:tblGrid>
      <w:tr>
        <w:trPr/>
        <w:tc>
          <w:tcPr>
            <w:tcW w:w="87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left"/>
              <w:rPr/>
            </w:pPr>
            <w:r>
              <w:rPr/>
              <w:t> </w:t>
            </w:r>
          </w:p>
        </w:tc>
      </w:tr>
      <w:tr>
        <w:trPr/>
        <w:tc>
          <w:tcPr>
            <w:tcW w:w="872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3,363,100 </w:t>
            </w:r>
          </w:p>
        </w:tc>
      </w:tr>
      <w:tr>
        <w:trPr/>
        <w:tc>
          <w:tcPr>
            <w:tcW w:w="8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Grant Date Fair Value of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$(2,469,500)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Fiscal Year-End of Outstanding Unvested Stock Awards Granted in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4,959,174 </w:t>
            </w:r>
          </w:p>
        </w:tc>
      </w:tr>
      <w:tr>
        <w:trPr/>
        <w:tc>
          <w:tcPr>
            <w:tcW w:w="8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Change in Fair Value of Outstanding Unvested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Vesting of Stock Awards Granted in Fiscal Year That Vested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1,209,533 </w:t>
            </w:r>
          </w:p>
        </w:tc>
      </w:tr>
      <w:tr>
        <w:trPr/>
        <w:tc>
          <w:tcPr>
            <w:tcW w:w="872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Change in Fair Value as of Vesting Date of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1,281,614 </w:t>
            </w:r>
          </w:p>
        </w:tc>
      </w:tr>
      <w:tr>
        <w:trPr/>
        <w:tc>
          <w:tcPr>
            <w:tcW w:w="872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Fair Value as of Prior Fiscal Year-End of Stock Awards Granted in Prior Fiscal Years That Failed to Meet Applicable Vesting Conditions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Dividends or Other Earnings Paid on Stock or Option Awards in the Fiscal Year Prior to the Vesting Date that are not otherwise included in the Total Compensation for the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8,343,921</w:t>
            </w:r>
          </w:p>
        </w:tc>
      </w:tr>
      <w:tr>
        <w:trPr/>
        <w:tc>
          <w:tcPr>
            <w:tcW w:w="87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73" w:name="ny20066227x2_def14a_115-pvp_pg2"/>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Non-PEO NEO Average SCT Total to Average CAP Reconciliation </w:t>
      </w:r>
    </w:p>
    <w:tbl>
      <w:tblPr>
        <w:tblW w:w="10205" w:type="dxa"/>
        <w:jc w:val="left"/>
        <w:tblInd w:w="0" w:type="dxa"/>
        <w:tblLayout w:type="fixed"/>
        <w:tblCellMar>
          <w:top w:w="0" w:type="dxa"/>
          <w:left w:w="0" w:type="dxa"/>
          <w:bottom w:w="0" w:type="dxa"/>
          <w:right w:w="0" w:type="dxa"/>
        </w:tblCellMar>
      </w:tblPr>
      <w:tblGrid>
        <w:gridCol w:w="8722"/>
        <w:gridCol w:w="170"/>
        <w:gridCol w:w="170"/>
        <w:gridCol w:w="1143"/>
      </w:tblGrid>
      <w:tr>
        <w:trPr/>
        <w:tc>
          <w:tcPr>
            <w:tcW w:w="87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left"/>
              <w:rPr/>
            </w:pPr>
            <w:r>
              <w:rPr/>
              <w:t> </w:t>
            </w:r>
          </w:p>
        </w:tc>
      </w:tr>
      <w:tr>
        <w:trPr/>
        <w:tc>
          <w:tcPr>
            <w:tcW w:w="872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SCT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2,992,376 </w:t>
            </w:r>
          </w:p>
        </w:tc>
      </w:tr>
      <w:tr>
        <w:trPr/>
        <w:tc>
          <w:tcPr>
            <w:tcW w:w="8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Grant Date Fair Value of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$(2,405,750)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Fiscal Year-End of Outstanding Unvested Stock Awards Granted in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4,823,924 </w:t>
            </w:r>
          </w:p>
        </w:tc>
      </w:tr>
      <w:tr>
        <w:trPr/>
        <w:tc>
          <w:tcPr>
            <w:tcW w:w="8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Change in Fair Value of Outstanding Unvested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Fair Value at Vesting of Stock Awards Granted in Fiscal Year That Vested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384,845 </w:t>
            </w:r>
          </w:p>
        </w:tc>
      </w:tr>
      <w:tr>
        <w:trPr/>
        <w:tc>
          <w:tcPr>
            <w:tcW w:w="872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Change in Fair Value as of Vesting Date of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427,211 </w:t>
            </w:r>
          </w:p>
        </w:tc>
      </w:tr>
      <w:tr>
        <w:trPr/>
        <w:tc>
          <w:tcPr>
            <w:tcW w:w="872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Fair Value as of Prior Fiscal Year-End of Stock Awards Granted in Prior Fiscal Years That Failed to Meet Applicable Vesting Conditions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Dividends or Other Earnings Paid on Stock or Option Awards in the Fiscal Year Prior to the Vesting Date that are not otherwise included in the Total Compensation for the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872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Average 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6,222,606</w:t>
            </w:r>
          </w:p>
        </w:tc>
      </w:tr>
      <w:tr>
        <w:trPr/>
        <w:tc>
          <w:tcPr>
            <w:tcW w:w="87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equity awards was determined using methodologies and assumptions developed in a manner substantively consistent with those used to determine the grant date fair value of such awards.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Total Shareholder Return (TSR) represents the cumulative return on a fixed investment of $100 in the Company’s common stock, for the period beginning on the last trading day of fiscal year 2022 through the end of the applicable fiscal year. The Company has not paid a dividend during that time. </w:t>
            </w:r>
          </w:p>
        </w:tc>
      </w:tr>
    </w:tbl>
    <w:tbl>
      <w:tblPr>
        <w:tblW w:w="9370" w:type="dxa"/>
        <w:jc w:val="left"/>
        <w:tblInd w:w="0" w:type="dxa"/>
        <w:tblLayout w:type="fixed"/>
        <w:tblCellMar>
          <w:top w:w="0" w:type="dxa"/>
          <w:left w:w="0" w:type="dxa"/>
          <w:bottom w:w="0" w:type="dxa"/>
          <w:right w:w="0" w:type="dxa"/>
        </w:tblCellMar>
      </w:tblPr>
      <w:tblGrid>
        <w:gridCol w:w="260"/>
        <w:gridCol w:w="91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net loss reflected in the Company’s audited financial statements for the applicable year.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CHARTS OF CAP VERSUS PERFORMANCE METRICS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chart below illustrates the relationship between the PEO and average Non-PEO CAP amounts and the Company’s TSR during the period 2023-2025.</w:t>
      </w:r>
    </w:p>
    <w:p>
      <w:pPr>
        <w:pStyle w:val="TextBody"/>
        <w:bidi w:val="0"/>
        <w:spacing w:before="305" w:after="283"/>
        <w:jc w:val="center"/>
        <w:rPr>
          <w:color w:val="000000"/>
        </w:rPr>
      </w:pPr>
      <w:r>
        <w:rPr>
          <w:color w:val="000000"/>
        </w:rPr>
        <w:drawing>
          <wp:inline distT="0" distB="0" distL="0" distR="0">
            <wp:extent cx="5524500" cy="29337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524500" cy="2933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74" w:name="ny20066227x2_def14a_115-pvp_pg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chart below illustrates the relationship between the PEO and Non-PEO CAP amounts and the Company’s Net Loss during the period 2023-2025.</w:t>
      </w:r>
    </w:p>
    <w:p>
      <w:pPr>
        <w:pStyle w:val="TextBody"/>
        <w:bidi w:val="0"/>
        <w:spacing w:before="305" w:after="283"/>
        <w:jc w:val="center"/>
        <w:rPr>
          <w:color w:val="000000"/>
        </w:rPr>
      </w:pPr>
      <w:r>
        <w:rPr>
          <w:color w:val="000000"/>
        </w:rPr>
        <w:drawing>
          <wp:inline distT="0" distB="0" distL="0" distR="0">
            <wp:extent cx="5495925" cy="29622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495925" cy="2962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75" w:name="ny20066227x2_def14a_116-director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76" w:name="tDC"/>
      <w:bookmarkEnd w:id="76"/>
      <w:r>
        <w:rPr>
          <w:rFonts w:ascii="Times New Roman;Times;serif" w:hAnsi="Times New Roman;Times;serif"/>
          <w:b/>
          <w:color w:val="000000"/>
          <w:sz w:val="20"/>
        </w:rPr>
        <w:t xml:space="preserve">DIRECTOR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fiscal year 2025, directors who were executives of the Company were not eligible to receive additional compensation for their services as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our Third Amended and Restated Non-Employee Director Compensation Program (the “Non-employee Director Compensation Program”) for our non-employee directors, which was most recently amended in April 2024. Pursuant to the Non-Employee Director Compensation Program, our non-employee directors receive cash compensation as follows: </w:t>
      </w:r>
    </w:p>
    <w:tbl>
      <w:tblPr>
        <w:tblW w:w="8005" w:type="dxa"/>
        <w:jc w:val="left"/>
        <w:tblInd w:w="0" w:type="dxa"/>
        <w:tblLayout w:type="fixed"/>
        <w:tblCellMar>
          <w:top w:w="0" w:type="dxa"/>
          <w:left w:w="0" w:type="dxa"/>
          <w:bottom w:w="0" w:type="dxa"/>
          <w:right w:w="0" w:type="dxa"/>
        </w:tblCellMar>
      </w:tblPr>
      <w:tblGrid>
        <w:gridCol w:w="140"/>
        <w:gridCol w:w="7865"/>
      </w:tblGrid>
      <w:tr>
        <w:trPr/>
        <w:tc>
          <w:tcPr>
            <w:tcW w:w="14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non-employee director receives an annual cash retainer in the amount of $40,000 per year.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chair of our Board receives an additional annual cash retainer in the amount of $60,000 per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Lead Director and, effective in 2024, any Vice Chair receives an additional annual cash retainer in the amount of $60,000 per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chair of the audit committee receives additional annual cash compensation in the amount of $20,000 per year for such chair’s service on the audit committee. Each non-chair member of the audit committee receives additional annual cash compensation in the amount of $10,000 per year for such member’s service on the audit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chair of the compensation committee receives additional annual cash compensation in the amount of $15,000 per year for such chair’s service on the compensation committee. Each non-chair member of the compensation committee receives additional annual cash compensation in the amount of $6,000 per year for such member’s service on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chair of the nominating and corporate governance committee receives additional annual cash compensation in the amount of $10,000 per year for such chair’s service on the nominating and corporate governance committee. Each non-chair member of the nominating and corporate governance committee receives additional annual cash compensation in the amount of $5,000 per year for such member’s service on the nominating and corporate governance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non-employee director may also elect to receive all or part of his or her annual cash retainer in the form of restricted stock units under our 2021 Incentive Award Plan or, effective in 2024 and to the extent permitted, the Velodyne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with the number of restricted stock units determined by dividing the amount of the applicable portion of the annual cash retainer by the average closing trading price of our common stock over the 30 days immediately preceding the date of grant.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Non-Employee Director Compensation Program, upon the initial appointment or election of a non-employee director, the director will automatically be granted under our 2021 Incentive Award Plan or, effective in 2024 and to the extent permitted, the Velodyne Plan (a) an award of restricted stock units with respect to a number of shares of our common stock calculated by dividing (i) $300,000 by (ii) the fair market value of a share of our common stock as of the date of grant that vests in equal quarterly installments over three years and (b) an award of restricted stock units with respect to a number of shares of our common stock calculated by dividing (i) the product of $175,000 multiplied times a fraction, the numerator of which is the number of full months between the date of appointment or election and the scheduled date of our next annual stockholder meeting, and the denominator of which is 12, by (ii) the fair market value of a share of our common stock as of the date of grant that vests in equal quarterly installments through the date of the next annual stockholders meeting. Additionally, on the date of each annual stockholders meeting, each non-employee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77" w:name="ny20066227x2_def14a_116-director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 automatically will be granted an award of restricted stock units with respect to a number of shares of our common stock calculated by dividing (a) $175,000 by (b) the fair market value of our common stock as of the date of grant that vests in equal quarterly installments through the earlier of the first anniversary of the date of grant or the next annual stockholders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Non-Employee Director Compensation Program provides that non-employee directors may elect to defer all or part of the settlement of restricted stock units granted to them.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all restricted stock units and other equity-based awards held by any non-employee director, will vest immediately prior to such change in control.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Compensation Table for Fiscal 2025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concerning the compensation of our non-employee directors in fiscal 2025: </w:t>
      </w:r>
    </w:p>
    <w:tbl>
      <w:tblPr>
        <w:tblW w:w="5960" w:type="dxa"/>
        <w:jc w:val="left"/>
        <w:tblInd w:w="0" w:type="dxa"/>
        <w:tblLayout w:type="fixed"/>
        <w:tblCellMar>
          <w:top w:w="0" w:type="dxa"/>
          <w:left w:w="0" w:type="dxa"/>
          <w:bottom w:w="0" w:type="dxa"/>
          <w:right w:w="0" w:type="dxa"/>
        </w:tblCellMar>
      </w:tblPr>
      <w:tblGrid>
        <w:gridCol w:w="2570"/>
        <w:gridCol w:w="170"/>
        <w:gridCol w:w="170"/>
        <w:gridCol w:w="830"/>
        <w:gridCol w:w="170"/>
        <w:gridCol w:w="170"/>
        <w:gridCol w:w="725"/>
        <w:gridCol w:w="170"/>
        <w:gridCol w:w="170"/>
        <w:gridCol w:w="815"/>
      </w:tblGrid>
      <w:tr>
        <w:trPr/>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5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Boulet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47,663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323,433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Heystee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121,156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297,766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418,922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Ernest Maddock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66,000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341,770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Theodore L. Tewksbury, Ph.D.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105,000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380,770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Phillip M. Eyler</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399,436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402,436 </w:t>
            </w:r>
          </w:p>
        </w:tc>
      </w:tr>
      <w:tr>
        <w:trPr/>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Christina C. Correia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325,770 </w:t>
            </w:r>
          </w:p>
        </w:tc>
      </w:tr>
      <w:tr>
        <w:trPr/>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Skaggs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53,363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329,132</w:t>
            </w:r>
          </w:p>
        </w:tc>
      </w:tr>
      <w:tr>
        <w:trPr/>
        <w:tc>
          <w:tcPr>
            <w:tcW w:w="25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2025, Ms. Heystee elected to receive her annual retainer in fully-vested restricted stock units in lieu of cash. The amount reported reflects the cash fees that would have been paid had the director not been granted restricted stock units in lieu of an annual cash retainer. The grant date fair value of the restricted stock units that is in excess of the amount of cash fees foregone is reported in the Stock Awards column. Our non-employee directors were also able to defer delivery of the shares underlying vested restricted stock units. As of December 31, 2025, Dr. Tewksbury held 33,820 vested restricted stock units for which delivery of the underlying shares has been deferred.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fiscal 2025 computed in accordance with ASC Topic 718, rather than the amounts paid to or realized by the named individual. We provide information regarding the assumptions used to calculate the grant date fair value of the restricted stock units granted to our non-employee directors in Note 11 of our financial statements included in our Form 10-K. </w:t>
            </w:r>
          </w:p>
        </w:tc>
      </w:tr>
    </w:tbl>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table below shows the aggregate numbers of shares underlying unvested restricted stock units held as of December 31, 2025 by each non-employee director who was serving as of December 31, 2025. Our non-employee directors did not hold any options or other equity awards that were subject to vesting as of December 31, 2025. </w:t>
      </w:r>
    </w:p>
    <w:tbl>
      <w:tblPr>
        <w:tblW w:w="4190" w:type="dxa"/>
        <w:jc w:val="left"/>
        <w:tblInd w:w="0" w:type="dxa"/>
        <w:tblLayout w:type="fixed"/>
        <w:tblCellMar>
          <w:top w:w="0" w:type="dxa"/>
          <w:left w:w="0" w:type="dxa"/>
          <w:bottom w:w="0" w:type="dxa"/>
          <w:right w:w="0" w:type="dxa"/>
        </w:tblCellMar>
      </w:tblPr>
      <w:tblGrid>
        <w:gridCol w:w="2525"/>
        <w:gridCol w:w="170"/>
        <w:gridCol w:w="170"/>
        <w:gridCol w:w="1325"/>
      </w:tblGrid>
      <w:tr>
        <w:trPr/>
        <w:tc>
          <w:tcPr>
            <w:tcW w:w="25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25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Boulet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6,779 </w:t>
            </w:r>
          </w:p>
        </w:tc>
      </w:tr>
      <w:tr>
        <w:trPr/>
        <w:tc>
          <w:tcPr>
            <w:tcW w:w="2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Heystee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6,779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Ernest Maddock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6,779 </w:t>
            </w:r>
          </w:p>
        </w:tc>
      </w:tr>
      <w:tr>
        <w:trPr/>
        <w:tc>
          <w:tcPr>
            <w:tcW w:w="2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Theodore L. Tewksbury,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6,779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Phillip M. Eyler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15,658 </w:t>
            </w:r>
          </w:p>
        </w:tc>
      </w:tr>
      <w:tr>
        <w:trPr/>
        <w:tc>
          <w:tcPr>
            <w:tcW w:w="2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Christina C. Correia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35,695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Skaggs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20"/>
              </w:rPr>
            </w:pPr>
            <w:r>
              <w:rPr>
                <w:rFonts w:ascii="Times New Roman;Times;serif" w:hAnsi="Times New Roman;Times;serif"/>
                <w:color w:val="000000"/>
                <w:sz w:val="20"/>
              </w:rPr>
              <w:t>35,695</w:t>
            </w:r>
          </w:p>
        </w:tc>
      </w:tr>
      <w:tr>
        <w:trPr/>
        <w:tc>
          <w:tcPr>
            <w:tcW w:w="25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5470" w:type="dxa"/>
        <w:jc w:val="left"/>
        <w:tblInd w:w="0" w:type="dxa"/>
        <w:tblLayout w:type="fixed"/>
        <w:tblCellMar>
          <w:top w:w="0" w:type="dxa"/>
          <w:left w:w="0" w:type="dxa"/>
          <w:bottom w:w="0" w:type="dxa"/>
          <w:right w:w="0" w:type="dxa"/>
        </w:tblCellMar>
      </w:tblPr>
      <w:tblGrid>
        <w:gridCol w:w="260"/>
        <w:gridCol w:w="52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Eyler commenced service on our Board effective December 8,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78" w:name="ny20066227x2_def14a_116-director_pg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390" w:after="283"/>
        <w:ind w:left="0" w:right="0" w:hanging="0"/>
        <w:jc w:val="left"/>
        <w:rPr>
          <w:rFonts w:ascii="Times New Roman;Times;serif" w:hAnsi="Times New Roman;Times;serif"/>
          <w:b/>
          <w:color w:val="000000"/>
          <w:sz w:val="20"/>
        </w:rPr>
      </w:pPr>
      <w:bookmarkStart w:id="79" w:name="tECP"/>
      <w:bookmarkEnd w:id="79"/>
      <w:r>
        <w:rPr>
          <w:rFonts w:ascii="Times New Roman;Times;serif" w:hAnsi="Times New Roman;Times;serif"/>
          <w:b/>
          <w:color w:val="000000"/>
          <w:sz w:val="20"/>
        </w:rPr>
        <w:t xml:space="preserve">EQUITY COMPENSATION PLAN INFORMATION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authorized for issuance under the Company’s equity compensation plans (As of December 31, 2025): </w:t>
      </w:r>
    </w:p>
    <w:tbl>
      <w:tblPr>
        <w:tblW w:w="10205" w:type="dxa"/>
        <w:jc w:val="left"/>
        <w:tblInd w:w="0" w:type="dxa"/>
        <w:tblLayout w:type="fixed"/>
        <w:tblCellMar>
          <w:top w:w="0" w:type="dxa"/>
          <w:left w:w="0" w:type="dxa"/>
          <w:bottom w:w="0" w:type="dxa"/>
          <w:right w:w="0" w:type="dxa"/>
        </w:tblCellMar>
      </w:tblPr>
      <w:tblGrid>
        <w:gridCol w:w="4816"/>
        <w:gridCol w:w="170"/>
        <w:gridCol w:w="170"/>
        <w:gridCol w:w="1179"/>
        <w:gridCol w:w="170"/>
        <w:gridCol w:w="170"/>
        <w:gridCol w:w="1457"/>
        <w:gridCol w:w="170"/>
        <w:gridCol w:w="170"/>
        <w:gridCol w:w="1733"/>
      </w:tblGrid>
      <w:tr>
        <w:trPr/>
        <w:tc>
          <w:tcPr>
            <w:tcW w:w="48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0"/>
              <w:jc w:val="left"/>
              <w:rPr/>
            </w:pPr>
            <w:r>
              <w:rPr/>
              <w:t> </w:t>
            </w:r>
          </w:p>
        </w:tc>
      </w:tr>
      <w:tr>
        <w:trPr/>
        <w:tc>
          <w:tcPr>
            <w:tcW w:w="48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(excludes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first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w:t>
            </w:r>
          </w:p>
        </w:tc>
      </w:tr>
      <w:tr>
        <w:trPr/>
        <w:tc>
          <w:tcPr>
            <w:tcW w:w="481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5,795,697</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7"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7.69</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33" w:type="dxa"/>
            <w:tcBorders/>
            <w:shd w:fill="CCEEFF" w:val="clear"/>
            <w:vAlign w:val="center"/>
          </w:tcPr>
          <w:p>
            <w:pPr>
              <w:pStyle w:val="TableContents"/>
              <w:bidi w:val="0"/>
              <w:spacing w:before="0" w:after="283"/>
              <w:ind w:left="440" w:right="0" w:hanging="0"/>
              <w:jc w:val="left"/>
              <w:rPr>
                <w:rFonts w:ascii="Times New Roman;Times;serif" w:hAnsi="Times New Roman;Times;serif"/>
                <w:color w:val="000000"/>
                <w:sz w:val="20"/>
              </w:rPr>
            </w:pPr>
            <w:r>
              <w:rPr>
                <w:rFonts w:ascii="Times New Roman;Times;serif" w:hAnsi="Times New Roman;Times;serif"/>
                <w:color w:val="000000"/>
                <w:sz w:val="20"/>
              </w:rPr>
              <w:t>2,595,496</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r>
      <w:tr>
        <w:trPr/>
        <w:tc>
          <w:tcPr>
            <w:tcW w:w="481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283"/>
              <w:ind w:left="2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7"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440" w:right="0" w:hanging="0"/>
              <w:jc w:val="left"/>
              <w:rPr>
                <w:color w:val="000000"/>
              </w:rPr>
            </w:pPr>
            <w:r>
              <w:rPr>
                <w:color w:val="000000"/>
              </w:rPr>
              <w:t>—</w:t>
            </w:r>
          </w:p>
        </w:tc>
      </w:tr>
      <w:tr>
        <w:trPr/>
        <w:tc>
          <w:tcPr>
            <w:tcW w:w="48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the Ouster, Inc. 2021 Incentive Award Plan (“2021 Plan”), Velodyne 2020 Equity Incentive plan (“Velodyne Plan”), Ouster, Inc. 2022 Employee Stock Purchase Plan (“ESPP”), Ouster Inc. Amended and Restated 2015 Stock Plan (“2015 Plan”) and Sense Photonics, Inc. 2017 Equity Incentive Plan and (“Sense Plan”).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4,085,075 restricted stock units and options to purchase 1,710,622 shares of our common stock. Does not include shares of our common stock that could be issued in connection with the offer period under our ESPP that was ongoing as of December 31, 2025, pursuant to which the maximum number of shares that could be issued is 3,000.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 weighted-average exercise price of outstanding options under the 2015 Plan was $7.45 and the weighted-average exercise price of outstanding options under the Sense Plan was $52.40. Outstanding restricted stock units subject to time-based vesting do not have an exercise price and therefore are not included in the calculation of the weighted-average exercise price.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addition to shares listed in the above table, 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The number of shares authorized under our Velodyne 2020 Plan will increase on the first day of each calendar year beginning on January 1, 2021 and ending on (and including) January 1, 2030, equal to the lesser of (A) 820,400 shares of common stock and (B) such lesser number of shares as determined by our board of directors.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80" w:name="ny20066227x2_def14a_117-security_pg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Times New Roman;Times;serif" w:hAnsi="Times New Roman;Times;serif"/>
          <w:b/>
          <w:color w:val="000000"/>
          <w:sz w:val="20"/>
        </w:rPr>
      </w:pPr>
      <w:bookmarkStart w:id="81" w:name="tSOO"/>
      <w:bookmarkEnd w:id="81"/>
      <w:r>
        <w:rPr>
          <w:rFonts w:ascii="Times New Roman;Times;serif" w:hAnsi="Times New Roman;Times;serif"/>
          <w:b/>
          <w:color w:val="000000"/>
          <w:sz w:val="20"/>
        </w:rPr>
        <w:t xml:space="preserve">SECURITY OWNERSHIP OF CERTAIN BENEFICIAL OWNERS AND MANAGEMENT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our common stock for: </w:t>
      </w:r>
    </w:p>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director nominees;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stockholder as described in this proxy statement is determined in accordance with the rules of the SEC. Under such SEC rules, beneficial ownership includes any shares as to which the individual or entity has sole or shared voting power or investment power. Applicable percentage ownership is based on 63,461,091 shares of common stock outstanding as of March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all listed stockholders is 350 Treat Avenue, San Francisco, California 94110. Each of the stockholders listed has sole voting and investment power with respect to the shares beneficially owned by the stockholder unless noted otherwise, subject to community property laws where applicable. </w:t>
      </w:r>
    </w:p>
    <w:tbl>
      <w:tblPr>
        <w:tblW w:w="8630" w:type="dxa"/>
        <w:jc w:val="left"/>
        <w:tblInd w:w="0" w:type="dxa"/>
        <w:tblLayout w:type="fixed"/>
        <w:tblCellMar>
          <w:top w:w="0" w:type="dxa"/>
          <w:left w:w="0" w:type="dxa"/>
          <w:bottom w:w="0" w:type="dxa"/>
          <w:right w:w="0" w:type="dxa"/>
        </w:tblCellMar>
      </w:tblPr>
      <w:tblGrid>
        <w:gridCol w:w="6035"/>
        <w:gridCol w:w="170"/>
        <w:gridCol w:w="170"/>
        <w:gridCol w:w="935"/>
        <w:gridCol w:w="170"/>
        <w:gridCol w:w="170"/>
        <w:gridCol w:w="980"/>
      </w:tblGrid>
      <w:tr>
        <w:trPr/>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6035" w:type="dxa"/>
            <w:tcBorders>
              <w:bottom w:val="single" w:sz="8" w:space="0" w:color="000000"/>
            </w:tcBorders>
            <w:tcMar>
              <w:bottom w:w="34"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4"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34"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4,430,910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6.98%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Angus Pacala</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1,649,277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Frichtl</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1,113,082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P. Gianella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 Boulet</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224,953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Christina C. Correia</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46,613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Phillip M. Eyler</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Heystee</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Ernest Maddock</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Skaggs</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46,613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Theodore L. Tewksbury, Ph.D.</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118,579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(13 individuals)</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3,714,689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5.72%</w:t>
            </w:r>
          </w:p>
        </w:tc>
      </w:tr>
      <w:tr>
        <w:trPr/>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4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by BlackRock, Inc. on January 21, 2026. BlackRock, Inc. reported sole voting power over 4,346,344 shares of common stock and sole dispositive power over 4,430,910 shares of common stock. The principal business office address for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777,326 shares of common stock and 871,951 shares of common stock issuable upon exercise of options exercisable as of or within 60 days of March 31, 2026.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520,215 shares of common stock and 592,867 shares of common stock issuable upon exercise of options exercisable as of or within 60 days of March 31, 2026. </w:t>
            </w:r>
          </w:p>
        </w:tc>
      </w:tr>
    </w:tbl>
    <w:tbl>
      <w:tblPr>
        <w:tblW w:w="5005" w:type="dxa"/>
        <w:jc w:val="left"/>
        <w:tblInd w:w="0" w:type="dxa"/>
        <w:tblLayout w:type="fixed"/>
        <w:tblCellMar>
          <w:top w:w="0" w:type="dxa"/>
          <w:left w:w="0" w:type="dxa"/>
          <w:bottom w:w="0" w:type="dxa"/>
          <w:right w:w="0" w:type="dxa"/>
        </w:tblCellMar>
      </w:tblPr>
      <w:tblGrid>
        <w:gridCol w:w="185"/>
        <w:gridCol w:w="48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8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224,953 shares of common stock as of March 31, 2026.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42,999 shares of common stock and 3,614 shares of common stock issuable upon vesting of restricted stock units within 60 days of March 31, 2026. </w:t>
            </w:r>
          </w:p>
        </w:tc>
      </w:tr>
    </w:tbl>
    <w:tbl>
      <w:tblPr>
        <w:tblW w:w="9025" w:type="dxa"/>
        <w:jc w:val="left"/>
        <w:tblInd w:w="0" w:type="dxa"/>
        <w:tblLayout w:type="fixed"/>
        <w:tblCellMar>
          <w:top w:w="0" w:type="dxa"/>
          <w:left w:w="0" w:type="dxa"/>
          <w:bottom w:w="0" w:type="dxa"/>
          <w:right w:w="0" w:type="dxa"/>
        </w:tblCellMar>
      </w:tblPr>
      <w:tblGrid>
        <w:gridCol w:w="185"/>
        <w:gridCol w:w="884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8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1,966 shares of common stock for which settlement is deferred and may occur within 60 days of March 31, 2026. </w:t>
            </w:r>
          </w:p>
        </w:tc>
      </w:tr>
    </w:tbl>
    <w:tbl>
      <w:tblPr>
        <w:tblW w:w="5140" w:type="dxa"/>
        <w:jc w:val="left"/>
        <w:tblInd w:w="0" w:type="dxa"/>
        <w:tblLayout w:type="fixed"/>
        <w:tblCellMar>
          <w:top w:w="0" w:type="dxa"/>
          <w:left w:w="0" w:type="dxa"/>
          <w:bottom w:w="0" w:type="dxa"/>
          <w:right w:w="0" w:type="dxa"/>
        </w:tblCellMar>
      </w:tblPr>
      <w:tblGrid>
        <w:gridCol w:w="185"/>
        <w:gridCol w:w="495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39,569.50 shares of common stock as of March 31, 2026. </w:t>
            </w:r>
          </w:p>
        </w:tc>
      </w:tr>
    </w:tbl>
    <w:tbl>
      <w:tblPr>
        <w:tblW w:w="4915" w:type="dxa"/>
        <w:jc w:val="left"/>
        <w:tblInd w:w="0" w:type="dxa"/>
        <w:tblLayout w:type="fixed"/>
        <w:tblCellMar>
          <w:top w:w="0" w:type="dxa"/>
          <w:left w:w="0" w:type="dxa"/>
          <w:bottom w:w="0" w:type="dxa"/>
          <w:right w:w="0" w:type="dxa"/>
        </w:tblCellMar>
      </w:tblPr>
      <w:tblGrid>
        <w:gridCol w:w="185"/>
        <w:gridCol w:w="473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47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80,789 shares of common stock as of March 31, 2026.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42,999 shares of common stock and 3,614 shares of common stock issuable upon vesting of restricted stock units within 60 days of March 31, 2026.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84,759 shares of common stock and 33,820 shares of common stock for which settlement is deferred and may occur within 60 days of March 31, 2026.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6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2,206,857 shares of common stock; 1,464,818 shares of common stock issuable upon exercise of options exercisable as of or within 60 days of March 31, 2026, 7,228 shares of common stock issuable upon vesting of restricted stock units as of or within 60 days of March 31, 2026 and 35,786 shares of common stock for which settlement is deferred and may occur within 60 days of March 31, 2026. Includes beneficial ownership of Cyrille Jacquemet, who was appointed as an executive officer on April 12,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82" w:name="ny20066227x2_def14a_118-certain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83" w:name="tCRA"/>
      <w:bookmarkEnd w:id="83"/>
      <w:r>
        <w:rPr>
          <w:rFonts w:ascii="Times New Roman;Times;serif" w:hAnsi="Times New Roman;Times;serif"/>
          <w:b/>
          <w:color w:val="000000"/>
          <w:sz w:val="20"/>
        </w:rPr>
        <w:t xml:space="preserve">CERTAIN RELATIONSHIPS AND RELATED PERSON TRANSACTIONS </w:t>
      </w:r>
    </w:p>
    <w:p>
      <w:pPr>
        <w:pStyle w:val="TextBody"/>
        <w:bidi w:val="0"/>
        <w:spacing w:before="390" w:after="283"/>
        <w:ind w:left="0" w:right="0" w:hanging="0"/>
        <w:jc w:val="left"/>
        <w:rPr>
          <w:rFonts w:ascii="Times New Roman;Times;serif" w:hAnsi="Times New Roman;Times;serif"/>
          <w:b/>
          <w:color w:val="000000"/>
          <w:sz w:val="20"/>
        </w:rPr>
      </w:pPr>
      <w:bookmarkStart w:id="84" w:name="tPAP"/>
      <w:bookmarkEnd w:id="84"/>
      <w:r>
        <w:rPr>
          <w:rFonts w:ascii="Times New Roman;Times;serif" w:hAnsi="Times New Roman;Times;serif"/>
          <w:b/>
          <w:color w:val="000000"/>
          <w:sz w:val="20"/>
        </w:rPr>
        <w:t xml:space="preserve">POLICIES AND PROCEDURES FOR RELATED PERSON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 written Related Person Transaction Policy and Procedures, setting forth the policies and procedures for the review and approval or ratification of related person transactions. 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is, or at any time during the applicable period was, one of our executive officers, directors or nominees to become a director; </w:t>
            </w:r>
          </w:p>
        </w:tc>
      </w:tr>
    </w:tbl>
    <w:tbl>
      <w:tblPr>
        <w:tblW w:w="8275" w:type="dxa"/>
        <w:jc w:val="left"/>
        <w:tblInd w:w="0" w:type="dxa"/>
        <w:tblLayout w:type="fixed"/>
        <w:tblCellMar>
          <w:top w:w="0" w:type="dxa"/>
          <w:left w:w="0" w:type="dxa"/>
          <w:bottom w:w="0" w:type="dxa"/>
          <w:right w:w="0" w:type="dxa"/>
        </w:tblCellMar>
      </w:tblPr>
      <w:tblGrid>
        <w:gridCol w:w="140"/>
        <w:gridCol w:w="8135"/>
      </w:tblGrid>
      <w:tr>
        <w:trPr/>
        <w:tc>
          <w:tcPr>
            <w:tcW w:w="14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person who is known to be the beneficial owner of more than 5% of any class our voting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immediate family member of any of the foregoing persons, which means any child, stepchild, parent, stepparent, spouse, sibling, mother-in-law, father-in-law, son-in-law, daughter-in-law, brother-in-law or sister-in-law of a director, executive officer, nominee or beneficial owner of more than 5% of our voting stock, and any person (other than a tenant or employee) sharing the household of such director, executive officer, nominee or beneficial owner of more than 5% of our voting stock;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firm, corporation or other entity in which any of the foregoing persons is employed or is a general partner or principal or in a similar position or in which such person has a 5% or greater beneficial ownership interest in any class of our voting stock.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policies and procedures designed to minimize potential conflicts of interest arising from any dealings the Company may have with its affiliates and to provide appropriate procedures for the disclosure of any real or potential conflicts of interest that may exist from time to time. Specifically, pursuant to our Audit Committee charter, the Audit Committee has the responsibility to review related person transactions. </w:t>
      </w:r>
    </w:p>
    <w:p>
      <w:pPr>
        <w:pStyle w:val="TextBody"/>
        <w:bidi w:val="0"/>
        <w:spacing w:before="410" w:after="283"/>
        <w:ind w:left="0" w:right="0" w:hanging="0"/>
        <w:jc w:val="left"/>
        <w:rPr>
          <w:rFonts w:ascii="Times New Roman;Times;serif" w:hAnsi="Times New Roman;Times;serif"/>
          <w:b/>
          <w:color w:val="000000"/>
          <w:sz w:val="20"/>
        </w:rPr>
      </w:pPr>
      <w:bookmarkStart w:id="85" w:name="tTRT"/>
      <w:bookmarkEnd w:id="85"/>
      <w:r>
        <w:rPr>
          <w:rFonts w:ascii="Times New Roman;Times;serif" w:hAnsi="Times New Roman;Times;serif"/>
          <w:b/>
          <w:color w:val="000000"/>
          <w:sz w:val="20"/>
        </w:rPr>
        <w:t xml:space="preserve">TRANSACTIONS RELATED TO DIRECTORS, EQUITY HOLDERS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our compensation arrangements with directors and executive officers described elsewhere in this proxy statement and indemnification agreements with each of our directors and executive officers, the following are certain transactions since January 1, 2024 and currently proposed transactions, to which we were a participant or will be a participant, in which: (1) the amount involved exceeded or will exceed $120,000, and (2) any of our directors, executive officers or holders of more than 5% of our common stock, or any member of the immediate family of the foregoing persons or entities, had or will have a direct or indirect material interest.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11, 2021, Ouster, Colonnade Sponsor LLC (the “Sponsor”), Colonnade WPB LLC (the “Sponsor PIPE Purchaser”), certain members of the Sponsor and the Sponsor PIPE Purchaser and certain former stockholders of our subsidiary, Ouster Technologies, Inc. entered into the Amended and Restated Registration Rights Agreement (the “Registration Rights Agreement”). Such parties had registration rights to require the Company to register a sale of any of our securities held by them pursuant to a registration rights agreement. The holders of these securities were entitled to make up to three demands, excluding short form demands, that the Company register such securities. In addition, the holders had certain “piggy-back” registration rights with respect to future registration statements. The Company bore the expenses incurred in connection with the filing of any such registration statements. The Registration Rights Agreement expired in March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86" w:name="ny20066227x2_def14a_119-other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left"/>
        <w:rPr>
          <w:rFonts w:ascii="Times New Roman;Times;serif" w:hAnsi="Times New Roman;Times;serif"/>
          <w:b/>
          <w:color w:val="000000"/>
          <w:sz w:val="20"/>
        </w:rPr>
      </w:pPr>
      <w:bookmarkStart w:id="87" w:name="tOMT"/>
      <w:bookmarkEnd w:id="87"/>
      <w:r>
        <w:rPr>
          <w:rFonts w:ascii="Times New Roman;Times;serif" w:hAnsi="Times New Roman;Times;serif"/>
          <w:b/>
          <w:color w:val="000000"/>
          <w:sz w:val="20"/>
        </w:rPr>
        <w:t xml:space="preserve">OTHER MATTERS </w:t>
      </w:r>
    </w:p>
    <w:p>
      <w:pPr>
        <w:pStyle w:val="TextBody"/>
        <w:bidi w:val="0"/>
        <w:spacing w:before="300" w:after="283"/>
        <w:ind w:left="0" w:right="0" w:hanging="0"/>
        <w:jc w:val="left"/>
        <w:rPr>
          <w:rFonts w:ascii="Times New Roman;Times;serif" w:hAnsi="Times New Roman;Times;serif"/>
          <w:b/>
          <w:color w:val="000000"/>
          <w:sz w:val="20"/>
        </w:rPr>
      </w:pPr>
      <w:bookmarkStart w:id="88" w:name="tDSR"/>
      <w:bookmarkEnd w:id="88"/>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2025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2025. </w:t>
      </w:r>
    </w:p>
    <w:p>
      <w:pPr>
        <w:pStyle w:val="TextBody"/>
        <w:bidi w:val="0"/>
        <w:spacing w:before="320" w:after="283"/>
        <w:ind w:left="0" w:right="0" w:hanging="0"/>
        <w:jc w:val="left"/>
        <w:rPr>
          <w:rFonts w:ascii="Times New Roman;Times;serif" w:hAnsi="Times New Roman;Times;serif"/>
          <w:b/>
          <w:color w:val="000000"/>
          <w:sz w:val="20"/>
        </w:rPr>
      </w:pPr>
      <w:bookmarkStart w:id="89" w:name="tCCI"/>
      <w:bookmarkEnd w:id="89"/>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Susan Heystee, Ernest Maddock, Phillip M. Eyler and Stephen A. Skaggs served on the Compensation Committee of the Board. No member of our Compensation Committee is an officer or employee of the Company. During the year ended December 31, 2021, Susan Heystee served as Interim Chief Revenue Officer of the Company. Ms. Heystee did not serve on the Compensation Committee during the period that she served as Interim Chief Revenue Officer.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none of our executive officers served as a member of the board of directors or compensation committee, or other committee serving an equivalent function, of any other entity that has one or more of its executive officers serving as a member of our Board or Compensation Committee. </w:t>
      </w:r>
    </w:p>
    <w:p>
      <w:pPr>
        <w:pStyle w:val="TextBody"/>
        <w:bidi w:val="0"/>
        <w:spacing w:before="320" w:after="283"/>
        <w:ind w:left="0" w:right="0" w:hanging="0"/>
        <w:jc w:val="left"/>
        <w:rPr>
          <w:rFonts w:ascii="Times New Roman;Times;serif" w:hAnsi="Times New Roman;Times;serif"/>
          <w:b/>
          <w:color w:val="000000"/>
          <w:sz w:val="20"/>
        </w:rPr>
      </w:pPr>
      <w:bookmarkStart w:id="90" w:name="tSP"/>
      <w:bookmarkEnd w:id="90"/>
      <w:r>
        <w:rPr>
          <w:rFonts w:ascii="Times New Roman;Times;serif" w:hAnsi="Times New Roman;Times;serif"/>
          <w:b/>
          <w:color w:val="000000"/>
          <w:sz w:val="20"/>
        </w:rPr>
        <w:t xml:space="preserve">STOCKHOLDERS’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intend to have a proposal considered for inclusion in our proxy materials for presentation at our 2027 annual meeting of stockholders pursuant to Rule 14a-8 under the Exchange Act must submit the proposal to our offices at 350 Treat Avenue, San Francisco, California 94110 in writing not later than December 29, 2026 (which is 120 days prior to April 28, 2027, the one-year anniversary of the mailing of the Company’s 2026 definitive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Stockholders intending to present a proposal at the 2027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 stockholder’s intent to present such proposal or nomination not earlier than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and not later than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first anniversary of the preceding year’s annual meeting. Therefore, we must receive notice of such a proposal or nomination for the 2027 annual meeting of stockholders no earlier than February 17, 2027 and no later than March 19, 2027. The notice must contain the information required by the Bylaws, a copy of which is available upon request to our Secretary. In the event that the date of the 2027 annual meeting of stockholders is more than 30 days before or more than 60 days after June 17, 2027, then our Secretary must receive such written notice not later than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2027 annual meeting of stockholders or, if later,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reserve the right to reject, rule out of order, or take other appropriate action with respect to any proposal that does not comply with these or other applicable requirements. </w:t>
      </w:r>
    </w:p>
    <w:p>
      <w:pPr>
        <w:pStyle w:val="TextBody"/>
        <w:bidi w:val="0"/>
        <w:spacing w:before="320" w:after="283"/>
        <w:ind w:left="0" w:right="0" w:hanging="0"/>
        <w:jc w:val="left"/>
        <w:rPr>
          <w:rFonts w:ascii="Times New Roman;Times;serif" w:hAnsi="Times New Roman;Times;serif"/>
          <w:b/>
          <w:color w:val="000000"/>
          <w:sz w:val="20"/>
        </w:rPr>
      </w:pPr>
      <w:bookmarkStart w:id="91" w:name="tOMA"/>
      <w:bookmarkEnd w:id="91"/>
      <w:r>
        <w:rPr>
          <w:rFonts w:ascii="Times New Roman;Times;serif" w:hAnsi="Times New Roman;Times;serif"/>
          <w:b/>
          <w:color w:val="000000"/>
          <w:sz w:val="20"/>
        </w:rPr>
        <w:t xml:space="preserve">OTHER MATTERS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92" w:name="ny20066227x2_def14a_119-other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93" w:name="tSOP"/>
      <w:bookmarkEnd w:id="93"/>
      <w:r>
        <w:rPr>
          <w:rFonts w:ascii="Times New Roman;Times;serif" w:hAnsi="Times New Roman;Times;serif"/>
          <w:b/>
          <w:color w:val="000000"/>
          <w:sz w:val="20"/>
        </w:rPr>
        <w:t xml:space="preserve">SOLICITATION OF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obtain our proxy statement (and any amendments and supplements thereto) and other documents as and when filed by us with the SEC without charge from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94" w:name="tOAR"/>
      <w:bookmarkEnd w:id="94"/>
      <w:r>
        <w:rPr>
          <w:rFonts w:ascii="Times New Roman;Times;serif" w:hAnsi="Times New Roman;Times;serif"/>
          <w:b/>
          <w:color w:val="000000"/>
          <w:sz w:val="20"/>
        </w:rPr>
        <w:t xml:space="preserve">OUSTER’S ANNUAL REPORT ON FORM 10-K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 copy of Ouster’s Annual Report on Form 10-K for the fiscal year ended December 31, 2025, including financial statements and schedules, but not including exhibits, as filed with the SEC, will be sent to any stockholder of record on April 24, 2026 without charge upon written request addressed to Ouster, Inc., Attention: Secretary, 350 Treat Avenue, San Francisco, California 94110. A reasonable fee will be charged to the stockholder for copies of the aforementioned exhibits. You also may access our Annual Report on Form 10-K for the fiscal year ended December 31, 2025 at </w:t>
      </w:r>
      <w:r>
        <w:rPr>
          <w:rFonts w:ascii="Times New Roman;Times;serif" w:hAnsi="Times New Roman;Times;serif"/>
          <w:b/>
          <w:i/>
          <w:color w:val="000000"/>
          <w:sz w:val="20"/>
        </w:rPr>
        <w:t>www.ouster.com</w:t>
      </w:r>
      <w:r>
        <w:rPr>
          <w:rFonts w:ascii="Times New Roman;Times;serif" w:hAnsi="Times New Roman;Times;serif"/>
          <w:b w:val="false"/>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85" w:after="283"/>
        <w:ind w:left="0" w:right="0" w:hanging="0"/>
        <w:jc w:val="left"/>
        <w:rPr>
          <w:color w:val="000000"/>
        </w:rPr>
      </w:pPr>
      <w:r>
        <w:rPr>
          <w:color w:val="000000"/>
        </w:rPr>
        <w:drawing>
          <wp:inline distT="0" distB="0" distL="0" distR="0">
            <wp:extent cx="1323975" cy="523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323975" cy="523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Megan Chung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Counsel and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28,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95" w:name="ny20066227x2_def14a_300-annexa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u w:val="single"/>
        </w:rPr>
        <w:t>Annex A</w:t>
      </w:r>
      <w:r>
        <w:rPr>
          <w:rFonts w:ascii="Times New Roman;Times;serif" w:hAnsi="Times New Roman;Times;serif"/>
          <w:b/>
          <w:color w:val="000000"/>
          <w:sz w:val="20"/>
        </w:rPr>
        <w:t xml:space="preserve"> </w:t>
      </w:r>
    </w:p>
    <w:p>
      <w:pPr>
        <w:pStyle w:val="TextBody"/>
        <w:bidi w:val="0"/>
        <w:spacing w:before="390" w:after="283"/>
        <w:jc w:val="center"/>
        <w:rPr>
          <w:rFonts w:ascii="Times New Roman;Times;serif" w:hAnsi="Times New Roman;Times;serif"/>
          <w:b/>
          <w:color w:val="000000"/>
          <w:sz w:val="20"/>
        </w:rPr>
      </w:pPr>
      <w:bookmarkStart w:id="96" w:name="tATC"/>
      <w:bookmarkEnd w:id="96"/>
      <w:r>
        <w:rPr>
          <w:rFonts w:ascii="Times New Roman;Times;serif" w:hAnsi="Times New Roman;Times;serif"/>
          <w:b/>
          <w:color w:val="000000"/>
          <w:sz w:val="20"/>
        </w:rPr>
        <w:t xml:space="preserve">OUSTER,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the Certificate of Incorporation </w:t>
      </w:r>
    </w:p>
    <w:p>
      <w:pPr>
        <w:pStyle w:val="TextBody"/>
        <w:bidi w:val="0"/>
        <w:spacing w:before="0" w:after="283"/>
        <w:jc w:val="center"/>
        <w:rPr>
          <w:color w:val="000000"/>
        </w:rPr>
      </w:pPr>
      <w:r>
        <w:rPr>
          <w:color w:val="00000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to include a new Article IV that reads as follows: </w:t>
      </w:r>
    </w:p>
    <w:p>
      <w:pPr>
        <w:pStyle w:val="TextBody"/>
        <w:bidi w:val="0"/>
        <w:spacing w:before="410" w:after="283"/>
        <w:jc w:val="center"/>
        <w:rPr>
          <w:color w:val="000000"/>
        </w:rPr>
      </w:pPr>
      <w:r>
        <w:rPr>
          <w:color w:val="000000"/>
        </w:rPr>
        <w:t>“</w:t>
      </w:r>
      <w:r>
        <w:rPr>
          <w:rFonts w:ascii="Times New Roman;Times;serif" w:hAnsi="Times New Roman;Times;serif"/>
          <w:b/>
          <w:color w:val="000000"/>
          <w:sz w:val="20"/>
        </w:rPr>
        <w:t xml:space="preserve">ARTICLE IV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is authorized to issue two classes of stock to be designated, respectively, “Common Stock” and “Preferred Stock.” The total number of shares of capital stock that the Corporation shall have authority to issue is 300,000,000. The total number of shares of Common Stock that the Corporation is authorized to issue is 200,000,000, having a par value of $0.0001 per share, and the total number of shares of Preferred Stock that the Corporation is authorized to issue is 100,000,000, having a par value of $0.0001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97" w:name="ny20066227x2_def14a_301-annexb_pg1"/>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98" w:name="tANB"/>
      <w:bookmarkEnd w:id="98"/>
      <w:r>
        <w:rPr>
          <w:rFonts w:ascii="Times New Roman;Times;serif" w:hAnsi="Times New Roman;Times;serif"/>
          <w:b/>
          <w:color w:val="000000"/>
          <w:sz w:val="20"/>
          <w:u w:val="single"/>
        </w:rPr>
        <w:t>Annex B</w:t>
      </w:r>
      <w:r>
        <w:rPr>
          <w:rFonts w:ascii="Times New Roman;Times;serif" w:hAnsi="Times New Roman;Times;serif"/>
          <w:b/>
          <w:color w:val="000000"/>
          <w:sz w:val="20"/>
        </w:rPr>
        <w:t xml:space="preserv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OUSTER,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the Certificate of Incorporation </w:t>
      </w:r>
    </w:p>
    <w:p>
      <w:pPr>
        <w:pStyle w:val="TextBody"/>
        <w:bidi w:val="0"/>
        <w:spacing w:before="0" w:after="283"/>
        <w:jc w:val="center"/>
        <w:rPr>
          <w:color w:val="000000"/>
        </w:rPr>
      </w:pPr>
      <w:r>
        <w:rPr>
          <w:color w:val="00000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to include a new Article XIV that reads as follows: </w:t>
      </w:r>
    </w:p>
    <w:p>
      <w:pPr>
        <w:pStyle w:val="TextBody"/>
        <w:bidi w:val="0"/>
        <w:spacing w:before="410" w:after="283"/>
        <w:jc w:val="center"/>
        <w:rPr>
          <w:color w:val="000000"/>
        </w:rPr>
      </w:pPr>
      <w:r>
        <w:rPr>
          <w:color w:val="000000"/>
        </w:rPr>
        <w:t>“</w:t>
      </w:r>
      <w:r>
        <w:rPr>
          <w:rFonts w:ascii="Times New Roman;Times;serif" w:hAnsi="Times New Roman;Times;serif"/>
          <w:b/>
          <w:color w:val="000000"/>
          <w:sz w:val="20"/>
        </w:rPr>
        <w:t xml:space="preserve">ARTICLE XIV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XIV, or the adoption of any provision of this Certificate of Incorporation inconsistent with this Article XIV, shall not adversely affect any right or protection of an officer of the Corporation, as applicable, with respect to any act or omission occurring prior to such amendment, repeal, modification or adoption. If the DGCL is amended after approval by the stockholders of this Article XIV to authorize corporate action further eliminating or limiting the personal liability of officers, then the liability of an officer of the Corporation, as applicable, shall be eliminated or limited to the fullest extent permitted by the DGCL as so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99" w:name="ny20066227x2_def14a_400-proxycard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00" w:name="ny20066227x2_def14a_400-proxycard_pg2"/>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10.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0.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9.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22373</Words>
  <Characters>120765</Characters>
  <CharactersWithSpaces>143918</CharactersWithSpaces>
  <Paragraphs>2777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