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84330ddefa14a.htm"/>
      <w:bookmarkStart w:id="1" w:name="ksd484330ddefa14a"/>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SCHEDULE 14A </w:t>
      </w:r>
    </w:p>
    <w:p>
      <w:pPr>
        <w:pStyle w:val="TextBody"/>
        <w:spacing w:before="240" w:after="0"/>
        <w:jc w:val="center"/>
        <w:rPr>
          <w:rFonts w:ascii="Times New Roman" w:hAnsi="Times New Roman"/>
          <w:b/>
          <w:sz w:val="24"/>
        </w:rPr>
      </w:pPr>
      <w:r>
        <w:rPr>
          <w:rFonts w:ascii="Times New Roman" w:hAnsi="Times New Roman"/>
          <w:b/>
          <w:sz w:val="24"/>
        </w:rPr>
        <w:t>(Rule 14a-101)</w:t>
      </w:r>
    </w:p>
    <w:p>
      <w:pPr>
        <w:pStyle w:val="TextBody"/>
        <w:spacing w:before="240" w:after="0"/>
        <w:jc w:val="center"/>
        <w:rPr>
          <w:rFonts w:ascii="Times New Roman" w:hAnsi="Times New Roman"/>
          <w:b/>
          <w:sz w:val="36"/>
        </w:rPr>
      </w:pPr>
      <w:r>
        <w:rPr>
          <w:rFonts w:ascii="Times New Roman" w:hAnsi="Times New Roman"/>
          <w:b/>
          <w:sz w:val="36"/>
        </w:rPr>
        <w:t xml:space="preserve">INFORMATION REQUIRED IN PROXY STATEMENT </w:t>
      </w:r>
    </w:p>
    <w:p>
      <w:pPr>
        <w:pStyle w:val="TextBody"/>
        <w:spacing w:before="240" w:after="0"/>
        <w:jc w:val="center"/>
        <w:rPr>
          <w:rFonts w:ascii="Times New Roman" w:hAnsi="Times New Roman"/>
          <w:b/>
          <w:sz w:val="36"/>
        </w:rPr>
      </w:pPr>
      <w:r>
        <w:rPr>
          <w:rFonts w:ascii="Times New Roman" w:hAnsi="Times New Roman"/>
          <w:b/>
          <w:sz w:val="36"/>
        </w:rPr>
        <w:t xml:space="preserve">SCHEDULE 14A INFORMATION </w:t>
      </w:r>
    </w:p>
    <w:p>
      <w:pPr>
        <w:pStyle w:val="TextBody"/>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(Amendment No. )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Filed by the Registrant  ☒ </w:t>
      </w:r>
    </w:p>
    <w:p>
      <w:pPr>
        <w:pStyle w:val="TextBody"/>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Confidential, for Use of the Commission Only (as permitted by Rule 14a-6(e)(2))</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spacing w:before="240" w:after="0"/>
        <w:jc w:val="center"/>
        <w:rPr>
          <w:rFonts w:ascii="Times New Roman" w:hAnsi="Times New Roman"/>
          <w:b/>
          <w:sz w:val="36"/>
        </w:rPr>
      </w:pPr>
      <w:r>
        <w:rPr>
          <w:rFonts w:ascii="Times New Roman" w:hAnsi="Times New Roman"/>
          <w:b/>
          <w:sz w:val="36"/>
        </w:rPr>
        <w:t xml:space="preserve">OUSTER, INC. </w:t>
      </w:r>
    </w:p>
    <w:p>
      <w:pPr>
        <w:pStyle w:val="TextBody"/>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477000" cy="838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77000" cy="8382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OUSTER, INC. 350 TREAT AVENUE SAN FRANCISCO, CA 94110 Your Vote Counts! OUSTER, INC. 2023 Annual Meeting Vote by June 21, 2023 11:59 PM ET V16799-P94152 You invested in OUSTER, INC. and its time to vote! You have the right to vote on proposals being presented at the Annual Meeting. This is an important notice regarding the availability of proxy material for the stockholder meeting to be held on June 22, 2023. Get informed before you vote View the Notice and Proxy Statement and Annual Report online OR you can receive a free paper or email copy of the material(s) by requesting prior to June 8, 2023.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Smartphone users Point your camera here and vote without entering a control number Virtually at: Vote Virtually at the Meeting* June 22, 2023 10:00 a.m., Pacific Time www.virtualshareholdermeeting.com/OUST2023 *Please check the meeting materials for any special requirements for meeting attendance. V1.1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477000" cy="838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77000" cy="8382000"/>
                    </a:xfrm>
                    <a:prstGeom prst="rect">
                      <a:avLst/>
                    </a:prstGeom>
                  </pic:spPr>
                </pic:pic>
              </a:graphicData>
            </a:graphic>
          </wp:inline>
        </w:drawing>
      </w:r>
      <w:r>
        <w:rPr/>
        <w:t xml:space="preserve"> </w:t>
      </w:r>
    </w:p>
    <w:p>
      <w:pPr>
        <w:pStyle w:val="TextBody"/>
        <w:spacing w:before="0" w:after="283"/>
        <w:jc w:val="left"/>
        <w:rPr>
          <w:rFonts w:ascii="Times New Roman" w:hAnsi="Times New Roman"/>
          <w:color w:val="FFFFFF"/>
          <w:sz w:val="2"/>
        </w:rPr>
      </w:pPr>
      <w:r>
        <w:rPr>
          <w:rFonts w:ascii="Times New Roman" w:hAnsi="Times New Roman"/>
          <w:color w:val="FFFFFF"/>
          <w:sz w:val="2"/>
        </w:rPr>
        <w:t xml:space="preserve">Vote at www.ProxyVote.com THIS IS NOT A VOTABLE BALLOT This is an overview of the proposals being presented at the upcoming stockholder meeting. Please follow the instructions on the reverse side to vote these important matters. Voting Items Board Recommends 1. Election of Directors Nominees: 01) Virginia Boulet 02) Riaz Valani For 2. Ratification of the appointment of PricewaterhouseCoopers LLP as the Companys independent registered public accounting firm for the fiscal year ending December 31, 2023. For 3. Approval, on an advisory (non-binding) basis, of the compensation of the Companys named executive officers. For NOTE: Such other business as may properly come before the meeting or any continuation, postponement or adjournment thereof. Prefer to receive an email instead? While voting on www.ProxyVote.com, be sure to click Delivery Settings. V16800-P94152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500</Words>
  <CharactersWithSpaces>3187</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