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p>
      <w:pPr>
        <w:pStyle w:val="TextBody"/>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001-39463</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spacing w:lineRule="auto" w:line="288" w:before="120" w:after="283"/>
        <w:jc w:val="center"/>
        <w:rPr>
          <w:rFonts w:ascii="Times New Roman;sans-serif" w:hAnsi="Times New Roman;sans-serif"/>
          <w:b/>
          <w:color w:val="231F20"/>
          <w:sz w:val="48"/>
        </w:rPr>
      </w:pPr>
      <w:r>
        <w:rPr>
          <w:rFonts w:ascii="Times New Roman;sans-serif" w:hAnsi="Times New Roman;sans-serif"/>
          <w:b/>
          <w:color w:val="231F20"/>
          <w:sz w:val="48"/>
        </w:rPr>
        <w:t>Ouster,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(Exact name of Registrant as specified in its Charter)</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tbl>
      <w:tblPr>
        <w:tblW w:w="6715" w:type="dxa"/>
        <w:jc w:val="left"/>
        <w:tblInd w:w="0" w:type="dxa"/>
        <w:tblCellMar>
          <w:top w:w="28" w:type="dxa"/>
          <w:left w:w="28" w:type="dxa"/>
          <w:bottom w:w="28" w:type="dxa"/>
          <w:right w:w="28" w:type="dxa"/>
        </w:tblCellMar>
      </w:tblPr>
      <w:tblGrid>
        <w:gridCol w:w="1215"/>
        <w:gridCol w:w="1066"/>
        <w:gridCol w:w="1078"/>
        <w:gridCol w:w="109"/>
        <w:gridCol w:w="109"/>
        <w:gridCol w:w="109"/>
        <w:gridCol w:w="884"/>
        <w:gridCol w:w="884"/>
        <w:gridCol w:w="1261"/>
      </w:tblGrid>
      <w:tr>
        <w:trPr/>
        <w:tc>
          <w:tcPr>
            <w:tcW w:w="121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86-2528989</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350 Treat Avenue</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Francisco,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94110</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240" w:after="283"/>
        <w:jc w:val="center"/>
        <w:rPr/>
      </w:pPr>
      <w:r>
        <w:rPr>
          <w:rFonts w:ascii="Times New Roman;sans-serif" w:hAnsi="Times New Roman;sans-serif"/>
          <w:b/>
          <w:color w:val="000000"/>
          <w:sz w:val="20"/>
        </w:rPr>
        <w:t>Registrant's telephone number, including area code:</w:t>
      </w:r>
      <w:r>
        <w:rPr>
          <w:color w:val="000000"/>
        </w:rPr>
        <w:t xml:space="preserve"> </w:t>
      </w:r>
      <w:r>
        <w:rPr>
          <w:rFonts w:ascii="Times New Roman;sans-serif" w:hAnsi="Times New Roman;sans-serif"/>
          <w:b/>
          <w:color w:val="000000"/>
          <w:sz w:val="20"/>
        </w:rPr>
        <w:t>(415) 949-0108</w:t>
      </w:r>
    </w:p>
    <w:p>
      <w:pPr>
        <w:pStyle w:val="TextBody"/>
        <w:spacing w:before="0" w:after="0"/>
        <w:jc w:val="center"/>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94" w:type="dxa"/>
        <w:jc w:val="left"/>
        <w:tblInd w:w="0" w:type="dxa"/>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OUST</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6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6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OUST WS</w:t>
            </w:r>
          </w:p>
        </w:tc>
        <w:tc>
          <w:tcPr>
            <w:tcW w:w="38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675"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8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spacing w:lineRule="auto" w:line="288" w:before="240" w:after="283"/>
        <w:rPr/>
      </w:pP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240" w:after="283"/>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or a smaller reporting company, or an emerging growth company. See the definitions of “large accelerated filer,” “accelerated filer” and “smaller reporting company” in Rule 12b-2 of the Exchange Act. </w:t>
      </w:r>
    </w:p>
    <w:tbl>
      <w:tblPr>
        <w:tblW w:w="5019" w:type="dxa"/>
        <w:jc w:val="center"/>
        <w:tblInd w:w="0" w:type="dxa"/>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r>
    </w:tbl>
    <w:p>
      <w:pPr>
        <w:pStyle w:val="TextBody"/>
        <w:spacing w:lineRule="auto" w:line="288" w:before="20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200" w:after="283"/>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sans-serif" w:hAnsi="Times New Roman;sans-serif"/>
          <w:b w:val="false"/>
          <w:color w:val="000000"/>
          <w:sz w:val="24"/>
        </w:rPr>
        <w:t xml:space="preserve">. </w:t>
      </w:r>
      <w:r>
        <w:rPr>
          <w:color w:val="000000"/>
        </w:rPr>
        <w:t>☐</w:t>
      </w:r>
    </w:p>
    <w:p>
      <w:pPr>
        <w:pStyle w:val="TextBody"/>
        <w:spacing w:lineRule="auto" w:line="288" w:before="200" w:after="283"/>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before="0" w:after="0"/>
        <w:jc w:val="both"/>
        <w:rPr/>
      </w:pPr>
      <w:r>
        <w:rPr/>
      </w:r>
    </w:p>
    <w:p>
      <w:pPr>
        <w:pStyle w:val="TextBody"/>
        <w:spacing w:lineRule="auto" w:line="225"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aggregate market value of the voting and non-voting stock held by non-affiliates of the registrant, as of June 30, 2021, the last business day of the registrant’s most recently completed second fiscal quarter, was approximately $1,528 million.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172,795,534 shares of common stock as of February 25, 2022.</w:t>
      </w:r>
    </w:p>
    <w:p>
      <w:pPr>
        <w:pStyle w:val="TextBody"/>
        <w:spacing w:before="240" w:after="283"/>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03"/>
        <w:gridCol w:w="3064"/>
        <w:gridCol w:w="3126"/>
        <w:gridCol w:w="149"/>
        <w:gridCol w:w="149"/>
        <w:gridCol w:w="214"/>
      </w:tblGrid>
      <w:tr>
        <w:trPr/>
        <w:tc>
          <w:tcPr>
            <w:tcW w:w="3503" w:type="dxa"/>
            <w:tcBorders/>
            <w:shd w:fill="auto" w:val="clear"/>
            <w:vAlign w:val="center"/>
          </w:tcPr>
          <w:p>
            <w:pPr>
              <w:pStyle w:val="TableContents"/>
              <w:spacing w:before="0" w:after="283"/>
              <w:rPr>
                <w:sz w:val="4"/>
                <w:szCs w:val="4"/>
              </w:rPr>
            </w:pPr>
            <w:r>
              <w:rPr>
                <w:sz w:val="4"/>
                <w:szCs w:val="4"/>
              </w:rPr>
            </w:r>
          </w:p>
        </w:tc>
        <w:tc>
          <w:tcPr>
            <w:tcW w:w="3064" w:type="dxa"/>
            <w:tcBorders/>
            <w:shd w:fill="auto" w:val="clear"/>
            <w:vAlign w:val="center"/>
          </w:tcPr>
          <w:p>
            <w:pPr>
              <w:pStyle w:val="TableContents"/>
              <w:spacing w:before="0" w:after="283"/>
              <w:rPr>
                <w:sz w:val="4"/>
                <w:szCs w:val="4"/>
              </w:rPr>
            </w:pPr>
            <w:r>
              <w:rPr>
                <w:sz w:val="4"/>
                <w:szCs w:val="4"/>
              </w:rPr>
            </w:r>
          </w:p>
        </w:tc>
        <w:tc>
          <w:tcPr>
            <w:tcW w:w="312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0">
              <w:r>
                <w:rPr>
                  <w:rStyle w:val="InternetLink"/>
                  <w:rFonts w:ascii="Times New Roman;sans-serif" w:hAnsi="Times New Roman;sans-serif"/>
                  <w:b/>
                  <w:strike w:val="false"/>
                  <w:dstrike w:val="false"/>
                  <w:color w:val="000000"/>
                  <w:sz w:val="20"/>
                  <w:u w:val="none"/>
                  <w:effect w:val="none"/>
                </w:rPr>
                <w:t>PART I</w:t>
              </w:r>
            </w:hyperlink>
          </w:p>
        </w:tc>
        <w:tc>
          <w:tcPr>
            <w:tcW w:w="5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3">
              <w:r>
                <w:rPr>
                  <w:rStyle w:val="InternetLink"/>
                  <w:rFonts w:ascii="Times New Roman;sans-serif" w:hAnsi="Times New Roman;sans-serif"/>
                  <w:b w:val="false"/>
                  <w:strike w:val="false"/>
                  <w:dstrike w:val="false"/>
                  <w:color w:val="000000"/>
                  <w:sz w:val="20"/>
                  <w:u w:val="none"/>
                  <w:effect w:val="none"/>
                </w:rPr>
                <w:t>Item 1. Business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3">
              <w:r>
                <w:rPr>
                  <w:rStyle w:val="InternetLink"/>
                  <w:rFonts w:ascii="Times New Roman;sans-serif" w:hAnsi="Times New Roman;sans-serif"/>
                  <w:b w:val="false"/>
                  <w:strike w:val="false"/>
                  <w:dstrike w:val="false"/>
                  <w:color w:val="000000"/>
                  <w:sz w:val="20"/>
                  <w:u w:val="none"/>
                  <w:effect w:val="none"/>
                </w:rPr>
                <w:t>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6">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6">
              <w:r>
                <w:rPr>
                  <w:rStyle w:val="InternetLink"/>
                  <w:rFonts w:ascii="Times New Roman;sans-serif" w:hAnsi="Times New Roman;sans-serif"/>
                  <w:b w:val="false"/>
                  <w:strike w:val="false"/>
                  <w:dstrike w:val="false"/>
                  <w:color w:val="000000"/>
                  <w:sz w:val="20"/>
                  <w:u w:val="none"/>
                  <w:effect w:val="none"/>
                </w:rPr>
                <w:t>14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9">
              <w:r>
                <w:rPr>
                  <w:rStyle w:val="InternetLink"/>
                  <w:rFonts w:ascii="Times New Roman;sans-serif" w:hAnsi="Times New Roman;sans-serif"/>
                  <w:b w:val="false"/>
                  <w:strike w:val="false"/>
                  <w:dstrike w:val="false"/>
                  <w:color w:val="000000"/>
                  <w:sz w:val="20"/>
                  <w:u w:val="none"/>
                  <w:effect w:val="none"/>
                </w:rPr>
                <w:t>Item 1B. Unresolved Staff Comments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9">
              <w:r>
                <w:rPr>
                  <w:rStyle w:val="InternetLink"/>
                  <w:rFonts w:ascii="Times New Roman;sans-serif" w:hAnsi="Times New Roman;sans-serif"/>
                  <w:b w:val="false"/>
                  <w:strike w:val="false"/>
                  <w:dstrike w:val="false"/>
                  <w:color w:val="000000"/>
                  <w:sz w:val="20"/>
                  <w:u w:val="none"/>
                  <w:effect w:val="none"/>
                </w:rPr>
                <w:t>40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22">
              <w:r>
                <w:rPr>
                  <w:rStyle w:val="InternetLink"/>
                  <w:rFonts w:ascii="Times New Roman;sans-serif" w:hAnsi="Times New Roman;sans-serif"/>
                  <w:b w:val="false"/>
                  <w:strike w:val="false"/>
                  <w:dstrike w:val="false"/>
                  <w:color w:val="000000"/>
                  <w:sz w:val="20"/>
                  <w:u w:val="none"/>
                  <w:effect w:val="none"/>
                </w:rPr>
                <w:t>Item 2. Properties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22">
              <w:r>
                <w:rPr>
                  <w:rStyle w:val="InternetLink"/>
                  <w:rFonts w:ascii="Times New Roman;sans-serif" w:hAnsi="Times New Roman;sans-serif"/>
                  <w:b w:val="false"/>
                  <w:strike w:val="false"/>
                  <w:dstrike w:val="false"/>
                  <w:color w:val="000000"/>
                  <w:sz w:val="20"/>
                  <w:u w:val="none"/>
                  <w:effect w:val="none"/>
                </w:rPr>
                <w:t>40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25">
              <w:r>
                <w:rPr>
                  <w:rStyle w:val="InternetLink"/>
                  <w:rFonts w:ascii="Times New Roman;sans-serif" w:hAnsi="Times New Roman;sans-serif"/>
                  <w:b w:val="false"/>
                  <w:strike w:val="false"/>
                  <w:dstrike w:val="false"/>
                  <w:color w:val="000000"/>
                  <w:sz w:val="20"/>
                  <w:u w:val="none"/>
                  <w:effect w:val="none"/>
                </w:rPr>
                <w:t>Item 3. Legal Proceedings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25">
              <w:r>
                <w:rPr>
                  <w:rStyle w:val="InternetLink"/>
                  <w:rFonts w:ascii="Times New Roman;sans-serif" w:hAnsi="Times New Roman;sans-serif"/>
                  <w:b w:val="false"/>
                  <w:strike w:val="false"/>
                  <w:dstrike w:val="false"/>
                  <w:color w:val="000000"/>
                  <w:sz w:val="20"/>
                  <w:u w:val="none"/>
                  <w:effect w:val="none"/>
                </w:rPr>
                <w:t>41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28">
              <w:r>
                <w:rPr>
                  <w:rStyle w:val="InternetLink"/>
                  <w:rFonts w:ascii="Times New Roman;sans-serif" w:hAnsi="Times New Roman;sans-serif"/>
                  <w:b w:val="false"/>
                  <w:strike w:val="false"/>
                  <w:dstrike w:val="false"/>
                  <w:color w:val="000000"/>
                  <w:sz w:val="20"/>
                  <w:u w:val="none"/>
                  <w:effect w:val="none"/>
                </w:rPr>
                <w:t>Item 4. Mine Safety Disclosures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28">
              <w:r>
                <w:rPr>
                  <w:rStyle w:val="InternetLink"/>
                  <w:rFonts w:ascii="Times New Roman;sans-serif" w:hAnsi="Times New Roman;sans-serif"/>
                  <w:b w:val="false"/>
                  <w:strike w:val="false"/>
                  <w:dstrike w:val="false"/>
                  <w:color w:val="000000"/>
                  <w:sz w:val="20"/>
                  <w:u w:val="none"/>
                  <w:effect w:val="none"/>
                </w:rPr>
                <w:t>41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31">
              <w:r>
                <w:rPr>
                  <w:rStyle w:val="InternetLink"/>
                  <w:rFonts w:ascii="Times New Roman;sans-serif" w:hAnsi="Times New Roman;sans-serif"/>
                  <w:b/>
                  <w:strike w:val="false"/>
                  <w:dstrike w:val="false"/>
                  <w:color w:val="000000"/>
                  <w:sz w:val="20"/>
                  <w:u w:val="none"/>
                  <w:effect w:val="none"/>
                </w:rPr>
                <w:t>PART II</w:t>
              </w:r>
            </w:hyperlink>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34">
              <w:r>
                <w:rPr>
                  <w:rStyle w:val="InternetLink"/>
                  <w:rFonts w:ascii="Times New Roman;sans-serif" w:hAnsi="Times New Roman;sans-serif"/>
                  <w:b w:val="false"/>
                  <w:strike w:val="false"/>
                  <w:dstrike w:val="false"/>
                  <w:color w:val="000000"/>
                  <w:sz w:val="20"/>
                  <w:u w:val="none"/>
                  <w:effect w:val="none"/>
                </w:rPr>
                <w:t>Item 5. Market for Registrant's Common Equity, Related Stockholder Matters and Issuer Purchases of Equity Securities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34">
              <w:r>
                <w:rPr>
                  <w:rStyle w:val="InternetLink"/>
                  <w:rFonts w:ascii="Times New Roman;sans-serif" w:hAnsi="Times New Roman;sans-serif"/>
                  <w:b w:val="false"/>
                  <w:strike w:val="false"/>
                  <w:dstrike w:val="false"/>
                  <w:color w:val="000000"/>
                  <w:sz w:val="20"/>
                  <w:u w:val="none"/>
                  <w:effect w:val="none"/>
                </w:rPr>
                <w:t>42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37">
              <w:r>
                <w:rPr>
                  <w:rStyle w:val="InternetLink"/>
                </w:rPr>
                <w:t xml:space="preserve">Item 6. </w:t>
              </w:r>
            </w:hyperlink>
            <w:hyperlink w:anchor="i8902c3de0e12464b89b2dca1343baef4_37">
              <w:r>
                <w:rPr>
                  <w:rStyle w:val="InternetLink"/>
                </w:rPr>
                <w:t>[</w:t>
              </w:r>
            </w:hyperlink>
            <w:hyperlink w:anchor="i8902c3de0e12464b89b2dca1343baef4_37">
              <w:r>
                <w:rPr>
                  <w:rStyle w:val="InternetLink"/>
                </w:rPr>
                <w:t>R</w:t>
              </w:r>
            </w:hyperlink>
            <w:r>
              <w:rPr>
                <w:rFonts w:ascii="Times New Roman;sans-serif" w:hAnsi="Times New Roman;sans-serif"/>
                <w:b w:val="false"/>
                <w:color w:val="000000"/>
                <w:sz w:val="20"/>
              </w:rPr>
              <w:t>eserved]</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37">
              <w:r>
                <w:rPr>
                  <w:rStyle w:val="InternetLink"/>
                  <w:rFonts w:ascii="Times New Roman;sans-serif" w:hAnsi="Times New Roman;sans-serif"/>
                  <w:b w:val="false"/>
                  <w:strike w:val="false"/>
                  <w:dstrike w:val="false"/>
                  <w:color w:val="000000"/>
                  <w:sz w:val="20"/>
                  <w:u w:val="none"/>
                  <w:effect w:val="none"/>
                </w:rPr>
                <w:t>43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40">
              <w:r>
                <w:rPr>
                  <w:rStyle w:val="InternetLink"/>
                  <w:rFonts w:ascii="Times New Roman;sans-serif" w:hAnsi="Times New Roman;sans-serif"/>
                  <w:b w:val="false"/>
                  <w:strike w:val="false"/>
                  <w:dstrike w:val="false"/>
                  <w:color w:val="000000"/>
                  <w:sz w:val="20"/>
                  <w:u w:val="none"/>
                  <w:effect w:val="none"/>
                </w:rPr>
                <w:t>Item 7. 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40">
              <w:r>
                <w:rPr>
                  <w:rStyle w:val="InternetLink"/>
                  <w:rFonts w:ascii="Times New Roman;sans-serif" w:hAnsi="Times New Roman;sans-serif"/>
                  <w:b w:val="false"/>
                  <w:strike w:val="false"/>
                  <w:dstrike w:val="false"/>
                  <w:color w:val="000000"/>
                  <w:sz w:val="20"/>
                  <w:u w:val="none"/>
                  <w:effect w:val="none"/>
                </w:rPr>
                <w:t>43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76">
              <w:r>
                <w:rPr>
                  <w:rStyle w:val="InternetLink"/>
                  <w:rFonts w:ascii="Times New Roman;sans-serif" w:hAnsi="Times New Roman;sans-serif"/>
                  <w:b w:val="false"/>
                  <w:strike w:val="false"/>
                  <w:dstrike w:val="false"/>
                  <w:color w:val="000000"/>
                  <w:sz w:val="20"/>
                  <w:u w:val="none"/>
                  <w:effect w:val="none"/>
                </w:rPr>
                <w:t>Item 7A. Quantitative and Qualitative Disclosures About Market Risk</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76">
              <w:r>
                <w:rPr>
                  <w:rStyle w:val="InternetLink"/>
                  <w:rFonts w:ascii="Times New Roman;sans-serif" w:hAnsi="Times New Roman;sans-serif"/>
                  <w:b w:val="false"/>
                  <w:strike w:val="false"/>
                  <w:dstrike w:val="false"/>
                  <w:color w:val="000000"/>
                  <w:sz w:val="20"/>
                  <w:u w:val="none"/>
                  <w:effect w:val="none"/>
                </w:rPr>
                <w:t>61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79">
              <w:r>
                <w:rPr>
                  <w:rStyle w:val="InternetLink"/>
                  <w:rFonts w:ascii="Times New Roman;sans-serif" w:hAnsi="Times New Roman;sans-serif"/>
                  <w:b w:val="false"/>
                  <w:strike w:val="false"/>
                  <w:dstrike w:val="false"/>
                  <w:color w:val="000000"/>
                  <w:sz w:val="20"/>
                  <w:u w:val="none"/>
                  <w:effect w:val="none"/>
                </w:rPr>
                <w:t>Item 8. Financial Statements and Supplementary Data</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79">
              <w:r>
                <w:rPr>
                  <w:rStyle w:val="InternetLink"/>
                  <w:rFonts w:ascii="Times New Roman;sans-serif" w:hAnsi="Times New Roman;sans-serif"/>
                  <w:b w:val="false"/>
                  <w:strike w:val="false"/>
                  <w:dstrike w:val="false"/>
                  <w:color w:val="000000"/>
                  <w:sz w:val="20"/>
                  <w:u w:val="none"/>
                  <w:effect w:val="none"/>
                </w:rPr>
                <w:t>62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51">
              <w:r>
                <w:rPr>
                  <w:rStyle w:val="InternetLink"/>
                  <w:rFonts w:ascii="Times New Roman;sans-serif" w:hAnsi="Times New Roman;sans-serif"/>
                  <w:b w:val="false"/>
                  <w:strike w:val="false"/>
                  <w:dstrike w:val="false"/>
                  <w:color w:val="000000"/>
                  <w:sz w:val="20"/>
                  <w:u w:val="none"/>
                  <w:effect w:val="none"/>
                </w:rPr>
                <w:t>Item 9. Changes in and Disagreements With Accountants on Accounting and Financial Disclosures</w:t>
              </w:r>
            </w:hyperlink>
          </w:p>
        </w:tc>
        <w:tc>
          <w:tcPr>
            <w:tcW w:w="51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51">
              <w:r>
                <w:rPr>
                  <w:rStyle w:val="InternetLink"/>
                  <w:rFonts w:ascii="Times New Roman;sans-serif" w:hAnsi="Times New Roman;sans-serif"/>
                  <w:b w:val="false"/>
                  <w:strike w:val="false"/>
                  <w:dstrike w:val="false"/>
                  <w:color w:val="000000"/>
                  <w:sz w:val="20"/>
                  <w:u w:val="none"/>
                  <w:effect w:val="none"/>
                </w:rPr>
                <w:t>105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54">
              <w:r>
                <w:rPr>
                  <w:rStyle w:val="InternetLink"/>
                  <w:rFonts w:ascii="Times New Roman;sans-serif" w:hAnsi="Times New Roman;sans-serif"/>
                  <w:b w:val="false"/>
                  <w:strike w:val="false"/>
                  <w:dstrike w:val="false"/>
                  <w:color w:val="000000"/>
                  <w:sz w:val="20"/>
                  <w:u w:val="none"/>
                  <w:effect w:val="none"/>
                </w:rPr>
                <w:t>Item 9A. Controls and Procedures</w:t>
              </w:r>
            </w:hyperlink>
          </w:p>
        </w:tc>
        <w:tc>
          <w:tcPr>
            <w:tcW w:w="51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54">
              <w:r>
                <w:rPr>
                  <w:rStyle w:val="InternetLink"/>
                  <w:rFonts w:ascii="Times New Roman;sans-serif" w:hAnsi="Times New Roman;sans-serif"/>
                  <w:b w:val="false"/>
                  <w:strike w:val="false"/>
                  <w:dstrike w:val="false"/>
                  <w:color w:val="000000"/>
                  <w:sz w:val="20"/>
                  <w:u w:val="none"/>
                  <w:effect w:val="none"/>
                </w:rPr>
                <w:t>105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57">
              <w:r>
                <w:rPr>
                  <w:rStyle w:val="InternetLink"/>
                  <w:rFonts w:ascii="Times New Roman;sans-serif" w:hAnsi="Times New Roman;sans-serif"/>
                  <w:b w:val="false"/>
                  <w:strike w:val="false"/>
                  <w:dstrike w:val="false"/>
                  <w:color w:val="000000"/>
                  <w:sz w:val="20"/>
                  <w:u w:val="none"/>
                  <w:effect w:val="none"/>
                </w:rPr>
                <w:t>Item 9B. Other Information</w:t>
              </w:r>
            </w:hyperlink>
          </w:p>
        </w:tc>
        <w:tc>
          <w:tcPr>
            <w:tcW w:w="51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57">
              <w:r>
                <w:rPr>
                  <w:rStyle w:val="InternetLink"/>
                  <w:rFonts w:ascii="Times New Roman;sans-serif" w:hAnsi="Times New Roman;sans-serif"/>
                  <w:b w:val="false"/>
                  <w:strike w:val="false"/>
                  <w:dstrike w:val="false"/>
                  <w:color w:val="000000"/>
                  <w:sz w:val="20"/>
                  <w:u w:val="none"/>
                  <w:effect w:val="none"/>
                </w:rPr>
                <w:t>106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830">
              <w:r>
                <w:rPr>
                  <w:rStyle w:val="InternetLink"/>
                </w:rPr>
                <w:t xml:space="preserve">Item 9C. </w:t>
              </w:r>
            </w:hyperlink>
            <w:hyperlink w:anchor="i8902c3de0e12464b89b2dca1343baef4_830">
              <w:r>
                <w:rPr>
                  <w:rStyle w:val="InternetLink"/>
                </w:rPr>
                <w:t>Disclosure Regarding Foreign Jurisdictions that Prevent Inspections</w:t>
              </w:r>
            </w:hyperlink>
          </w:p>
        </w:tc>
        <w:tc>
          <w:tcPr>
            <w:tcW w:w="51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57">
              <w:r>
                <w:rPr>
                  <w:rStyle w:val="InternetLink"/>
                  <w:rFonts w:ascii="Times New Roman;sans-serif" w:hAnsi="Times New Roman;sans-serif"/>
                  <w:b w:val="false"/>
                  <w:strike w:val="false"/>
                  <w:dstrike w:val="false"/>
                  <w:color w:val="000000"/>
                  <w:sz w:val="20"/>
                  <w:u w:val="none"/>
                  <w:effect w:val="none"/>
                </w:rPr>
                <w:t>106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60">
              <w:r>
                <w:rPr>
                  <w:rStyle w:val="InternetLink"/>
                  <w:rFonts w:ascii="Times New Roman;sans-serif" w:hAnsi="Times New Roman;sans-serif"/>
                  <w:b/>
                  <w:strike w:val="false"/>
                  <w:dstrike w:val="false"/>
                  <w:color w:val="000000"/>
                  <w:sz w:val="20"/>
                  <w:u w:val="none"/>
                  <w:effect w:val="none"/>
                </w:rPr>
                <w:t>PART III</w:t>
              </w:r>
            </w:hyperlink>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63">
              <w:r>
                <w:rPr>
                  <w:rStyle w:val="InternetLink"/>
                  <w:rFonts w:ascii="Times New Roman;sans-serif" w:hAnsi="Times New Roman;sans-serif"/>
                  <w:b w:val="false"/>
                  <w:strike w:val="false"/>
                  <w:dstrike w:val="false"/>
                  <w:color w:val="000000"/>
                  <w:sz w:val="20"/>
                  <w:u w:val="none"/>
                  <w:effect w:val="none"/>
                </w:rPr>
                <w:t>Item 10. Directors, Executive Officers and Corporate Governance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63">
              <w:r>
                <w:rPr>
                  <w:rStyle w:val="InternetLink"/>
                  <w:rFonts w:ascii="Times New Roman;sans-serif" w:hAnsi="Times New Roman;sans-serif"/>
                  <w:b w:val="false"/>
                  <w:strike w:val="false"/>
                  <w:dstrike w:val="false"/>
                  <w:color w:val="000000"/>
                  <w:sz w:val="20"/>
                  <w:u w:val="none"/>
                  <w:effect w:val="none"/>
                </w:rPr>
                <w:t>107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66">
              <w:r>
                <w:rPr>
                  <w:rStyle w:val="InternetLink"/>
                  <w:rFonts w:ascii="Times New Roman;sans-serif" w:hAnsi="Times New Roman;sans-serif"/>
                  <w:b w:val="false"/>
                  <w:strike w:val="false"/>
                  <w:dstrike w:val="false"/>
                  <w:color w:val="000000"/>
                  <w:sz w:val="20"/>
                  <w:u w:val="none"/>
                  <w:effect w:val="none"/>
                </w:rPr>
                <w:t>Item 11. Executive Compensation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66">
              <w:r>
                <w:rPr>
                  <w:rStyle w:val="InternetLink"/>
                  <w:rFonts w:ascii="Times New Roman;sans-serif" w:hAnsi="Times New Roman;sans-serif"/>
                  <w:b w:val="false"/>
                  <w:strike w:val="false"/>
                  <w:dstrike w:val="false"/>
                  <w:color w:val="000000"/>
                  <w:sz w:val="20"/>
                  <w:u w:val="none"/>
                  <w:effect w:val="none"/>
                </w:rPr>
                <w:t>112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69">
              <w:r>
                <w:rPr>
                  <w:rStyle w:val="InternetLink"/>
                  <w:rFonts w:ascii="Times New Roman;sans-serif" w:hAnsi="Times New Roman;sans-serif"/>
                  <w:b w:val="false"/>
                  <w:strike w:val="false"/>
                  <w:dstrike w:val="false"/>
                  <w:color w:val="000000"/>
                  <w:sz w:val="20"/>
                  <w:u w:val="none"/>
                  <w:effect w:val="none"/>
                </w:rPr>
                <w:t>Item 12. Security Ownership of Certain Beneficial Owner and Management and Related Stockholder Matters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69">
              <w:r>
                <w:rPr>
                  <w:rStyle w:val="InternetLink"/>
                  <w:rFonts w:ascii="Times New Roman;sans-serif" w:hAnsi="Times New Roman;sans-serif"/>
                  <w:b w:val="false"/>
                  <w:strike w:val="false"/>
                  <w:dstrike w:val="false"/>
                  <w:color w:val="000000"/>
                  <w:sz w:val="20"/>
                  <w:u w:val="none"/>
                  <w:effect w:val="none"/>
                </w:rPr>
                <w:t>123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72">
              <w:r>
                <w:rPr>
                  <w:rStyle w:val="InternetLink"/>
                  <w:rFonts w:ascii="Times New Roman;sans-serif" w:hAnsi="Times New Roman;sans-serif"/>
                  <w:b w:val="false"/>
                  <w:strike w:val="false"/>
                  <w:dstrike w:val="false"/>
                  <w:color w:val="000000"/>
                  <w:sz w:val="20"/>
                  <w:u w:val="none"/>
                  <w:effect w:val="none"/>
                </w:rPr>
                <w:t>Item 13. Certain Relationships and Related Transactions, and Director Independence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72">
              <w:r>
                <w:rPr>
                  <w:rStyle w:val="InternetLink"/>
                  <w:rFonts w:ascii="Times New Roman;sans-serif" w:hAnsi="Times New Roman;sans-serif"/>
                  <w:b w:val="false"/>
                  <w:strike w:val="false"/>
                  <w:dstrike w:val="false"/>
                  <w:color w:val="000000"/>
                  <w:sz w:val="20"/>
                  <w:u w:val="none"/>
                  <w:effect w:val="none"/>
                </w:rPr>
                <w:t>126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75">
              <w:r>
                <w:rPr>
                  <w:rStyle w:val="InternetLink"/>
                </w:rPr>
                <w:t>Item 14. Prin</w:t>
              </w:r>
            </w:hyperlink>
            <w:hyperlink w:anchor="i8902c3de0e12464b89b2dca1343baef4_175">
              <w:r>
                <w:rPr>
                  <w:rStyle w:val="InternetLink"/>
                </w:rPr>
                <w:t>cipal Accounting Fees and Services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75">
              <w:r>
                <w:rPr>
                  <w:rStyle w:val="InternetLink"/>
                  <w:rFonts w:ascii="Times New Roman;sans-serif" w:hAnsi="Times New Roman;sans-serif"/>
                  <w:b w:val="false"/>
                  <w:strike w:val="false"/>
                  <w:dstrike w:val="false"/>
                  <w:color w:val="000000"/>
                  <w:sz w:val="20"/>
                  <w:u w:val="none"/>
                  <w:effect w:val="none"/>
                </w:rPr>
                <w:t>128</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78">
              <w:r>
                <w:rPr>
                  <w:rStyle w:val="InternetLink"/>
                  <w:rFonts w:ascii="Times New Roman;sans-serif" w:hAnsi="Times New Roman;sans-serif"/>
                  <w:b/>
                  <w:strike w:val="false"/>
                  <w:dstrike w:val="false"/>
                  <w:color w:val="000000"/>
                  <w:sz w:val="20"/>
                  <w:u w:val="none"/>
                  <w:effect w:val="none"/>
                </w:rPr>
                <w:t>PART IV</w:t>
              </w:r>
            </w:hyperlink>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81">
              <w:r>
                <w:rPr>
                  <w:rStyle w:val="InternetLink"/>
                  <w:rFonts w:ascii="Times New Roman;sans-serif" w:hAnsi="Times New Roman;sans-serif"/>
                  <w:b w:val="false"/>
                  <w:strike w:val="false"/>
                  <w:dstrike w:val="false"/>
                  <w:color w:val="000000"/>
                  <w:sz w:val="20"/>
                  <w:u w:val="none"/>
                  <w:effect w:val="none"/>
                </w:rPr>
                <w:t>Item 15. Exhibits, Financial Statement Schedules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81">
              <w:r>
                <w:rPr>
                  <w:rStyle w:val="InternetLink"/>
                  <w:rFonts w:ascii="Times New Roman;sans-serif" w:hAnsi="Times New Roman;sans-serif"/>
                  <w:b w:val="false"/>
                  <w:strike w:val="false"/>
                  <w:dstrike w:val="false"/>
                  <w:color w:val="000000"/>
                  <w:sz w:val="20"/>
                  <w:u w:val="none"/>
                  <w:effect w:val="none"/>
                </w:rPr>
                <w:t>130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84">
              <w:r>
                <w:rPr>
                  <w:rStyle w:val="InternetLink"/>
                  <w:rFonts w:ascii="Times New Roman;sans-serif" w:hAnsi="Times New Roman;sans-serif"/>
                  <w:b w:val="false"/>
                  <w:strike w:val="false"/>
                  <w:dstrike w:val="false"/>
                  <w:color w:val="000000"/>
                  <w:sz w:val="20"/>
                  <w:u w:val="none"/>
                  <w:effect w:val="none"/>
                </w:rPr>
                <w:t>Item 16. Form 10-K Summary</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84">
              <w:r>
                <w:rPr>
                  <w:rStyle w:val="InternetLink"/>
                  <w:rFonts w:ascii="Times New Roman;sans-serif" w:hAnsi="Times New Roman;sans-serif"/>
                  <w:b w:val="false"/>
                  <w:strike w:val="false"/>
                  <w:dstrike w:val="false"/>
                  <w:color w:val="000000"/>
                  <w:sz w:val="20"/>
                  <w:u w:val="none"/>
                  <w:effect w:val="none"/>
                </w:rPr>
                <w:t>132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business strategy, plans, market growth and our objectives for future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2021.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references in this Annual Report on Form 10-K to “we”, “our” and “the Company” refer to the business and operations of Ouster Technologies, Inc. (“OTI”) (formerly known as Ouster, Inc.) and its consolidated subsidiaries prior to the Merger and to Ouster, Inc. (formerly known as Colonnade Acquisition Corp.) and its consolidated subsidiaries following the consummation of the Merger.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2020, OTI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“Business Combination”), as further described herein.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at https://investors.ouster.com. We therefore encourage investors and others interested in Ouster to review the information that we make available on our website, in addition to following our filings with the SEC, webcasts, press releases and conference calls. Information contained on our website is not part of this Annual Report on Form 10-K.</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pStyle w:val="TextBody"/>
        <w:spacing w:lineRule="auto" w:line="288" w:before="60" w:after="283"/>
        <w:ind w:left="0" w:right="0" w:hanging="360"/>
        <w:rPr/>
      </w:pPr>
      <w:r>
        <w:rPr>
          <w:color w:val="000000"/>
          <w:highlight w:val="white"/>
        </w:rPr>
        <w:t>•</w:t>
      </w:r>
      <w:r>
        <w:rPr>
          <w:rFonts w:ascii="Times New Roman;sans-serif" w:hAnsi="Times New Roman;sans-serif"/>
          <w:b w:val="false"/>
          <w:color w:val="000000"/>
          <w:sz w:val="20"/>
          <w:highlight w:val="white"/>
        </w:rPr>
        <w:t>Our</w:t>
      </w:r>
      <w:r>
        <w:rPr>
          <w:color w:val="000000"/>
          <w:highlight w:val="white"/>
        </w:rPr>
        <w:t xml:space="preserve"> </w:t>
      </w:r>
      <w:r>
        <w:rPr>
          <w:rFonts w:ascii="Times New Roman;sans-serif" w:hAnsi="Times New Roman;sans-serif"/>
          <w:b w:val="false"/>
          <w:color w:val="000000"/>
          <w:sz w:val="20"/>
          <w:highlight w:val="white"/>
        </w:rPr>
        <w:t>limited operating history makes it difficult to evaluate our future prospects and the risks and challenges we may encounter.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have incurred significant losses to date and may never achieve or sustain profitability.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If we are unable to overcome our limited sales history and establish and maintain confidence in our long-term business prospects among customers in our target markets revenue opportunity, including from strategic customer agreements, does not materialize into sales and revenue, then our financial condition, operating results, business prospects and access to capital may suffer materially.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currently target many customers that are large corporations with substantial negotiating power and exacting product standards. If we are unable to sell our products to these customers, our prospects and results of operations will be adversely affected.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are subject to the risks of cancellation or postponement of our contracts with customers or unsuccessful implementation. Additionally, certain customers may not be sufficiently funded or cease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revenue and margins could be adversely affected if we fail to maintain competitive average selling prices, high sales volumes, and/or fail to reduce product costs.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Key components in our products come from limited or single source third party suppliers, and we expect to rely on third-party to manufacture a significant portion of our products for the foreseeable future. Interruptions in our relationship with these third parties could adversely impact our business.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Market adoption of lidar remains uncertain, and it is difficult to forecast long-term end-customer adoption rates and demand for our products.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compete against established market participants that may have substantially greater resources than us and against known and unknown market entrants who may disrupt our target markets.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If our products are not selected for inclusion in our target markets, our business will be materially and adversely affected.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need to raise additional capital in the future in order to execute our business plan, which may not be available on terms acceptable to us, or at all.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not be able to adequately protect or enforce our intellectual property rights or prevent competitors or other unauthorized parties from copying or reverse engineering our technology.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products are frequently used in applications that are subject to evolving regulations and standards.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Ouster, Inc. (“Ouster” or the “Company”) is building the eyes of autonomy. We are a leading provider of high-resolution digital lidar sensors and enabling software that gives robots, machinery, vehicles and fixed infrastructure advanced 3D vision allowing them to safely interact with the physical world.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design and manufacture digital lidar sensors that we believe to be the highest performing, lowest cost lidar solutions available today across each of our four target markets: automotive, industrial automation; smart infrastructure and robotics.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digital lidar technology positions us at the center of a global revolution in autonomy. We believe that 3D vision technologies, coupled with artificial intelligence, will power new autonomous technologies that in turn will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fundamentally disrupt business models across many existing industries and also enable entirely new industries and capabilities.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 ended December 31, 2021, 34% of our total sensors shipped were to automotive customers.The automotive industry is undergoing a rapid shift towards advanced safety and autonomy features, powered by lidar, and we believe we are uniquely positioned, with our true solid-state digital lidar technology, to enable this transformation. We work with companies across the entire automotive ecosystem, from technology providers to direct automotive parts suppliers (“Tier 1s”) original equipment manufacturers (“OEMs”), to design and manufacture lidar sensors for these advanced vehicle systems. </w:t>
      </w:r>
    </w:p>
    <w:p>
      <w:pPr>
        <w:pStyle w:val="TextBody"/>
        <w:spacing w:lineRule="auto" w:line="288" w:before="120" w:after="283"/>
        <w:rPr/>
      </w:pPr>
      <w:r>
        <w:rPr>
          <w:rFonts w:ascii="Times New Roman;sans-serif" w:hAnsi="Times New Roman;sans-serif"/>
          <w:b w:val="false"/>
          <w:color w:val="000000"/>
          <w:sz w:val="20"/>
        </w:rPr>
        <w:t>Beyond the automotive market, we believe that there is an even larger market for lidar sensors. We believe our highly flexible digital lidar architecture strongly positions us to address what we believe is a rapidly growing dema</w:t>
      </w:r>
      <w:r>
        <w:rPr>
          <w:rFonts w:ascii="Times New Roman;sans-serif" w:hAnsi="Times New Roman;sans-serif"/>
          <w:b w:val="false"/>
          <w:color w:val="000000"/>
          <w:sz w:val="20"/>
          <w:highlight w:val="white"/>
        </w:rPr>
        <w:t>nd. Our industrial customers today are using lidar to increase safety and automating operations across the global supply chain, in material handling vehicles at ports and warehouses, in off-highway vehicles at mines and farms, and in manufacturing equipment in factories. In our smart infrastructure vertical, cities are increasing safety and efficiency through using lidar control traffic lights and warning systems, and security companies are improving intrusion detection and tracking by augmenting existing CCTV systems with the spatial tracking capabilities of lidar. We believe these markets present a significant opportunity for growth, as they touch nearly every aspect of our daily lives. Approximately 66% of our revenue for the year ended December 31, 2021 came from customers outside the automotive industry, which we believe illustrates both the flexibility of our technology and the opportunity across our target markets globally.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envision a future where lidar-powered solutions are widespread, with useful and affordable 3D perception capabilities built into every moving robot, car, truck and drone, as well as every factory, building, stoplight, dock, and airport terminal.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heavily in our patent portfolio since our inception by pursuing comprehensive coverage of invention families, use cases, and broad international coverage. As of December 31, 2021, we held over 50 patents and nearly 200 pending patent applications.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our semiconductor-based digital approach mirrors the type of evolution seen during the analog-to-digital transition across the electronics and camera industries. The end result in each of these other industrial transitions was the emergence of high-performance, low-cost digital technology that addressed expanded and diverse use cases. We believe these technology breakthroughs are central to our competitive advantage and dramatically improve sensor performance while making our approach difficult to replicate. In the lidar space, we believe analog technologies have less room for future improvement. In contrast, we anticipate that the key components of our digital lidar have many years of exponential growth ahead, distinguishing Ouster from its analog-focused competitors.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the simplicity of our digital lidar design gives us meaningful cost advantages in manufacturing, supply chain, and production yields. A common digital lidar architecture underpins our entire product portfolio, which we believe will drive economies of scale in our supply chain. With virtually unlimited software-defined customization, we are able to deliver new SKUs for industry-specific applications, expanding our product offerings with minimal manufacturing or inventory changes. We continue to expand our manufacturing capacity by outsourcing to our manufacturing partner, Benchmark Electronics, Inc. (“Benchmark”). Benchmark manufactures our products at its facility in Thailand, which we expect will reduce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mission to make the physical world safer and more efficient is aligned with our commitment to sustainability now and into the future. We believe that our lidar technology is a key enabler of sustainable solutions for our customers, driving the efficient use of vehicles, industrial machinery, and robotics across our end markets. Greater levels of industrial and vehicular automation have been shown to have the potential to significantly reduce global carbon dioxide emissions, helping to curb the effects of climate change. Likewise, smarter cities powered by lidar can better manage traffic, reduce commute times, and further reduce emissions. In smart city use cases, Ouster’s lidar sensors also can be customized with a “privacy-safe” mode, protecting citizens from facial recognition technology. We believe that our lidar products offer superior performance at lower cost and that this will facilitate a wide array of sustainable solutions that generally help drive lidar technology into the mainstream.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several, and are actively negotiating a number of additional, multi-year contracts with our customers. In 2021 and 2020 we had over 600 and 500 paying customers, respectively. In 2021, with the acquisition of Sense Photonics, Inc. (“Sense”) and establishment of Ouster Automotive, we increased our number of automotive engagements significantly. Leading with our true solid-state technology, we are working directly with top automotive OEM and Tier 1s in North America, Europe, and Asia. We expect these engagements to continue to rapidly grow in the coming years, as more advanced Advanced Driver Assisted Systems (“ADAS”) and Automated Driving systems enter production and come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market. Outside automotive, our industrial, smart infrastructure, and robotics businesses have continued their rapid growth. We continue to add new industrial, smart infrastructure, and robotics customers, and traction with existing customers is increasing as they progress and bring their products to market. Just as we have seen in automotive, we expect our engagements to rapidly scale over the coming years as our customers bring both advanced safety systems and autonomous operation systems into production.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see a future where our digital technology enables lidar to become universal, playing a key role in the autonomy revolution that will change innumerable aspects of our economy and daily lives. We believe Ouster’s patented digital approach to lidar positions us well to be at the epicenter of this societal shift, and we anticipate that our software-defined product architecture can accelerate adoption and unlock more applications for lidar in our focus markets and beyond.</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Digital Lidar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founders and engineering team have many years of lidar industry experience. By leveraging our deep knowledge of lidar technology, we have invented and patented an integrated, semiconductor-based digital lidar technology, which consists of the following key features: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Patented digital lidar architecture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digital lidar systems are based on a simplified architecture that achieves high resolution and reliability at a lower cost than analog lidar systems. Our sensors have three main technologies that, combined with embedded software, power our high-performance “OS” and “DF” product lines.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Custom system-on-a-chip (“SoC”) with single photon avalanche diode (“SPAD”) detectors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sensors contain a custom-designed SoC that replaces the functionality of hundreds of discrete analog components and integrates those capabilities onto a single complementary metal-oxide-semiconductor (“CMOS”) chip.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our “OS” product line, we are currently on our fourth-generation SoC, “L2X”, which combines significant processing power with a 128-channel SPAD array onto a single piece of silicon. Our SoC is capable of counting individual photons in order to detect very weak laser light pulses from long range targets. This digital SPAD-based approach enables our “OS” sensors to be compact, high-performance, and low-cost in order to provide advanced autonomy functionality to our industrial, robotics, smart infrastructure, and automotive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“DF” product line currently features our first generation solid-state CMOS SoC. Powered by this chip, the solid-state “DF” product line features short, medium, and long-range sensing options that we believe has the potential to meet the performance, reliability, design, and cost requirements of global automotive OEMs.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Vertical cavity surface emitting laser (“VCSEL”) array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Paired with our digital SPAD SoC is an array of VCSELs. By using VCSEL technology, we can place our laser emitters into a dense array. This dense, compact approach enables us to increase our resolution without increasing the size or complexity of our sensors.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Patented micro-optical system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our detector SoC and VCSEL array, our sensors feature patented micro-optical systems that enhance the performance of both our emitters and detectors. The combined effect of these micro-optical systems on sensor performance is equivalent to an increase in detector efficiency of multiple orders of magnitude. We believe this breakthrough intellectual property gives us significant competitive advantages over other companies that are currently attempting or may attempt to use a similar digital architecture.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Embedded software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existing embedded software is field-upgradeable, which enables us to customize and improve our sensor’s capabilities. We believe that the flexibility of this existing embedded software, together with embedded software that we develop in the future, will create an avenue for software-based enhancements of performance and customization of our products that will be capable of addressing myriad end-market customers’ specific technical requirements.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currently offer two digital lidar product lines, our “OS” scanning sensors and our “DF” true solid-state flash sensors. Introduced in 2018, our OS product line today features three different sensor models available in numerous configurations. We are currently developing our solid-state digital flash the DF product line, which replaces the “ES” sensor line and accelerates our product roadmap. In October of 2021, Ouster acquired Sense Photonics, Inc. (“Sense”) a developer of solid-state flash lidar based on VCSEL and SPAD technology. This acquisition enables the development of the DF sensor line which leverages technology and engineering expertise from both companies.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OS Product line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OS product line, based on our fourth-generation L2X SoC, is available in three different models to meet the needs of our end customers. The model options include the ultra-wide view “OS0,” the mid-range “OS1,” and the long-range “OS2.” Within each of these models we offer numerous configuration options, including but not limited to different resolutions and different data output structures. As we continue to release new generations of the silicon CMOS SoCs that power the OS product line, we expect the performance of the sensors to improve.</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tbl>
      <w:tblPr>
        <w:tblW w:w="10205" w:type="dxa"/>
        <w:jc w:val="left"/>
        <w:tblInd w:w="0" w:type="dxa"/>
        <w:tblCellMar>
          <w:top w:w="28" w:type="dxa"/>
          <w:left w:w="28" w:type="dxa"/>
          <w:bottom w:w="28" w:type="dxa"/>
          <w:right w:w="28" w:type="dxa"/>
        </w:tblCellMar>
      </w:tblPr>
      <w:tblGrid>
        <w:gridCol w:w="1526"/>
        <w:gridCol w:w="1342"/>
        <w:gridCol w:w="1343"/>
        <w:gridCol w:w="1752"/>
        <w:gridCol w:w="1752"/>
        <w:gridCol w:w="2490"/>
      </w:tblGrid>
      <w:tr>
        <w:trPr/>
        <w:tc>
          <w:tcPr>
            <w:tcW w:w="1526"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490" w:type="dxa"/>
            <w:tcBorders/>
            <w:shd w:fill="auto" w:val="clear"/>
            <w:vAlign w:val="center"/>
          </w:tcPr>
          <w:p>
            <w:pPr>
              <w:pStyle w:val="TableContents"/>
              <w:spacing w:before="0" w:after="283"/>
              <w:rPr>
                <w:sz w:val="4"/>
                <w:szCs w:val="4"/>
              </w:rPr>
            </w:pPr>
            <w:r>
              <w:rPr>
                <w:sz w:val="4"/>
                <w:szCs w:val="4"/>
              </w:rPr>
            </w:r>
          </w:p>
        </w:tc>
      </w:tr>
      <w:tr>
        <w:trPr/>
        <w:tc>
          <w:tcPr>
            <w:tcW w:w="421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609850" cy="14859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609850" cy="1485900"/>
                          </a:xfrm>
                          <a:prstGeom prst="rect">
                            <a:avLst/>
                          </a:prstGeom>
                        </pic:spPr>
                      </pic:pic>
                    </a:graphicData>
                  </a:graphic>
                </wp:inline>
              </w:drawing>
            </w:r>
          </w:p>
        </w:tc>
        <w:tc>
          <w:tcPr>
            <w:tcW w:w="5994"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32, 64 and 128</w:t>
            </w:r>
          </w:p>
          <w:p>
            <w:pPr>
              <w:pStyle w:val="TableContents"/>
              <w:spacing w:lineRule="auto" w:line="268" w:before="0" w:after="0"/>
              <w:ind w:left="0" w:right="0" w:hanging="360"/>
              <w:jc w:val="left"/>
              <w:rPr/>
            </w:pPr>
            <w:r>
              <w:rPr>
                <w:color w:val="000000"/>
              </w:rPr>
              <w:t>•</w:t>
            </w:r>
            <w:r>
              <w:rPr>
                <w:rFonts w:ascii="Times New Roman;sans-serif" w:hAnsi="Times New Roman;sans-serif"/>
                <w:b/>
                <w:color w:val="000000"/>
                <w:sz w:val="20"/>
              </w:rPr>
              <w:t xml:space="preserve">Range: </w:t>
            </w:r>
            <w:r>
              <w:rPr>
                <w:rFonts w:ascii="Times New Roman;sans-serif" w:hAnsi="Times New Roman;sans-serif"/>
                <w:b w:val="false"/>
                <w:color w:val="000000"/>
                <w:sz w:val="20"/>
              </w:rPr>
              <w:t xml:space="preserve">50 meters </w:t>
            </w:r>
          </w:p>
          <w:p>
            <w:pPr>
              <w:pStyle w:val="TableContents"/>
              <w:spacing w:lineRule="auto" w:line="268" w:before="0" w:after="0"/>
              <w:ind w:left="0" w:right="0" w:hanging="360"/>
              <w:jc w:val="left"/>
              <w:rPr/>
            </w:pPr>
            <w:r>
              <w:rPr>
                <w:color w:val="000000"/>
              </w:rPr>
              <w:t>•</w:t>
            </w:r>
            <w:r>
              <w:rPr>
                <w:rFonts w:ascii="Times New Roman;sans-serif" w:hAnsi="Times New Roman;sans-serif"/>
                <w:b/>
                <w:color w:val="000000"/>
                <w:sz w:val="20"/>
              </w:rPr>
              <w:t xml:space="preserve">Field of View (FoV): </w:t>
            </w:r>
            <w:r>
              <w:rPr>
                <w:rFonts w:ascii="Times New Roman;sans-serif" w:hAnsi="Times New Roman;sans-serif"/>
                <w:b w:val="false"/>
                <w:color w:val="000000"/>
                <w:sz w:val="20"/>
              </w:rPr>
              <w:t>90° vertical FoV &amp; 360° horizontal FoV</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Horizontal resolution (@ 10 Hz): 2048</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Precision: ±1.5 – 5 cm</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Points per second (@128 channels): </w:t>
            </w:r>
            <w:r>
              <w:rPr>
                <w:rFonts w:ascii="Times New Roman;sans-serif" w:hAnsi="Times New Roman;sans-serif"/>
                <w:b w:val="false"/>
                <w:color w:val="000000"/>
                <w:sz w:val="20"/>
              </w:rPr>
              <w:t>2.6 million</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 xml:space="preserve">Power consumption: </w:t>
            </w:r>
            <w:r>
              <w:rPr>
                <w:rFonts w:ascii="Times New Roman;sans-serif" w:hAnsi="Times New Roman;sans-serif"/>
                <w:b w:val="false"/>
                <w:color w:val="000000"/>
                <w:sz w:val="20"/>
              </w:rPr>
              <w:t>14 – 20 W</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Environmental protection: </w:t>
            </w:r>
            <w:r>
              <w:rPr>
                <w:rFonts w:ascii="Times New Roman;sans-serif" w:hAnsi="Times New Roman;sans-serif"/>
                <w:b w:val="false"/>
                <w:color w:val="000000"/>
                <w:sz w:val="20"/>
              </w:rPr>
              <w:t>IP68, IP69K</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Customization options: </w:t>
            </w:r>
            <w:r>
              <w:rPr>
                <w:rFonts w:ascii="Times New Roman;sans-serif" w:hAnsi="Times New Roman;sans-serif"/>
                <w:b w:val="false"/>
                <w:color w:val="000000"/>
                <w:sz w:val="20"/>
              </w:rPr>
              <w:t>30+</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Illustrative use cases: </w:t>
            </w:r>
            <w:r>
              <w:rPr>
                <w:rFonts w:ascii="Times New Roman;sans-serif" w:hAnsi="Times New Roman;sans-serif"/>
                <w:b w:val="false"/>
                <w:color w:val="000000"/>
                <w:sz w:val="20"/>
              </w:rPr>
              <w:t>Factory AGVs, Automated forklifts, Robo-taxis, Building security, Autonomous shuttles, Anonymous People counting</w:t>
            </w:r>
          </w:p>
        </w:tc>
      </w:tr>
      <w:tr>
        <w:trPr/>
        <w:tc>
          <w:tcPr>
            <w:tcW w:w="421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200275" cy="16764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200275" cy="1676400"/>
                          </a:xfrm>
                          <a:prstGeom prst="rect">
                            <a:avLst/>
                          </a:prstGeom>
                        </pic:spPr>
                      </pic:pic>
                    </a:graphicData>
                  </a:graphic>
                </wp:inline>
              </w:drawing>
            </w:r>
          </w:p>
        </w:tc>
        <w:tc>
          <w:tcPr>
            <w:tcW w:w="5994"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32, 64 and 128</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Range:</w:t>
            </w:r>
            <w:r>
              <w:rPr>
                <w:color w:val="000000"/>
              </w:rPr>
              <w:t xml:space="preserve"> </w:t>
            </w:r>
            <w:r>
              <w:rPr>
                <w:rFonts w:ascii="Times New Roman;sans-serif" w:hAnsi="Times New Roman;sans-serif"/>
                <w:b w:val="false"/>
                <w:color w:val="000000"/>
                <w:sz w:val="20"/>
              </w:rPr>
              <w:t>120 meters</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FoV:</w:t>
            </w:r>
            <w:r>
              <w:rPr>
                <w:color w:val="000000"/>
              </w:rPr>
              <w:t xml:space="preserve"> </w:t>
            </w:r>
            <w:r>
              <w:rPr>
                <w:rFonts w:ascii="Times New Roman;sans-serif" w:hAnsi="Times New Roman;sans-serif"/>
                <w:b w:val="false"/>
                <w:color w:val="000000"/>
                <w:sz w:val="20"/>
              </w:rPr>
              <w:t>45° vertical FoV &amp; 360° horizontal FoV</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Horizontal resolution (@ 10 Hz)</w:t>
            </w:r>
            <w:r>
              <w:rPr>
                <w:rFonts w:ascii="Times New Roman;sans-serif" w:hAnsi="Times New Roman;sans-serif"/>
                <w:b w:val="false"/>
                <w:color w:val="000000"/>
                <w:sz w:val="20"/>
              </w:rPr>
              <w:t>: 2048</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Precision</w:t>
            </w:r>
            <w:r>
              <w:rPr>
                <w:rFonts w:ascii="Times New Roman;sans-serif" w:hAnsi="Times New Roman;sans-serif"/>
                <w:b w:val="false"/>
                <w:color w:val="000000"/>
                <w:sz w:val="20"/>
              </w:rPr>
              <w:t>: ±0.7 – 5 cm</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Points per second</w:t>
            </w:r>
            <w:r>
              <w:rPr>
                <w:rFonts w:ascii="Times New Roman;sans-serif" w:hAnsi="Times New Roman;sans-serif"/>
                <w:b w:val="false"/>
                <w:color w:val="000000"/>
                <w:sz w:val="20"/>
              </w:rPr>
              <w:t>: 2.6 million</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Power consumption:</w:t>
            </w:r>
            <w:r>
              <w:rPr>
                <w:color w:val="000000"/>
              </w:rPr>
              <w:t xml:space="preserve"> </w:t>
            </w:r>
            <w:r>
              <w:rPr>
                <w:rFonts w:ascii="Times New Roman;sans-serif" w:hAnsi="Times New Roman;sans-serif"/>
                <w:b w:val="false"/>
                <w:color w:val="000000"/>
                <w:sz w:val="20"/>
              </w:rPr>
              <w:t>14 – 20 W</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Customization options:</w:t>
            </w:r>
            <w:r>
              <w:rPr>
                <w:color w:val="000000"/>
              </w:rPr>
              <w:t xml:space="preserve"> </w:t>
            </w:r>
            <w:r>
              <w:rPr>
                <w:rFonts w:ascii="Times New Roman;sans-serif" w:hAnsi="Times New Roman;sans-serif"/>
                <w:b w:val="false"/>
                <w:color w:val="000000"/>
                <w:sz w:val="20"/>
              </w:rPr>
              <w:t>30+</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Environmental protection:</w:t>
            </w:r>
            <w:r>
              <w:rPr>
                <w:color w:val="000000"/>
              </w:rPr>
              <w:t xml:space="preserve"> </w:t>
            </w:r>
            <w:r>
              <w:rPr>
                <w:rFonts w:ascii="Times New Roman;sans-serif" w:hAnsi="Times New Roman;sans-serif"/>
                <w:b w:val="false"/>
                <w:color w:val="000000"/>
                <w:sz w:val="20"/>
              </w:rPr>
              <w:t>IP68, IP69K</w:t>
            </w:r>
          </w:p>
          <w:p>
            <w:pPr>
              <w:pStyle w:val="TableContents"/>
              <w:spacing w:lineRule="auto" w:line="240" w:before="120" w:after="283"/>
              <w:ind w:left="0" w:right="0" w:hanging="360"/>
              <w:jc w:val="left"/>
              <w:rPr/>
            </w:pPr>
            <w:r>
              <w:rPr>
                <w:color w:val="000000"/>
              </w:rPr>
              <w:t>• </w:t>
            </w:r>
            <w:r>
              <w:rPr>
                <w:rFonts w:ascii="Times New Roman;sans-serif" w:hAnsi="Times New Roman;sans-serif"/>
                <w:b/>
                <w:color w:val="000000"/>
                <w:sz w:val="20"/>
              </w:rPr>
              <w:t>Illustrative use cases:</w:t>
            </w:r>
            <w:r>
              <w:rPr>
                <w:color w:val="000000"/>
              </w:rPr>
              <w:t xml:space="preserve"> </w:t>
            </w:r>
            <w:r>
              <w:rPr>
                <w:rFonts w:ascii="Times New Roman;sans-serif" w:hAnsi="Times New Roman;sans-serif"/>
                <w:b w:val="false"/>
                <w:color w:val="000000"/>
                <w:sz w:val="20"/>
              </w:rPr>
              <w:t>Last-mile delivery robots, Autonomous trucking, Autonomous mining vehicles, Autonomous agricultural vehicles, Autonomous buses, Autonomous drones, Traffic safety</w:t>
            </w:r>
          </w:p>
        </w:tc>
      </w:tr>
    </w:tbl>
    <w:tbl>
      <w:tblPr>
        <w:tblW w:w="10205" w:type="dxa"/>
        <w:jc w:val="left"/>
        <w:tblInd w:w="0" w:type="dxa"/>
        <w:tblCellMar>
          <w:top w:w="28" w:type="dxa"/>
          <w:left w:w="28" w:type="dxa"/>
          <w:bottom w:w="28" w:type="dxa"/>
          <w:right w:w="28" w:type="dxa"/>
        </w:tblCellMar>
      </w:tblPr>
      <w:tblGrid>
        <w:gridCol w:w="1521"/>
        <w:gridCol w:w="1337"/>
        <w:gridCol w:w="1338"/>
        <w:gridCol w:w="1756"/>
        <w:gridCol w:w="1756"/>
        <w:gridCol w:w="2497"/>
      </w:tblGrid>
      <w:tr>
        <w:trPr/>
        <w:tc>
          <w:tcPr>
            <w:tcW w:w="1521"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2497" w:type="dxa"/>
            <w:tcBorders/>
            <w:shd w:fill="auto" w:val="clear"/>
            <w:vAlign w:val="center"/>
          </w:tcPr>
          <w:p>
            <w:pPr>
              <w:pStyle w:val="TableContents"/>
              <w:spacing w:before="0" w:after="283"/>
              <w:rPr>
                <w:sz w:val="4"/>
                <w:szCs w:val="4"/>
              </w:rPr>
            </w:pPr>
            <w:r>
              <w:rPr>
                <w:sz w:val="4"/>
                <w:szCs w:val="4"/>
              </w:rPr>
            </w:r>
          </w:p>
        </w:tc>
      </w:tr>
      <w:tr>
        <w:trPr/>
        <w:tc>
          <w:tcPr>
            <w:tcW w:w="419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600325" cy="19907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600325" cy="1990725"/>
                          </a:xfrm>
                          <a:prstGeom prst="rect">
                            <a:avLst/>
                          </a:prstGeom>
                        </pic:spPr>
                      </pic:pic>
                    </a:graphicData>
                  </a:graphic>
                </wp:inline>
              </w:drawing>
            </w:r>
          </w:p>
        </w:tc>
        <w:tc>
          <w:tcPr>
            <w:tcW w:w="6009"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Resolution options (channels):</w:t>
            </w:r>
            <w:r>
              <w:rPr>
                <w:color w:val="000000"/>
              </w:rPr>
              <w:t xml:space="preserve"> </w:t>
            </w:r>
            <w:r>
              <w:rPr>
                <w:rFonts w:ascii="Times New Roman;sans-serif" w:hAnsi="Times New Roman;sans-serif"/>
                <w:b w:val="false"/>
                <w:color w:val="000000"/>
                <w:sz w:val="20"/>
              </w:rPr>
              <w:t>32, 64 and 128</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Range:</w:t>
            </w:r>
            <w:r>
              <w:rPr>
                <w:color w:val="000000"/>
              </w:rPr>
              <w:t xml:space="preserve"> </w:t>
            </w:r>
            <w:r>
              <w:rPr>
                <w:rFonts w:ascii="Times New Roman;sans-serif" w:hAnsi="Times New Roman;sans-serif"/>
                <w:b w:val="false"/>
                <w:color w:val="000000"/>
                <w:sz w:val="20"/>
              </w:rPr>
              <w:t>240 meters</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FoV: </w:t>
            </w:r>
            <w:r>
              <w:rPr>
                <w:rFonts w:ascii="Times New Roman;sans-serif" w:hAnsi="Times New Roman;sans-serif"/>
                <w:b w:val="false"/>
                <w:color w:val="000000"/>
                <w:sz w:val="20"/>
              </w:rPr>
              <w:t>22.5° vertical FoV &amp; 360° horizontal FoV</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Horizontal resolution (@ 10 Hz): </w:t>
            </w:r>
            <w:r>
              <w:rPr>
                <w:rFonts w:ascii="Times New Roman;sans-serif" w:hAnsi="Times New Roman;sans-serif"/>
                <w:b w:val="false"/>
                <w:color w:val="000000"/>
                <w:sz w:val="20"/>
              </w:rPr>
              <w:t>2048</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Precision:</w:t>
            </w:r>
            <w:r>
              <w:rPr>
                <w:color w:val="000000"/>
              </w:rPr>
              <w:t xml:space="preserve"> </w:t>
            </w:r>
            <w:r>
              <w:rPr>
                <w:rFonts w:ascii="Times New Roman;sans-serif" w:hAnsi="Times New Roman;sans-serif"/>
                <w:b w:val="false"/>
                <w:color w:val="000000"/>
                <w:sz w:val="20"/>
              </w:rPr>
              <w:t>±2.5 – 8 cm</w:t>
            </w:r>
          </w:p>
          <w:p>
            <w:pPr>
              <w:pStyle w:val="TableContents"/>
              <w:spacing w:lineRule="auto" w:line="276" w:before="0" w:after="0"/>
              <w:ind w:left="0" w:right="0" w:hanging="360"/>
              <w:jc w:val="left"/>
              <w:rPr/>
            </w:pPr>
            <w:r>
              <w:rPr>
                <w:color w:val="000000"/>
              </w:rPr>
              <w:t>•</w:t>
            </w:r>
            <w:r>
              <w:rPr>
                <w:rFonts w:ascii="Times New Roman;sans-serif" w:hAnsi="Times New Roman;sans-serif"/>
                <w:b/>
                <w:color w:val="000000"/>
                <w:sz w:val="20"/>
              </w:rPr>
              <w:t xml:space="preserve">Points per second (@128 channels): </w:t>
            </w:r>
            <w:r>
              <w:rPr>
                <w:rFonts w:ascii="Times New Roman;sans-serif" w:hAnsi="Times New Roman;sans-serif"/>
                <w:b w:val="false"/>
                <w:color w:val="000000"/>
                <w:sz w:val="20"/>
              </w:rPr>
              <w:t>2.6 million</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Power consumption:</w:t>
            </w:r>
            <w:r>
              <w:rPr>
                <w:color w:val="000000"/>
              </w:rPr>
              <w:t xml:space="preserve"> </w:t>
            </w:r>
            <w:r>
              <w:rPr>
                <w:rFonts w:ascii="Times New Roman;sans-serif" w:hAnsi="Times New Roman;sans-serif"/>
                <w:b w:val="false"/>
                <w:color w:val="000000"/>
                <w:sz w:val="20"/>
              </w:rPr>
              <w:t>18 – 24 W</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Customization options: </w:t>
            </w:r>
            <w:r>
              <w:rPr>
                <w:rFonts w:ascii="Times New Roman;sans-serif" w:hAnsi="Times New Roman;sans-serif"/>
                <w:b w:val="false"/>
                <w:color w:val="000000"/>
                <w:sz w:val="20"/>
              </w:rPr>
              <w:t>15+</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Environmental protection: </w:t>
            </w:r>
            <w:r>
              <w:rPr>
                <w:rFonts w:ascii="Times New Roman;sans-serif" w:hAnsi="Times New Roman;sans-serif"/>
                <w:b w:val="false"/>
                <w:color w:val="000000"/>
                <w:sz w:val="20"/>
              </w:rPr>
              <w:t>IP68, IP69K</w:t>
            </w:r>
          </w:p>
          <w:p>
            <w:pPr>
              <w:pStyle w:val="TableContents"/>
              <w:spacing w:lineRule="auto" w:line="240" w:before="120" w:after="283"/>
              <w:ind w:left="0" w:right="0" w:hanging="360"/>
              <w:jc w:val="left"/>
              <w:rPr/>
            </w:pPr>
            <w:r>
              <w:rPr>
                <w:color w:val="000000"/>
              </w:rPr>
              <w:t>•</w:t>
            </w:r>
            <w:r>
              <w:rPr>
                <w:rFonts w:ascii="Times New Roman;sans-serif" w:hAnsi="Times New Roman;sans-serif"/>
                <w:b/>
                <w:color w:val="000000"/>
                <w:sz w:val="20"/>
              </w:rPr>
              <w:t>Illustrative use cases:</w:t>
            </w:r>
            <w:r>
              <w:rPr>
                <w:color w:val="000000"/>
              </w:rPr>
              <w:t xml:space="preserve"> </w:t>
            </w:r>
            <w:r>
              <w:rPr>
                <w:rFonts w:ascii="Times New Roman;sans-serif" w:hAnsi="Times New Roman;sans-serif"/>
                <w:b w:val="false"/>
                <w:color w:val="000000"/>
                <w:sz w:val="20"/>
              </w:rPr>
              <w:t>Autonomous trucking, Robo-taxis, Autonomous shuttles, Traffic analytics, Autonomous mining, Building security</w:t>
            </w:r>
          </w:p>
        </w:tc>
      </w:tr>
    </w:tbl>
    <w:p>
      <w:pPr>
        <w:pStyle w:val="TextBody"/>
        <w:spacing w:before="120" w:after="283"/>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Product customization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Within our OS sensor models, we offer numerous customization options, all enabled by embedded software. For each of our three models, we offer resolution options of 128 lines vertically (“channels”), 64 channels, or 32 channels. Additionally, within the 64 and 32 channel options, we offer further customization to determine the channels are distributed throughout the vertical field-of-view. These options for beam spacing are: uniform (evenly distributed channels), gradient (denser channels around the center of the vertical field-of-view and sparser by the top and bottom edges), below horizon (evenly spaced on the bottom half of the field of view), and above horizon (evenly spaced in the top half of the field-of-view). Illustrative beam spacing options for the OS1 model are found below:</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before="120" w:after="283"/>
        <w:rPr/>
      </w:pPr>
      <w:r>
        <w:rPr/>
        <w:drawing>
          <wp:inline distT="0" distB="63500" distL="0" distR="0">
            <wp:extent cx="6286500" cy="12668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286500" cy="1266825"/>
                    </a:xfrm>
                    <a:prstGeom prst="rect">
                      <a:avLst/>
                    </a:prstGeom>
                  </pic:spPr>
                </pic:pic>
              </a:graphicData>
            </a:graphic>
          </wp:inline>
        </w:drawing>
      </w:r>
    </w:p>
    <w:p>
      <w:pPr>
        <w:pStyle w:val="TextBody"/>
        <w:spacing w:before="120" w:after="283"/>
        <w:rPr/>
      </w:pPr>
      <w:r>
        <w:rPr/>
        <w:drawing>
          <wp:inline distT="0" distB="63500" distL="0" distR="0">
            <wp:extent cx="6286500" cy="13430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6286500" cy="1343025"/>
                    </a:xfrm>
                    <a:prstGeom prst="rect">
                      <a:avLst/>
                    </a:prstGeom>
                  </pic:spPr>
                </pic:pic>
              </a:graphicData>
            </a:graphic>
          </wp:inline>
        </w:drawing>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beam spacing options, we also offer a “Privacy Mode” configuration which removes data that could potentially be used for facial recognition purposes. Through our existing and future embedded software, we anticipate offering additional customization options to our customers as demand arises. Because these configurations are offered through software, the incremental cost of additional options is lower than designing new hardware, giving us operational flexibility to respond to market demand.</w:t>
      </w:r>
    </w:p>
    <w:p>
      <w:pPr>
        <w:pStyle w:val="TextBody"/>
        <w:spacing w:lineRule="auto" w:line="288" w:before="360" w:after="283"/>
        <w:rPr/>
      </w:pPr>
      <w:r>
        <w:rPr>
          <w:rFonts w:ascii="Times New Roman;sans-serif" w:hAnsi="Times New Roman;sans-serif"/>
          <w:b/>
          <w:color w:val="000000"/>
          <w:sz w:val="20"/>
          <w:highlight w:val="white"/>
        </w:rPr>
        <w:t>DF</w:t>
      </w:r>
      <w:r>
        <w:rPr>
          <w:color w:val="000000"/>
          <w:highlight w:val="white"/>
        </w:rPr>
        <w:t xml:space="preserve"> </w:t>
      </w:r>
      <w:r>
        <w:rPr>
          <w:rFonts w:ascii="Times New Roman;sans-serif" w:hAnsi="Times New Roman;sans-serif"/>
          <w:b/>
          <w:i/>
          <w:color w:val="000000"/>
          <w:sz w:val="20"/>
          <w:highlight w:val="white"/>
        </w:rPr>
        <w:t>product line</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DF series is a suite of short, mid, and long-range solid-state digital lidar sensors. The true solid-state DF series is built for best-in-class reliability, durability, and affordability. The DF series is designed to meet automaker requirements for ADAS and automated driving, while seamlessly integrating into the vehicle architecture and design. We expect to make the DF series available for consumer vehicles starting production in 2025. The Company is already shipping functional prototypes and samples to OEMs and Tier 1s partners.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DF product line was specifically engineered to meet consumer ADAS performance requirements and certifications related to automotive functional safety and reliability. Its key features include high resolution sensors, adaptability, and scalability. </w:t>
      </w:r>
    </w:p>
    <w:p>
      <w:pPr>
        <w:pStyle w:val="TextBody"/>
        <w:spacing w:lineRule="auto" w:line="288" w:before="120" w:after="283"/>
        <w:rPr/>
      </w:pPr>
      <w:r>
        <w:rPr>
          <w:rFonts w:ascii="Times New Roman;sans-serif" w:hAnsi="Times New Roman;sans-serif"/>
          <w:b w:val="false"/>
          <w:i/>
          <w:color w:val="000000"/>
          <w:sz w:val="20"/>
          <w:highlight w:val="white"/>
        </w:rPr>
        <w:t>High resolution.</w:t>
      </w:r>
      <w:r>
        <w:rPr>
          <w:color w:val="000000"/>
          <w:highlight w:val="white"/>
        </w:rPr>
        <w:t xml:space="preserve"> </w:t>
      </w:r>
      <w:r>
        <w:rPr>
          <w:rFonts w:ascii="Times New Roman;sans-serif" w:hAnsi="Times New Roman;sans-serif"/>
          <w:b w:val="false"/>
          <w:color w:val="000000"/>
          <w:sz w:val="20"/>
          <w:highlight w:val="white"/>
        </w:rPr>
        <w:t>The patented breakthrough solid-state digital flash architecture produces high-resolution 3D point clouds.</w:t>
      </w:r>
    </w:p>
    <w:p>
      <w:pPr>
        <w:pStyle w:val="TextBody"/>
        <w:spacing w:lineRule="auto" w:line="288" w:before="120" w:after="283"/>
        <w:rPr/>
      </w:pPr>
      <w:r>
        <w:rPr>
          <w:rFonts w:ascii="Times New Roman;sans-serif" w:hAnsi="Times New Roman;sans-serif"/>
          <w:b w:val="false"/>
          <w:i/>
          <w:color w:val="000000"/>
          <w:sz w:val="20"/>
          <w:highlight w:val="white"/>
        </w:rPr>
        <w:t>Adaptability.</w:t>
      </w:r>
      <w:r>
        <w:rPr>
          <w:color w:val="000000"/>
          <w:highlight w:val="white"/>
        </w:rPr>
        <w:t xml:space="preserve"> </w:t>
      </w:r>
      <w:r>
        <w:rPr>
          <w:rFonts w:ascii="Times New Roman;sans-serif" w:hAnsi="Times New Roman;sans-serif"/>
          <w:b w:val="false"/>
          <w:color w:val="000000"/>
          <w:sz w:val="20"/>
          <w:highlight w:val="white"/>
        </w:rPr>
        <w:t xml:space="preserve">The multi-sensor suite is a flexible platform that can be easily adapted to different form-factors and sensor configurations to provide varying ranges, fields of view, and vehicle design freedoms – all with a simple change in optics or housing. </w:t>
      </w:r>
    </w:p>
    <w:p>
      <w:pPr>
        <w:pStyle w:val="TextBody"/>
        <w:spacing w:lineRule="auto" w:line="288" w:before="120" w:after="283"/>
        <w:rPr/>
      </w:pPr>
      <w:r>
        <w:rPr>
          <w:rFonts w:ascii="Times New Roman;sans-serif" w:hAnsi="Times New Roman;sans-serif"/>
          <w:b w:val="false"/>
          <w:i/>
          <w:color w:val="000000"/>
          <w:sz w:val="20"/>
          <w:highlight w:val="white"/>
        </w:rPr>
        <w:t>Scalability.</w:t>
      </w:r>
      <w:r>
        <w:rPr>
          <w:color w:val="000000"/>
          <w:highlight w:val="white"/>
        </w:rPr>
        <w:t xml:space="preserve"> </w:t>
      </w:r>
      <w:r>
        <w:rPr>
          <w:rFonts w:ascii="Times New Roman;sans-serif" w:hAnsi="Times New Roman;sans-serif"/>
          <w:b w:val="false"/>
          <w:color w:val="000000"/>
          <w:sz w:val="20"/>
          <w:highlight w:val="white"/>
        </w:rPr>
        <w:t>The true solid-state DF product line is highly manufacturable and offers the durability, reliability, and affordability needed for automotive series production.We are offering individual solid-state sensors as well as a multi-sensor lidar suite at a price point that we believe could enable broad adoption in consumer vehicles. We believe that we are well-positioned to deliver on OEM requirements with a single supplier offering, reducing overall costs and making us a preferred potential partner for both automotive OEMs and Tier 1s.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Product Roadmap And Development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digital lidar technology is core to our products. By transitioning to our digital architecture, we expect our product improvements will be primarily driven by improvements to our semiconductors—the receiver SoC and VCSEL laser array—instead of through complete redesigns of our sensors or further significant changes in architecture.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expect to maintain our OS product line with our three current sensor models. Our product roadmap primarily consists of designing, fabricating and integrating improved semiconductors into the OS product line, which we expect to improve the range and resolution of our sensors, among other features, while making no major changes to the form factor of our sensors.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already shipped functional forward-facing prototypes for the automotive ADAS market and intend to release our first prototypes as early as 2022. After the initial release, we anticipate our DF product line will improve in performance over time as we improve our core SoC and laser components.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target four markets globally: industrial; smart infrastructure; robotics; and automotive. In total, we shipped sensors to over 600 paying customers in 2021 across these diversified end markets. For the year ended December 31, 2021, no single customer accounted for more than 10% of our revenue from product sales.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Industrial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in the industrial market are generally engaged in the manufacturing, operation, or after-market modification of heavy industrial machinery, which includes mining vehicles, construction vehicles, agricultural vehicles, and port machinery among other machines. Lidar is used on heavy machinery to enable autonomous usage of the machinery and to improve worker safety. We believe that our industrial customers value the high resolution, range, small form factor, and high reliability of our digital lidar sensors.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Smart Infrastructure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in the smart infrastructure market are generally engaged in the monitoring and analysis of pedestrian and vehicle movements for the purpose of providing building security, improving road user safety, and increasing roadway efficiency. This market includes federal, state, and local governments as well as private commercial businesses. For our smart infrastructure customers, digital lidar provides accurate spatial data, immunity to low lighting conditions, and privacy protection, which are all areas where traditional cameras may struggle. We believe that our smart infrastructure customers value the high resolution, 360° horizontal field-of-view, and high reliability of our digital lidar sensors.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Robotics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in the robotics industry are generally engaged in the design, production, operation, or after-market modification of small mobile human-less vehicles, which includes wheeled robots, legged robots, and drones among other vehicles. Our customers in the robotics market include both commercial entities and nonprofit entities, such as research institutions. Our customers in the robotics market are installing lidar sensors for autonomous navigation, collision avoidance, and mapping in order to provide services such as last-mile delivery, street sweeping, and asset inspection. We believe our robotics customers value the high resolution, wide vertical field-of-view, and high reliability of our digital lidar sensors.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Automotive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in the automotive industry fall into two categories: customers developing various forms of self-driving technology for driverless mobility and freight applications, and companies developing consumer ADAS. Both groups are generally engaged in the design, production, manufacture, operation, or after-market modification of automobiles, which includes consumer and commercial vehicles, commercial heavy trucks, and buses among other vehicles. Automotive customers use lidar as a core component in ADAS and for autonomous driving. We believe that our automotive customers value the high resolution, high reliability, and cost of our digital lidar technology.</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strengths will allow us to maintain and extend our position as a leading provider in high-resolution lidar solutions.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Patented digital lidar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invented and patented our digital lidar technology beginning in 2015 and have since launched a suite of products built on a shared architecture that are competitive with legacy analog lidar. We believe that our lidar technology breaks the link between cost and performance in the lidar industry. Our proprietary SoC replaces hundreds to thousands of discrete components with a single tightly integrated SPAD receiver array, and our high-efficiency VCSEL array integrates every laser into a single die. Moreover, our patented micro-optical system increases digital lidar performance by the equivalent of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orders-of-magnitude increase in detector efficiency. We believe that this architecture will allow us to continue to increase sensor performance while reducing its cost for many years to come. The Sense acquisition enabled us to acquire significant intellectual property, which we believe will distinguish us in the digital lidar space and provides a strong moat around our solid-state DF sensors.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High performance at an affordable price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we introduce future generations of our proprietary SoC, we expect to be able to offer improved resolution, range, precision, reliability, and unlock new data types. Our simple digital architecture shared across our products results in a single manufacturing process and common supply chain for all of our sensor models that we believe results in cost advantages that help us offer lower prices to our customers while maintaining gross margins.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Flexible and scalable product architecture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employ a software-defined architecture, enabling rapid customization in the software layer, and a simple shared hardware architecture for scalable manufacturing. With software-defined products continuing to drive low-cost customization, we expect to develop new SKUs for industry-specific applications, expanding our product offering without requiring significant manufacturing or inventory changes.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Large and diversified customer base</w:t>
      </w:r>
    </w:p>
    <w:p>
      <w:pPr>
        <w:pStyle w:val="TextBody"/>
        <w:spacing w:lineRule="auto" w:line="288" w:before="120" w:after="283"/>
        <w:rPr/>
      </w:pPr>
      <w:r>
        <w:rPr>
          <w:rFonts w:ascii="Times New Roman;sans-serif" w:hAnsi="Times New Roman;sans-serif"/>
          <w:b w:val="false"/>
          <w:color w:val="000000"/>
          <w:sz w:val="20"/>
        </w:rPr>
        <w:t>We sold sensors to ove</w:t>
      </w:r>
      <w:r>
        <w:rPr>
          <w:rFonts w:ascii="Times New Roman;sans-serif" w:hAnsi="Times New Roman;sans-serif"/>
          <w:b w:val="false"/>
          <w:color w:val="000000"/>
          <w:sz w:val="20"/>
          <w:highlight w:val="white"/>
        </w:rPr>
        <w:t xml:space="preserve">r 600 paying </w:t>
      </w:r>
      <w:r>
        <w:rPr>
          <w:rFonts w:ascii="Times New Roman;sans-serif" w:hAnsi="Times New Roman;sans-serif"/>
          <w:b w:val="false"/>
          <w:color w:val="000000"/>
          <w:sz w:val="20"/>
        </w:rPr>
        <w:t>customers worldwide in 2021 and no single customer accounted for more than 10% of our revenue in that time period. We believe that the diversity of our customer base and our presence in all four of our targeted markets gives Ouster several advantages. First, our customer and market diversity add stability to our business. By diversifying our customer base, we are able to reduce our exposure to the risk of customer development delays or regulatory changes that may affect our sales to a single customer or in a particular market rather than all four of the targeted markets. Second, we believe that a large, diverse customer base will ultimately result in more engaged customers purchasing our products and help us to achieve higher sales more quickly than other companies that depend on a smaller set of customers in fewer markets. As we increase our sales volume, we expect our cost per sensor to decrease, allowing us to compete more effectively in each of the targeted markets. Finally, we believe our early entrance into non-automotive markets will enable us to gain market-specific expertise, informing our product development decisions so that we may more effectively customize our products’ fit for the end market customers’ needs. We also believe that our early entrance into our targeted markets affords us the opportunity to establish strong relationships globally with key customers in each market.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Volume manufacturing today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achieve our vision of making lidar technology widely adopted, we designed our technology for high-volume manufacturing. We are successfully expanding our manufacturing capacity by outsourcing manufacturing to the Thailand facility of our manufacturing partner Benchmark. We believe our relationship with Benchmark provides a myriad of benefits, including the ability to leverage Benchmark’s manufacturing capacity to help us scale our production.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Digital solid-state technology positioned to capture automotive scale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expect that our prospective customers in the ADAS market will select lidar suppliers primarily based on the anticipated ability to meet performance, reliability, design, and cost requirements. We believe that the true solid-state digital lidar technology in our DF sensors will meet these performance, reliability, design, and cost requirements of the ADAS market, and lead to production wins and growth in this segment.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Highly reliable and rugged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high performance, comparatively low cost, and high customization flexibility, our sensors are designed to be highly reliable. Our OS product line of sensors have achieved the highest ingress ratings in the industry—IP68 and IP69K—meaning they can survive submersion in up to 1 meter of water for 30 minutes and withstand high-temperature power washing. We believe Ouster has one of the lowest field failure rates in the industry, which reduces the total cost of ownership for our sensors. We believe that the high component count of certain analog sensors may cause these sensors to have higher field failure rates and may require recalibration from time-to-time at the expense of the customer, causing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downtime in the field and requiring an inventory of spare lidar parts. We expect our digital technology will significantly reduce these added expenses in both time and money and enable higher revenue and platform utilization by our customers.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Comprehensive IP portfolio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digital technology is backed by a comprehensive suite of patent protections. We own numerous issued patents and pending patent applications. As of December 31, 2021, we held more than 50 U.S. patents. We believe these technology breakthroughs are central to our competitive advantage, dramatically improving sensor performance while making our approach difficult to replicate.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Visionary management team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Innovation is central to our corporate culture. Our co-founders Angus Pacala and Mark Frichtl have over 15 years of combined experience in lidar engineering. In collaboration with our executive management team, they drive our vision and corporate strategy. We believe that the digital lidar technology invented by our founders will continue to drive significant improvements in autonomous technology. As the company has developed, we have built a strong supporting team, adding leaders in sales, marketing, operations, engineering, manufacturing, legal, and finance.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Our Growth Strategies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is based upon three components: the attractive performance and cost economics of our digital lidar technology, the introduction of value-added software, and focused commercial execution.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Today, our digital lidar technology powers OS and DF sensors that are high performance, highly customizable, reliable, and available at a competitive price point. As we continue to upgrade the SoCs powering our OS and DF sensors, we expect to improve the performance of our sensors without significant negative impact to sensor cost or form factor. We plan to leverage this dynamic to grow our sensor sales by steadily improving our product performance while consistently maintaining a competitive price point.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the introduction of value-added software that aids in the processing of lidar data presents a significant growth opportunity. For existing lidar users, software to aid in the processing of lidar data has the potential to decrease development time and improve system performance. For customers who lack expertise in lidar technology, the introduction software to aid in the processing of lidar data will remove a significant barrier to their adoption of lidar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sensor and software growth opportunities, we believe we have opportunity to increase our growth through commercial execution excellence. Through building a commercial organization with highly-skilled employees and efficient processes and systems, we believe we can improve our customer acquisition, accelerate existing customer growth, increase sales through distribution networks, and build valuable strategic partnerships.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saw strong growth in customers and strategic customer agreements across each of our four verticals and throughout the Americas, Asia Pacific, Europe and the Middle East. The automotive vertical, which includes robotaxi, robotrucking, shuttles and buses, and consumer ADAS, accounted for 34% of sensors shipped in 2021. The industrial vertical which includes material handling, off-highway equipment, and factory automation accounted for 25% of sensors shipped in 2021. We saw the strongest growth in smart infrastructure, which accounted for 15% of sensors shipped in 2021 to support 86 deployed projects within our intelligent transportation systems, smart places and security sub-markets. We were also selected for 24 additional smart infrastructure projects in 2021 that are scheduled to be shipped after 2021. Finally, robotics accounted for 26% of sensors shipped in 2021.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Key elements of our growth strategy include: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Execute on our product roadmap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place a priority on innovation and product development. We plan to continue improving our product performance and adding unique functionality while maintaining a competitive price point. We believe our improving products at a consistently competitive price positions us to win new and expanded business opportunities in our target markets over time.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Commercialize digital lidar for emerging automotive opportunity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when our planned cost-reduced solid-state DF sensor is released, it will meet the automotive industry’s long-term requirements for performance, cost, and reliability in ADAS applications. As development progresses, we will strive to build and maintain relationships with global automotive OEMs and Tier 1s to further build demand.</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Increase investment in software development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Developing software to ingest and make use of lidar data is a complex task. Many of our existing customers have software development and artificial intelligence expertise, yet can spend many months developing software for a single type of lidar sensor. We plan to build software to save our technically advanced customers time in the development of lidar processing algorithms. Furthermore, for less technically advanced customers, they may be unable to make use of a lidar sensor due to a lack of expertise. We plan to build full software solutions to enable these customers to unlock the benefits of lidar technology. We intend to increase our investment in software development in order to accelerate this effort.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Expand our worldwide sales and marketing presence</w:t>
      </w:r>
    </w:p>
    <w:p>
      <w:pPr>
        <w:pStyle w:val="TextBody"/>
        <w:spacing w:lineRule="auto" w:line="288" w:before="120" w:after="283"/>
        <w:rPr/>
      </w:pPr>
      <w:r>
        <w:rPr>
          <w:rFonts w:ascii="Times New Roman;sans-serif" w:hAnsi="Times New Roman;sans-serif"/>
          <w:b w:val="false"/>
          <w:color w:val="000000"/>
          <w:sz w:val="20"/>
        </w:rPr>
        <w:t>We shipped sensors to ove</w:t>
      </w:r>
      <w:r>
        <w:rPr>
          <w:rFonts w:ascii="Times New Roman;sans-serif" w:hAnsi="Times New Roman;sans-serif"/>
          <w:b w:val="false"/>
          <w:color w:val="000000"/>
          <w:sz w:val="20"/>
          <w:highlight w:val="white"/>
        </w:rPr>
        <w:t xml:space="preserve">r 600 paying </w:t>
      </w:r>
      <w:r>
        <w:rPr>
          <w:rFonts w:ascii="Times New Roman;sans-serif" w:hAnsi="Times New Roman;sans-serif"/>
          <w:b w:val="false"/>
          <w:color w:val="000000"/>
          <w:sz w:val="20"/>
        </w:rPr>
        <w:t xml:space="preserve">customers worldwide in 2021. To further grow our market share in our target markets, we intend to strategically hire globally, scaling our commercial team to serve the needs of each end market. As our market presence grows through targeted sales and marketing activity, we believe our customer base will grow. In addition, we are increasingly cross-selling within accounts, accessing new projects and opportunities within accounts where we have a beachhead position and increasing the number of addressable opportunities even within single accounts.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Grow sales volumes from existing accounts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aim to create an established customer base in each of our four target markets that can be further strengthened as our relationships with customers mature. As our customers move through our pipeline from benchtop evaluation to pilot evaluation to pre-production, and finally, to production—we believe our order volumes will increase at each stage in the sales process. We expect that moving to series production can provide a material increase of up to several orders of magnitude in annual sales volume for each given customer program. Sales for these programs are often, but not always, memorialized in multi-year contracts that provide a closer relationship to the customer and increased growth opportunities for us.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Expand our distribution network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majority of our sales are direct to customers, we also sell our sensors through an international distribution network. We believe these distributors enable us to reach more end customers in an operationally efficient manner. We plan to grow our existing network and establish new distribution partnerships in regions where we do not currently have partnerships. By leveraging these relationships, we believe we will be able to reach more customers faster and rapidly grow our sales.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Expand our partner ecosystem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Effectively integrating and using a lidar sensor can be a complex task for some end customers. An ecosystem of value-added software and integrator companies is growing across the world, offering perception software and tailored solutions for our target markets. We have relationships with many of these companies, and have collaborated with some of them to develop software and services based on our sensors. In collaboration with our value-added software and integrator partners, we intend to further develop complementary solutions and integration services that we believe will give us access to customers seeking out technical know-how and we expect that this will accelerate our sales growth.</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Pursue strategic acquisitions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pursue acquisitions as a means to complement our technology and digital lidar architecture if they represent a strategic fit and are consistent with our overall growth strategy. For example, in October 2021, we completed the acquisition of Sense and formally established Ouster Automotive, a new functional division of the Company focusing on driving mass-market adoption of digital lidar in consumer and commercial vehicles. While we see significant and growing demand for our products today, we believe such acquisitions can create more expansive use cases for our products, provide greater access to our current target markets, or enable us to access additional markets.</w:t>
      </w: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 time in streamlining our production process. Our optical alignment processes are partially or completely automated, which reduces manufacturing time and increases our production output. Our sensors also undergo an application-focused final test, which allows us to understand the real-world performance of our sensors before they are shipped to customers, reducing returned merchandise costs. Ouster has also invested in building manufacturing process control systems. Today, we have real-time manufacturing visibility on every sensor produced in Thailand due to our integrated data stores and dashboards. All of this results in lowered labor and overhead cost per unit, with repeatable, scalable, and predictable quality.</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Benchmark Manufacturing Services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March 2018, we entered into a manufacturing services agreement with Benchmark, pursuant to which Benchmark has agreed to provide certain manufacturing and related services for the production of our digital lidar sensors, including procuring materials and assembling and testing finished products.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initial term of the agreement expired in March 2020, but the term of the agreement automatically extends for additional one-year periods until either we or Benchmark provide notice of non-renewal at least 90 days prior to the end of the then-current term or extension. Among other things, either party may terminate the agreement for convenience upon one-year notice to the other party. Either party may also terminate the agreement under certain other customary conditions, including for uncured breaches of the agreement or if the other party if the other party materials breaches the agreement or in the event of the other party’s insolvency.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services provided under the agreement, we have agreed to indemnify Benchmark against certain claims, including infringement of third-party intellectual property rights and noncompliance of our products with safety or other regulations.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market for lidar solutions for autonomous applications is an emerging market, with many potential applications in the development stage. As a result, we face competition from a range of companies developing lidar solutions for incorporation into these developing applications, some of which may be similar to ours. Additionally, some of our targeted customers may have their own internal lidar development programs. Although we believe our digital solutions and innovation support our position as a market leader, we have and will continue to face competition from existing competitors and new companies developing lidar solutions for the industrial, smart infrastructure, robotics and automotive industries.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we may encounter companies that are independently developing lidar solutions, we believe we compete favorably on the basis of the simplified and flexible digital architecture of our product design, our comparatively low customization costs, our commercial traction, and our comprehensive suite of patented technology. Additionally, we expect our product costs per unit to continue to decrease over time as production volume expands.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maintain a global sales presence and sell directly to the majority of our customers. We have grown our commercial team across the Americas, Europe, Middle East and Africa, and Asia and Pacific markets and brought on experienced leaders to develop a focused sales organization geared towards ramping our sales pipeline. We plan to continue expanding our sales and marketing efforts to attract new customers and grow orders from existing customers. Members of our sales team typically focus most of their effort in one of our target markets, allowing them to learn from customers and gain subject matter expertise.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While we maintain direct relationships with the majority of our customers, we have also developed a global network of active direct dealers and distributors to sell, install and support our solutions. We collect feedback directly from our customers to generate insights that drive our business and products. We will continue to expand and optimize our dealer network to ensure that we have sufficient geographic coverage across both existing and new markets.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take a targeted marketing approach to each of our four focused markets. We develop and publish digital content designed to educate and equip our audience to use Ouster’s products, and selectively use other digital channels and advertising to attract customers. We leverage opportunities to present and speak at market-specific conferences, executive events, trade shows and industry events to further develop our brand and reputation. These opportunities also allow us to showcase our technology and attract additional customer interest. From time to time, we sponsor universities and other non-profit organizations to increase awareness of our technology and showcase its capabilities.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 resources into research and development of our lidar-based technologies. We believe our ability to maintain a leadership position depends in part on our ongoing research and development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are primarily based in San Francisco, California, and Edinburgh, Scotland. Our research and development team is responsible for the design, development, manufacturing and testing of our products. We focus our efforts on the development of digital lidar technology, software functionality, solutions, and innovative manufacturing technologies. The research and development team also partners with our operations and supply chain teams to develop scalable and reliable manufacturing processes and aid in supply chain planning and diversification. Our team consists of engineers, technicians, scientists, operators and professionals with experience from a wide variety of the world’s leading sensing, engineering, consumer electronics, and automotive organizations.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our success, competitive advantages, and growth prospects depend in part upon our ability to develop and protect our core technology and intellectual property. We have built a portfolio of intellectual property, including issued patents and registered trademarks, copyrights, confidential technical information, and expertise in the development of lidar technology and software.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digital technology is backed by a comprehensive suite of patent protections. We own numerous issued patents and pending patent applications. As of December 31, 2021, we held more than 50 U.S. patents, and 19 foreign patents in Australia, China, Japan, Russia, South Africa, South Korea, Singapore, and Taiwan. The earliest of our patents are expected to expire in 2036. Our patents contain a broad range of claims related to devices and methods for implementing digital lidar, among other things. Our patents cover our micro-optic technology that enables improved digital lidar performance; our digital lidar architecture combining VSCELs and SPADs; our data processing circuits for in-silicon digital signal processing; and our lidar-camera convergence, combining active and passive sensing technologies. We believe these technology breakthroughs are central to our competitive advantage and dramatically improve sensor performance while making our approach difficult to replicate.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actively seeking patent protection covering inventions originating from us, from time to time, we review opportunities to acquire or in-license patents to the extent we believe such patents may be useful or relevant to our business. We currently have an exclusive license to over 250 patents and patent applications worldwide.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lidar technology company, we are subject to the Electronic Product Radiation Control Provisions of the Federal Food, Drug, and Cosmetic Act. These requirements are enforced by the U.S. Food and Drug Administration (“FDA”). Electronic product radiation includes laser technology. Regulations governing these products are intended to protect the public from hazardous or unnecessary exposure. Manufacturers are required to certify in product labeling and reports to the FDA that their products comply with applicable performance standards as well as maintain manufacturing, testing and distribution records for their products. Furthermore, we are also subject to similar internationally harmonized standards and regulations governing the safe use of laser products. Based upon successful evaluations of the applicable laser products, followed by written attestation by international third-party certification agencies, manufacturers are required to create Self Declarations of Compliance (“SDOC”) of their products to such regulations, and label their products accordingly.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and solutions are also subject to U.S. and foreign trade and customs product classifications,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Similarly, we are also subject to sourcing regulations such as the requirements under the Dodd-Frank Wall Street Reform and Consumer Protection Act of 2010 and the EU Conflict Minerals Regulation 2017/821, that will require us to carefully monitor our supply chain. The implementation of these requirements could adversely affect the sourcing, availability and pricing of the materials that may be used in the manufacture of components used in our products.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may use our products in applications that are regulated and/or subject to industry standards. Such applications require that our products comply with the applicable regulations and standards, including, but not limited to, functional safety, cybersecurity, product safety and product performance standards. For example, we continue to add features to our existing OS line, and we expect to design, engineer and test our new DF product line, to meet evolving U.S. and international consumer product safety and performance requirements as well as Automotive and Industrial Functional Safety, Cybersecurity and performance certifications designed to ensure the safe deployment and operation of autonomous vehicles, automotive ADAS, industrial machines and robots. Significant foreign markets also continue to develop their own respective standards to define deployment requirements for higher levels of autonomy in these jurisdictions.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Finally, our operations are subject to various federal, state and local laws and regulations governing the occupational health and safety of our employees and wage regulations. We are subject to the requirements of the federal Occupational Safety and Health Act, as amended, and comparable state laws that protect and regulate employee health and safety.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Like all companies operating in similar industries, we are subject to environmental regulation, including water use; air emissions; use of recycled materials; energy sources; the storage, handling, treatment, transportation and disposal of hazardous materials; and the remediation of environmental contamination. Compliance with these laws, rules and regulations may include permits, licenses and inspections of our facilities and products.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employed approximately 217 people on a full-time basis in the United States and 61 people on a full-time basis internationally, either directly through our international subsidiaries or through a professional employer organization. We employ approximately 113 engineers and technical talent, and we are continuing to look to significantly expand our technical employee count in order to meet our product development goals. We also engage numerous consultants and contractors to supplement our permanent workforce. None of our employees are represented by a labor union or covered by collective bargaining agreements. We believe we have strong and positive relations with our employees.</w:t>
      </w:r>
    </w:p>
    <w:p>
      <w:pPr>
        <w:pStyle w:val="TextBody"/>
        <w:spacing w:lineRule="auto" w:line="288" w:before="120" w:after="283"/>
        <w:rPr/>
      </w:pPr>
      <w:r>
        <w:rPr>
          <w:rFonts w:ascii="Times New Roman;sans-serif" w:hAnsi="Times New Roman;sans-serif"/>
          <w:b w:val="false"/>
          <w:i/>
          <w:color w:val="000000"/>
          <w:sz w:val="20"/>
        </w:rPr>
        <w:t>Diversity and Inclusion.</w:t>
      </w:r>
      <w:r>
        <w:rPr>
          <w:color w:val="000000"/>
        </w:rPr>
        <w:t xml:space="preserve"> </w:t>
      </w:r>
      <w:r>
        <w:rPr>
          <w:rFonts w:ascii="Times New Roman;sans-serif" w:hAnsi="Times New Roman;sans-serif"/>
          <w:b w:val="false"/>
          <w:color w:val="000000"/>
          <w:sz w:val="20"/>
        </w:rPr>
        <w:t>To attract, motivate and retain a highly-skilled workforce throughout our organization, we are committed to having a safe and inclusive environment that leverages the capabilities of our employees and encourages diversity of thought. In furtherance of these objectives, we provide Diversity, Inclusion, and Belonging training for our employees to promote a healthy and inclusive organizational culture.</w:t>
      </w:r>
    </w:p>
    <w:p>
      <w:pPr>
        <w:pStyle w:val="TextBody"/>
        <w:spacing w:lineRule="auto" w:line="288" w:before="120" w:after="283"/>
        <w:rPr/>
      </w:pPr>
      <w:r>
        <w:rPr>
          <w:rFonts w:ascii="Times New Roman;sans-serif" w:hAnsi="Times New Roman;sans-serif"/>
          <w:b w:val="false"/>
          <w:i/>
          <w:color w:val="000000"/>
          <w:sz w:val="20"/>
        </w:rPr>
        <w:t>Employee engagement.</w:t>
      </w:r>
      <w:r>
        <w:rPr>
          <w:color w:val="000000"/>
        </w:rPr>
        <w:t xml:space="preserve"> </w:t>
      </w:r>
      <w:r>
        <w:rPr>
          <w:rFonts w:ascii="Times New Roman;sans-serif" w:hAnsi="Times New Roman;sans-serif"/>
          <w:b w:val="false"/>
          <w:color w:val="000000"/>
          <w:sz w:val="20"/>
        </w:rPr>
        <w:t>We prioritize employee engagement and value employee feedback, which we gauge notably through an annual employee engagement survey which allows us to monitor both engagement and satisfaction and provides an additional reference point for evaluating initiatives to enhance our employees’ experience.</w:t>
      </w:r>
    </w:p>
    <w:p>
      <w:pPr>
        <w:pStyle w:val="TextBody"/>
        <w:spacing w:lineRule="auto" w:line="288" w:before="120" w:after="283"/>
        <w:rPr/>
      </w:pPr>
      <w:r>
        <w:rPr>
          <w:rFonts w:ascii="Times New Roman;sans-serif" w:hAnsi="Times New Roman;sans-serif"/>
          <w:b w:val="false"/>
          <w:i/>
          <w:color w:val="000000"/>
          <w:sz w:val="20"/>
        </w:rPr>
        <w:t>Compensation and Benefits.</w:t>
      </w:r>
      <w:r>
        <w:rPr>
          <w:color w:val="000000"/>
        </w:rPr>
        <w:t xml:space="preserve"> </w:t>
      </w:r>
      <w:r>
        <w:rPr>
          <w:rFonts w:ascii="Times New Roman;sans-serif" w:hAnsi="Times New Roman;sans-serif"/>
          <w:b w:val="false"/>
          <w:color w:val="000000"/>
          <w:sz w:val="20"/>
        </w:rPr>
        <w:t>We offer competitive compensation and benefit packages, which may include depending on location and eligibility, annual bonuses, paid time-off, 401(k) and Company match up to 4% (subject to the IRS annual limit), stock awards, purchase plans, health and wellness programs and other benefits. Our long-term equity compensation is intended to align management interests with those of our stockholders and to encourage the creation of long-term value.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In March, 2021, CLA reincorporated in Delaware and consummated a merger with OTI pursuant to an Agreement and Plan of Merger, dated as of December 21, 2020. OTI was incorporated in the state of Delaware on June 30, 2015.</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Internet address is https://ouster.com. At our Investor Relations website, https://investors.ouster.com,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found on our website is not part of this or any other report we file with, or furnish to,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limited operating history makes it difficult to evaluate our future prospects and the risks and challenges we may encounter.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company has a limited operating history, having been in operation since 2015. Our limited operating history makes it difficult for us to evaluate our future prospects. Certain factors that could alone or in combination prevent us from successfully commercializing our products include: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reliance on third parties to supply significant parts of our production process or to manufacture our products;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establish and maintain successful relationships with our suppliers or manufacturers;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achieve commercial scale production of our products on a cost-effective basis and in a timely manner;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successfully expand our product offerings;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develop and protect intellectual property;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ability to gain market acceptance of our products with customers and maintain and expand customer relationships, whether through strategic customer agreements or otherwise;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adaptability of our products and the ability of our customers to integrate our products into their products in a timely and effective manner;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actions of direct and indirect competitors that may seek to enter the markets in which we expect to compete or that may seek to impose barriers to one or more markets that we intend to target;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long-lead time for development of market opportunities, for which we are only at an early stage of development;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ability to forecast our revenue and budget for, and manage, our expenses;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comply with existing and new or modified laws and regulations applicable to our business, or laws and regulations applicable to our customers for applications in which they may use our products;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ability to plan for and manage capital expenditures for our current and future products, and manage our supply chain and supplier relationships related to these current and future products;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ability to anticipate and respond to macroeconomic changes and changes in the markets in which we operate and expect to operate;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maintain and enhance the value of our reputation and brand;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effectively manage our growth and business operations, including the impacts of the COVID-19 pandemic on our business;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recruit and retain talented people at all levels of our organization.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we fail to understand fully or adequately address the challenges that we are currently encountering or that we may encounter in the future, including those challenges described here and elsewhere in this Part I, Item 1A.“Risk Factors”, our business, financial condition and results of operations could be adversely and materially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incurred significant losses to date and may never achieve or sustain profitability.</w:t>
      </w:r>
    </w:p>
    <w:p>
      <w:pPr>
        <w:pStyle w:val="TextBody"/>
        <w:spacing w:lineRule="auto" w:line="288" w:before="120" w:after="283"/>
        <w:rPr/>
      </w:pPr>
      <w:r>
        <w:rPr>
          <w:rFonts w:ascii="Times New Roman;sans-serif" w:hAnsi="Times New Roman;sans-serif"/>
          <w:b w:val="false"/>
          <w:color w:val="000000"/>
          <w:sz w:val="20"/>
        </w:rPr>
        <w:t>We have experienced net losses in each year since our inception. In the years ended December 31, 2021 and 2020, we incurred net losses</w:t>
      </w:r>
      <w:r>
        <w:rPr>
          <w:color w:val="000000"/>
          <w:highlight w:val="white"/>
        </w:rPr>
        <w:t xml:space="preserve"> </w:t>
      </w:r>
      <w:r>
        <w:rPr>
          <w:rFonts w:ascii="Times New Roman;sans-serif" w:hAnsi="Times New Roman;sans-serif"/>
          <w:b w:val="false"/>
          <w:color w:val="000000"/>
          <w:sz w:val="20"/>
          <w:highlight w:val="white"/>
        </w:rPr>
        <w:t>of $94.0 million and $106.8 million</w:t>
      </w:r>
      <w:r>
        <w:rPr>
          <w:rFonts w:ascii="Times New Roman;sans-serif" w:hAnsi="Times New Roman;sans-serif"/>
          <w:b w:val="false"/>
          <w:color w:val="000000"/>
          <w:sz w:val="20"/>
        </w:rPr>
        <w:t>, respectively. We expect these losses to continue for at least the next several years as we expand our product offering and continue to scale our commercial operations and research and development program. As of December 31, 2021, we had an accumulated deficit of $303.4 million. Even if we are able to increase sales of our products, there can be no assurance that we will be commercially successful.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expect we will continue to incur significant losses for the foreseeable future as we: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continue to hire additional personnel and make investments in research and development (“R&amp;D”) in order to develop technology and related software;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 our sales and marketing functions, including expansion of our customer support and distribution capabilities;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hire additional personnel to support compliance requirements in connection with being a public company;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expand operations and manufacturing.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we are unable to overcome our limited sales history and establish and maintain confidence in our long-term business prospects among customers in our target markets or revenue opportunity does not materialize into sales and revenue, then our financial condition, operating results, business prospects and access to capital may suffer materially.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company has a limited sales history, as we only commenced selling our first revenue grade products in late 2018. Because of our limited sales history, we have limited experience managing and growing our relationships with existing customers and securing new customers in our target industries.</w:t>
      </w:r>
    </w:p>
    <w:p>
      <w:pPr>
        <w:pStyle w:val="TextBody"/>
        <w:spacing w:lineRule="auto" w:line="288" w:before="120" w:after="283"/>
        <w:rPr/>
      </w:pPr>
      <w:r>
        <w:rPr>
          <w:rFonts w:ascii="Times New Roman;sans-serif" w:hAnsi="Times New Roman;sans-serif"/>
          <w:b w:val="false"/>
          <w:color w:val="000000"/>
          <w:sz w:val="20"/>
        </w:rPr>
        <w:t>Our relationships with many of our existing customers are limited as they may not be prepared to select the company as a long-term supplier given our limited operating and sales history. To establish preliminary relationships with certain customers and to build their confidence, we have entered, and may continue to enter, into evaluation agreements, spot buy purchase orders, non-binding letters of intent, and strategic customer agreements. These agreements are largely non-binding, do not include any minimum obligation to purchase any quantities of any products at this time, and do not require that the parties enter into a subsequent definitive, long-term, binding agreements; however, these preliminary agreements assist the company in building confidence with customers if we are able to effectively perform and otherwise maintain positive relationships with them. If we are unable to build confidence with our existing customers, either through these preliminary agreements (due to any failure to enter into or perform under the agreements) or otherwise, or if we are unable secure opportunity from these non-binding agreements, involving strategic customer agreements,</w:t>
      </w:r>
      <w:r>
        <w:rPr>
          <w:color w:val="000000"/>
        </w:rPr>
        <w:t xml:space="preserve"> </w:t>
      </w:r>
      <w:r>
        <w:rPr>
          <w:rFonts w:ascii="Times New Roman;sans-serif" w:hAnsi="Times New Roman;sans-serif"/>
          <w:b w:val="false"/>
          <w:color w:val="000000"/>
          <w:sz w:val="20"/>
        </w:rPr>
        <w:t>we may be unable to produce accurate forecasts and become profitable.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With respect to new customers, they may be less confident in us and less likely to purchase our products because of a lack of awareness about our products. They may also not be convinced that our business will succeed because of the absence of an established sales, service, support, and operating history. To address this, we must, among other activities, grow and improve our marketing capability and brand awareness, which may be costly. These activities may not be effective or could delay our ability to capitalize on the opportunities that we believe are suitable to our technology and products and may prevent us from successfully commercializing our products.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build and maintain our business, we must maintain confidence in our products, long-term financial viability and business prospects. Failure to establish and maintain customer confidence may also adversely affect our reputation and business among our suppliers, analysts, ratings agencies and other interested parties.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currently target many customers that are large corporations with substantial negotiating power and exacting product standards. If we are unable to sell our products to these customers, our prospects and results of operations will be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Many of our current and potential customers are large corporations that often possess significant leverage over their suppliers, and can successfully demand contract terms favorable to themselves, such as reserving the right to terminate their supply contracts for convenience. This disparate power has required, and may require in the future, that we accept less favorable contract terms. These large corporations also have exacting technical specifications and requirements that we have been unable to, and may continue to be unable to, meet, thereby precluding our ability to secure sales. Meeting the technical requirements to secure and maintain significant contracts with any of these companies will require a substantial investment of our time and resources, and if we fail to comply with our customers’ technical specifications and standards, we may lose existing and future business. Even when we succeed in securing contracts, these large companies have been and may continue to be uncertain about their technical specifications for our products and terminate our agreement or make a later determination that our products are not satisfactory. We therefore have no assurance that we can establish relationships with these companies, that our products will meet the needs of these or other companies, or that a contract with these companies will culminate in significant or any product sales. Even when we secure agreements with these companies, we may not be effective in negotiating contract terms or managing such relationships, which could adversely affect our future results of operations.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Furthermore, in some instances, these large companies may have internally developed products and solutions that are competitive to our products. These companies may have substantial research and development resources, which may allow them to acquire or develop independently, or in partnership with others, competitive technologies. Such activities may foreclose significant sales opportunities for our products.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which makes it difficult for us to predict our future operating results. Our financial results may fluctuate as a result of a variety of factors, including: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of ultimate end market and customer adoption of our products and particular versions of our products;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varying length of production cycles for our customers to integrate our products into their broader platforms;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supply chain constraints and considerations and impacts on our costs of goods sold, such as shortages of semiconductor chips;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product mix and average selling prices, including negotiated selling prices and long-term strategic customer agreements;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cost of raw materials or supplied components critical for the manufacture of our products;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and cost of, and level of investment in, research and development relating to our digital lidar technology and related software;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developments involving our competitors;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governmental regulations affecting us or applications in which our customers use our products;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impact of epidemics or pandemics, including current business disruption and related financial impact resulting from the global COVID-19 health crisis;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general market conditions and other factors, including factors unrelated to our operating performance or the operating performance of our competitors.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outside of our control and may not fully reflect the underlying performance of our business. The individual or cumulative effects of factors discussed above could result in large fluctuations and unpredictability in our quarterly and annual operating results. As a result, comparing our operating results on a period-to-period basis may not be meaningful.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the risks of cancellation or postponement of our contracts with customers or unsuccessful implementation.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experienced, and may experience in the future, unexpected cancellations of major purchases of our products, which has affected and in the future may adversely affect our results of operations. Prospective customers across our target markets generally must make significant commitments of resources to test and validate our products and confirm that they can be integrated with other technologies before including them in any particular system, product or model. The development cycles of our products with new customers vary widely depending on the application, market, customer and the complexity of the product. In our target markets, development cycles can be six months to seven or more years. These development cycles require us to invest our resources prior to realizing any revenue from the commercialization. Further, we are also subject to the risk that a customer may cancel or postpone implementation of its technology, as well as that it will not be able to integrate its technology successfully into a larger system with other sensing modalities. Our revenue growth may be impaired if the system, product or vehicle model that includes our digital lidar sensors is unsuccessful, including for reasons unrelated to our technology. Long development cycles and product cancellations or postponements may adversely affect our business, results of operations and financial condition.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Market adoption of lidar remains uncertain, and it is difficult to forecast long-term end-customer adoption rates and demand for our products.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generated by the sale of our digital lidar sensors. Given the evolving nature of the markets in which we operate, it is difficult to predict the customer demand or adoption rates for lidar technology generally or our products specifically. If demand does not develop or if we cannot accurately forecast customer demand, our future financial results, business, results of operations and financial condition will be adversely affected. If prospective customers have a negative perception of, or experience with, lidar or a competitor’s lidar products they may be reluctant to adopt lidar in general or specifically our products. Any negative publicity, regardless of its accuracy, could materially adversely affect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Additionally, existing non-lidar technologies may emerge as customers’ preferred alternative to lidar and may adversely affect adoption of our lidar solutions and of lidar generally. Significant developments in alternative technologies, such as cameras and radar, may materially and adversely affect our business, prospects, financial condition and operating results in ways we do not currently anticipate. Any failure by us or the lidar market generally to develop new or enhanced technologies or processes, or to react to changes in existing technologies, could adversely affect adoption of lidar and sales of our current products or materially delay development and introduction of new and enhanced products, which could result in the loss of competitiveness of our products, decreased revenue and a loss of market share to competitors.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pursuing opportunities in markets that involve novel applications that are rapidly evolving, and that include both technological and regulatory uncertainties, making it difficult to predict the size and timing of market opportunities. For example, autonomous driving and lidar-based ADAS applications require complex technology and rigorous safety controls. Because these automotive systems are both themselves complex, and also depend on complex technologies from many suppliers, commercialization of autonomous driving or ADAS products could be delayed or impaired on account of technological capabilities that are not sufficiently advanced for deployment in vehicles. These standards may never be met at all. Additionally, ADAS has yet to, and may never, achieve widespread adoption, which would reduce demand for lidar in that market. These same concerns are also applicable to the robotics, industrial and smart infrastructure markets that we are targeting for use of our products.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we currently have contracts with numerous commercial customers across diverse markets, these customers may not be able to utilize our technology in the foreseeable future,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the correct market opportunities in this environment.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Many of our customers are still in the testing and development phases of applications with our products and it cannot be certain that they will commercialize products or systems with our digital lidar sensors or at all. We believe adoption of lidar products, including our digital lidar sensors, will depend on numerous factors, including: whether the technological capabilities of lidar and lidar-based products meet users’ current or anticipated needs; whether the benefits of designing lidar into larger sensing systems outweigh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can keep pace with rapid technological change in certain developing markets. If lidar technology generally does not achieve commercial success or if the market develops at a pace slower than we expect, our business, results of operation and financial condition will be materially and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we are not able to effectively grow our global sales and marketing organization, or maintain or grow an effective network of distributors, software value add resellers, and integrators, our business prospects, results of operations and financial condition could be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order to generate future sales growth, we will need to expand the size and geographic coverage of our field organization, including marketing, direct sales, customer support and technical services. Accordingly, our future success will depend largely on our ability to hire, train, retain, and motivate skilled regional sales managers and direct sales representatives with significant technical knowledge and understanding of our products. Because of the competition for their skill set, we may not be able to attract or retain such personnel on reasonable terms, if at all. If we are unable to grow our global sales and marketing organization, we may not be able to increase our revenue, which would adversely affect our business, financial condition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rely on a network of independent distributors to help generate sales of our products internationally. If a dispute arises with a distributor or if we terminate our relationship with a distributor or a distributor goes out of business, it may take time to identify an alternative distributor, to train new personnel to market our products, and our ability to sell those products in a region formerly serviced by a terminated distributor could be harmed. In addition, our distributors may not successfully market and sell our products and may not devote sufficient time and resources that we believe are necessary to enable our products to develop, achieve or sustain market acceptance. Any of these factors could reduce our revenue or impair our revenue growth in affected markets, increase our costs in those markets or damage our reputation. In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addition, if an independent distributor were to depart and be retained by one of our competitors, we may be unable to prevent that distributor from soliciting business from our existing customers, which could further adversely affect us. As a result of our reliance on third-party distributors, we may be subject to disruptions and increased costs due to factors beyond our control, including labor strikes, third-party errors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expect to incur substantial R&amp;D costs and devote significant resources to developing and commercializing new products, which could significantly affect our ability to become profitable and may never result in revenue to us. Any delay or interruption of the development and commercialization of new products may adversely affect our existing business and prospects for winning future business.</w:t>
      </w:r>
    </w:p>
    <w:p>
      <w:pPr>
        <w:pStyle w:val="TextBody"/>
        <w:spacing w:lineRule="auto" w:line="288" w:before="120" w:after="283"/>
        <w:rPr/>
      </w:pPr>
      <w:r>
        <w:rPr>
          <w:rFonts w:ascii="Times New Roman;sans-serif" w:hAnsi="Times New Roman;sans-serif"/>
          <w:b w:val="false"/>
          <w:color w:val="000000"/>
          <w:sz w:val="20"/>
        </w:rPr>
        <w:t xml:space="preserve">Our future growth depends on penetrating new markets, adapting existing products to new applications and customer requirements, and introducing new and effective products on a timely basis that then achieve market acceptance. To remain competitive, we are developing a suite of new products, including our DF solid-state lidar sensor and a software solution that is complementary to our existing and future hardware. In connection with the development of the </w:t>
      </w:r>
      <w:r>
        <w:rPr>
          <w:rFonts w:ascii="Times New Roman;sans-serif" w:hAnsi="Times New Roman;sans-serif"/>
          <w:b w:val="false"/>
          <w:color w:val="000000"/>
          <w:sz w:val="20"/>
          <w:highlight w:val="white"/>
        </w:rPr>
        <w:t xml:space="preserve">DF solid-state lidar sensor, complementary software, and other R&amp;D for new products and product enhancements to be performed by the company, we plan to incur substantial, and potentially increasing, R&amp;D costs. </w:t>
      </w:r>
      <w:r>
        <w:rPr>
          <w:rFonts w:ascii="Times New Roman;sans-serif" w:hAnsi="Times New Roman;sans-serif"/>
          <w:b w:val="false"/>
          <w:color w:val="000000"/>
          <w:sz w:val="20"/>
        </w:rPr>
        <w:t>Our R&amp;D expense</w:t>
      </w:r>
      <w:r>
        <w:rPr>
          <w:rFonts w:ascii="Times New Roman;sans-serif" w:hAnsi="Times New Roman;sans-serif"/>
          <w:b w:val="false"/>
          <w:color w:val="000000"/>
          <w:sz w:val="20"/>
          <w:highlight w:val="white"/>
        </w:rPr>
        <w:t>s wer</w:t>
      </w:r>
      <w:r>
        <w:rPr>
          <w:rFonts w:ascii="Times New Roman;sans-serif" w:hAnsi="Times New Roman;sans-serif"/>
          <w:b w:val="false"/>
          <w:color w:val="000000"/>
          <w:sz w:val="20"/>
        </w:rPr>
        <w:t>e $34.6 million and $23.3 million during the years ended December 31, 2021 and December 31, 2020, respectively, and are likely to grow in the future. Because we account for R&amp;D as an operating expense, these expenditures will adversely affect our results of operations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 our R&amp;D program may be delayed and may not produce timely results. If we cannot produce successful results in time to accommodate customers’ or potential customers’ development timelines, we may lose business. If we are unsuccessful in introducing these products in accordance with our product launch plans or any publicly announced launch dates, it may be injurious to our reputation and brand and adversely affect our ability to be competitive in our target and new markets.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expect to rely on products we are currently developing, such as our DF solid-state lidar and our software solutions, for a significant portion of our future growth; however, even if our R&amp;D efforts are successful and completed on time, there is no guarantee that we will be successful in adapting our business to our new products or that our new products will achieve market acceptance or generate sufficient revenue to make us profitable. Our future products, such as any software solutions we develop, may be products we have limited or no experience commercializing. In launching such products, we may face foreseen and unforeseen difficulties that adversely affect such the commercialization and could have a material adverse effect on our operations and business. Additionally, the success of our competitors’ R&amp;D efforts, including producing higher performing products or providing products competitive to our new products to our customers before us, may result in loss of business to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promise of new products and successful R&amp;D may even decrease our expected and actual revenue attributable to existing products, as historically, customers have delayed or cancelled outstanding purchasing commitments for current generation products in anticipation of the release of new generation products from the company. There is no guarantee that these delays and cancellations will not occur again in the future as we develop, announce and commercialize new products like our DF solid-state lidar sensor or our complementary software solutions.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compete against established market participants that have substantially greater resources than us and against known and unknown market entrants who may disrupt our target markets.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target markets are highly competitive and we may not be able to compete effectively in the market against these competitors. Competitors may offer lidar products at lower prices than ours, including pricing that we believe is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have entered into commercial relationships with key customers and have built relationships and dependencies between themselves and those key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established market competitors, new competitors may be preparing to enter or are entering the lidar market that may disrupt the commercial landscape of target markets in ways that we may not be able to prepare for—including customers of lidar who may be developing their own competitive solutions. We do not know how close any of our current and potential competitors are to commercializing their lidar products and services, nor what they intend to develop as part of their product roadmaps. The already competitive landscape of the lidar market, along with both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foreseeable and unforeseeable entries of competitors and lidar technology from those competitors in our target markets, may result in pricing pressure, reduced margins and may impede our ability to increase the sales of our products or cause us to lose market share, any of which will adversely affect our business, results of operations and financial condition.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our products are not selected for inclusion in our target markets, our business will be materially and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our products are designed for use in multiple markets, each of our target or new markets may have unique barriers to entry. If we are unsuccessful in overcoming these barriers, it may affect our entrance into these target or new markets which could adversely affect our future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are used in a wide variety of existing and emerging use cases in the industrial market, where our target customers are generally engaged in the manufacturing, operation, or after-market modification of heavy industrial machinery. These tend to be large companies that move slowly to larger scale production, often with years-long timelines. If our products are not chosen for deployment in these projects, or we lose a program under any circumstances, we may not have an opportunity to obtain that business again for many years. Industrial automation is a demanding industry with product specifications that our products may not always meet.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also are used in a wide variety of existing and emerging use cases in the smart infrastructure market, which generally consists of public bodies and private commercial businesses engaging in the monitoring and analysis of pedestrian and vehicle movements for the purpose of providing building security, improving road user safety, and increasing roadway efficiency. This is a nascent market, and while this industry is experimenting with the use of lidar in these applications, our customers may decide that lidar is not a feasible solution for one of a variety of reasons, including current price points of lidar sensors. Customers in this market are often local governments, such as city governments, which may be subject to political pressures, and may not control their own budgets. For example, programs could be cancelled due to legislative action that is out of a local government’s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also are used in a wide variety of existing and emerging use cases in the robotics market, in which our customers are generally engaged in the design, production, operation, or after-market modification of small mobile human-less vehicles. This is a competitive market that often has strict functional and pricing requirements for products. If we are unable to make products that meet these requirements, or sell products at the required price point, we could lose this business to competitors or competitive technologies. There are diverse and potentially conflicting requirements across the robotics industry that may force us to prioritize certain segments over others, resulting in a lower total available market. Our target markets involve risks of program delay, loss, and cancellation.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also may be purchased by automotive OEMs and their suppliers in connection with their design and development of autonomous driving and ADAS technology. These programs are time and resource intensive, requiring thousands of man hours and several years. Automotive OEMs and suppliers undertake extensive testing or qualification processes prior to placing orders for large quantities of products such as ours, because such products will function as part of a larger system or platform and must meet certain other specifications. We spend significant time and resources to pursue the business of having our products selected by automotive OEMs and their suppliers for use in the manufacture of a particular vehicle model. Because we do not have long-term, binding relationships with Tier 1s, automotive OEMs may be less inclined to select our products for use in their vehicle models. If we are not chosen to supply products for a particular vehicle model, we may not have an opportunity to supply our products to that automotive OEM for that vehicle model for a period of many years, perhaps as long as five to seven or more years. If our products are not selected by an automotive OEM or its suppliers for one vehicle model or if our products are not successful in that vehicle model, it is less likely that our products will be deployed in other vehicle models of that OEM. If we fail to win a significant number of vehicle models from one or more of automotive OEMs or their suppliers, our business, results of operations and financial condition may be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in the future in order to execute our business plan, which may not be available on terms acceptable to us, or at all.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In order to stay on our growth trajectory and further business relationships with current or potential customers or partners, or for other reasons, we may issue equity or equity-linked securities to such current or potential customers or partners. We may not be able to timely secure additional debt or equity financing on favorable terms, or at all. If we raise additional funds through the issuance of equity or convertible debt or other equity-linked securities or if it issues equity or equity-linked securities to current or potential customers to further business relationships, our existing stockholders could experience significant dilution. Any debt financing obtained by us in the future could involve restrictive covenants relating to our capital raising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and our business could be materially and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Key components in our products come from limited or single source third party suppliers, and we expect to rely on third-party to manufacture a significant portion of our products for the foreseeable future. Interruptions in our relationship with these third parties could adversely impact our business.</w:t>
      </w:r>
    </w:p>
    <w:p>
      <w:pPr>
        <w:pStyle w:val="TextBody"/>
        <w:spacing w:lineRule="auto" w:line="288" w:before="120" w:after="283"/>
        <w:rPr/>
      </w:pPr>
      <w:r>
        <w:rPr>
          <w:rFonts w:ascii="Times New Roman;sans-serif" w:hAnsi="Times New Roman;sans-serif"/>
          <w:b w:val="false"/>
          <w:color w:val="000000"/>
          <w:sz w:val="20"/>
        </w:rPr>
        <w:t>We rely on third parties to supply key components of our digital lidar sensors and to manufacture a significant portion of our digital liar sensors. In particular, for the year ended December 31, 2021, approximately</w:t>
      </w:r>
      <w:r>
        <w:rPr>
          <w:color w:val="000000"/>
          <w:highlight w:val="white"/>
        </w:rPr>
        <w:t xml:space="preserve"> </w:t>
      </w:r>
      <w:r>
        <w:rPr>
          <w:rFonts w:ascii="Times New Roman;sans-serif" w:hAnsi="Times New Roman;sans-serif"/>
          <w:b w:val="false"/>
          <w:color w:val="000000"/>
          <w:sz w:val="20"/>
          <w:highlight w:val="white"/>
        </w:rPr>
        <w:t>67%</w:t>
      </w:r>
      <w:r>
        <w:rPr>
          <w:color w:val="000000"/>
        </w:rPr>
        <w:t xml:space="preserve"> </w:t>
      </w:r>
      <w:r>
        <w:rPr>
          <w:rFonts w:ascii="Times New Roman;sans-serif" w:hAnsi="Times New Roman;sans-serif"/>
          <w:b w:val="false"/>
          <w:color w:val="000000"/>
          <w:sz w:val="20"/>
        </w:rPr>
        <w:t>of our manufacturing output was provided through our relationship with Benchmark Electronics, Inc. (“Benchmark”), a percentage which we expect will increase over time as we scale our operations. We have also outsourced much of our transportation and logistics management. These arrangements are intended to lower our operating costs, but they also reduce our direct control over production and distribution. This diminished control may have an adverse effect on the quality or quantity of products or services, or our flexibility to respond to changing conditions. If Benchmark or any of our third-party component suppliers or logistics and transportation partners experience interruptions, delays or disruptions in supplying their products or services, including by natural disasters, the global COVID-19 pandemic, other health epidemics and outbreaks, or work stoppages or capacity constraints, our ability to ship products to distributors and customers may be delayed. In addition, unfavorable economic conditions could result in financial distress among third-party suppliers or manufacturers upon which we rely, thereby increasing the risk of disruption of supplies necessary to fulfill our production requirements and meet customer demands. Additionally, if any of these third parties on whom we rely were to experience quality control problems in their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customers, distributors, value added software resellers, and integrators.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these third parties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components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suppliers and manufacturers may also risk disclosure of our innovative and proprietary manufacturing methodologies, which could adversely affect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there are a limited number of competent, high-quality suppliers in the industry that meet our strict quality and control standards, and as we seek to obtain additional or alternative supplier arrangements in the future, there can be no assurance that we would be able to do so on satisfactory terms, in a timely manner, or at all. Our suppliers could also discontinue or modify components used in our products. In some cases, the lead times associated with certain components are lengthy and preclude rapid changes in quantities and delivery schedules. We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customers and distributors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it is possible to do so, such that we must absorb the increased cost. If we are unable to buy these components in quantities sufficient to meet our requirements on a timely basis, we will not be able to deliver our products to our customers, and cause our customers to use competitors’ products instead of ours.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 interruption in, or the loss of operations at, one or more of our suppliers’ facilities or at Benchmark’s facility, which may be caused by work stoppages, disease outbreaks or pandemics, acts of war, terrorism, fire, earthquakes, flooding or other natural disasters at one or more of these facilities, could delay, postpone or reduce production of some of our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products, which could have a material adverse effect on our business, results of operations and financial condition until such time as such interruption is resolved or an alternate source of production is secured.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Outsourcing a substantial percentage of our manufacturing outside of the United States involves certain risks or may not be successful, which could harm our ability to deliver products and recognize revenue.</w:t>
      </w:r>
    </w:p>
    <w:p>
      <w:pPr>
        <w:pStyle w:val="TextBody"/>
        <w:spacing w:lineRule="auto" w:line="288" w:before="120" w:after="283"/>
        <w:rPr/>
      </w:pPr>
      <w:r>
        <w:rPr>
          <w:rFonts w:ascii="Times New Roman;sans-serif" w:hAnsi="Times New Roman;sans-serif"/>
          <w:b w:val="false"/>
          <w:color w:val="000000"/>
          <w:sz w:val="20"/>
        </w:rPr>
        <w:t>Historically, we manufactured all of our digital sensors at our facility in San Francisco, California. We intend to maintain a portion of our manufacturing at this facility;</w:t>
      </w:r>
      <w:r>
        <w:rPr>
          <w:color w:val="000000"/>
          <w:highlight w:val="white"/>
        </w:rPr>
        <w:t xml:space="preserve"> </w:t>
      </w:r>
      <w:r>
        <w:rPr>
          <w:rFonts w:ascii="Times New Roman;sans-serif" w:hAnsi="Times New Roman;sans-serif"/>
          <w:b w:val="false"/>
          <w:color w:val="000000"/>
          <w:sz w:val="20"/>
          <w:highlight w:val="white"/>
        </w:rPr>
        <w:t xml:space="preserve">however, in 2019, </w:t>
      </w:r>
      <w:r>
        <w:rPr>
          <w:rFonts w:ascii="Times New Roman;sans-serif" w:hAnsi="Times New Roman;sans-serif"/>
          <w:b w:val="false"/>
          <w:color w:val="000000"/>
          <w:sz w:val="20"/>
        </w:rPr>
        <w:t>we began moving a portion of our manufacturing operations to a manufacturing facility in Thailand in connection with our relationship with Benchmark, which for the year ended December 31, 2021, accounted for a majority of our manufacturing output. Any substantial delay in bringing this facility up to full production on our current schedule may hinder our ability to produce all of the products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If and when this manufacturing facility is brought up to full production according to our current schedule, it may not provide us with all of the operational and financial benefits we expect to receive.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invested in manufacturing process equipment which is held at Benchmark’s facility, and we may make prepayments to some of our suppliers associated with long-term supply agreements. While these arrangements help ensure the supply of components and finished goods, if our co-manufacturer or suppliers experience severe financial problems or other disruptions in their business, such continued supply would be reduced or terminated, and the recoverability of manufacturing process equipment or prepayments would be negatively impacted.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Additionally, manufacturing outside the United States is subject to several inherent risks, including: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foreign currency fluctuations;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local economic conditions;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political instability;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import or export requirements;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foreign government regulatory requirements;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stricter lockdown measures in some countries aimed at controlling the spread of COVID-19;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reduced protection for intellectual property rights in some countries;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tariffs and other trade barriers and restrictions;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potentially adverse tax consequences.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exposed to the risk of write-downs on the value of our inventory and other assets, in addition to purchase commitment cancellation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record a write-down for product and component inventories that have become obsolete or exceed anticipated demand, or for which cost exceeds net realizable value. We also accrue necessary cancellation fee reserves for orders of excess products and components. We review long-lived assets, including capital assets held at our suppliers’ facilities, for impairment whenever events or circumstances indicate the assets may not be recoverable. If we determine that an impairment has occurred, we record a write-down equal to the amount by which the carrying value of the asset exceeds its fair value. Although we believe our inventory, capital assets, and other assets and purchase commitments are currently recoverable, no assurance can be given that we will not incur write-downs, fees, impairments and other charges given the rapid and unpredictable pace of product obsolescence in the industries in which we compete.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order components for our products and build inventory in advance of product manufacturing and shipments. Manufacturing purchase obligations cover our forecasted component and manufacturing requirements, typically for periods up to three months. Because our target markets are volatile, competitive and subject to rapid technology and price changes, and because we have limited sales history, there is a risk we will forecast incorrectly and order or produce excess or insufficient amounts of components or products, or not fully utilize firm our purchase commitments.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forecasts of market growth may not be accurate.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Market opportunity estimates and growth forecasts included in this Annual Report on Form 10-K and in our other public disclosures are subject to significant uncertainty and are based on assumptions and estimates that may not prove to be accurate. The forecasts and estimates relating to the expected size and growth of the markets for lidar-based technology may prove to be inaccurate. Even if these markets experience the forecasted growth , we may not grow our business at similar rates, or at all. Our future growth is subject to many factors, including market adoption of our products, which is subject to many risks and uncertainties. Accordingly, the forecasts and estimates of market size and growth described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and in our other public disclosures, should not be taken as indicative of our future growth. In addition, these forecasts do not take into account the impact of the current global COVID-19 pandemic, and we have no assurances that these forecasts will not be materially and adversely affected as a result.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growth and expanding our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expect to experience significant growth in the scope and nature of our operations. Our ability to manage our operations and future growth will require us to continue to improve our operational, financial and management controls, compliance programs and reporting systems. We are currently in the process of strengthening our compliance programs, including our compliance programs related to product certifications, quality management systems certifications, environmental certifications, export controls, privacy and cybersecurity and anti-corruption.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elsewhere.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focusing our current commercial efforts across four distinct target markets. We will be required to prioritize our limited financial and managerial resources as we pursue particular development and commercialization efforts in each target market. Any resources we expend on one or more of these efforts could be at the expense of other potentially profitable opportunities.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do not currently have long-term, committed supply contracts with many of our suppliers. Loss of one or more of these suppliers or our inability to identify and establish relationships with new suppliers could harm our business and impede our growth.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Because of the absence of long-term supply contracts, any of these suppliers could seek to alter or terminate its relationship with us at any time, leaving us with periods during which we have limited or no ability to manufacture our products. The production of our products is dependent on producing or sourcing certain key components, including semiconductor chips, and raw materials at acceptable price levels. If we are unable to adequately reduce and control the costs of such key components, we will be unable to realize manufacturing costs targets, which could reduce the market adoption of our products, damage our reputation with current or prospective customers, and materially and adversely impact our brand, business, prospects, financial condition and operating results.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we do not maintain sufficient inventory or if we do not adequately manage our inventory, we could lose sales or incur higher inventory-related expenses, which could negatively affect our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ensure adequate inventory supply, we forecast inventory needs and expenses, place orders sufficiently in advance with our suppliers and manufacturing partner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rapidly changing nature of our current target markets, the uncertainty surrounding the market acceptance and commercialization of lidar technology, the emergence of new markets, an increase or decrease in customer demand for our products or for products and services of our competitors, product introductions by competitors, the COVID-19 pandemic, other health epidemics and outbreaks, and any associated work stoppages or interruptions, unanticipated changes in general market conditions and the weakening of economic conditions or consumer confidence in future economic conditions. We may face challenges acquiring adequate supplies to manufacture our products and we and Benchmark may not be able to manufacture our products at a rate necessary to satisfy the levels of demand, which would negatively affect our short-term and long-term growth. This risk may be exacerbated by the fact that we may not carry or be able to obtain for our suppliers a significant amount of inventory to satisfy short-term demand increases. If we fail to accurately forecast customer demand, we may experience excess inventory levels or a shortage of products available for sale.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Inventory levels in excess of customer demand may result in inventory write-downs or write-offs and the sale of excess inventory at discounted prices, which would adversely affect our financial results, including our gross margin, and have a negative effect on our brand. Conversely, if we underestimate customer demand for our products, we may not be able to deliver products to meet our requirements, and this could result in damage to our brand and customer relationships and adversely affect our revenue and operating results.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business could be materially and adversely affected if our customers become unable to, or otherwise do not, pay their invoices.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one or more of our major customers would be unable to pay our invoices as they become due or a customer simply refuses to make such payments if it experiences financial difficulties, our business would be adversely affected. If a major customer were to enter into bankruptcy proceedings or similar proceedings whereby contractual commitments are subject to stay of execution and the possibility of legal or other modification, we could be forced to record a substantial loss. Additionally, a number of our customers are early stage, startup companies that are privately funded, have limited resources, and do not have a history of creditworthiness that we can audit to determine reliability. They could fail to raise enough capital and have to shut down operations. Even if they are financially solvent and stable and we are successful in securing a commercial relationship with them, their business plans for future programs may be inherently uncertain and unpredictable, and less structured than established companies.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exposed to credit risk on our trade accounts receivable, supplier non-trade receivables and prepayments related to long-term supply agreements, and this risk is heightened during periods when economic conditions worsen.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sell our products directly to small and mid-sized businesses and educational customers. Our outstanding trade receivables are not covered by collateral, third-party bank support or financing arrangements, or credit insurance. Our exposure to credit and collectability risk on our trade receivables is higher in certain international markets and our ability to mitigate such risks may be limited. We also have unsecured supplier non-trade receivables resulting from purchases of components by outsourcing partners and other vendors that manufacture sub-assemblies or assemble final products for us. In addition, from time to time, we may make prepayments associated with long-term supply agreements to secure supply of inventory components. While we are implementing procedures to monitor and limit exposure to credit risk on our trade and supplier non-trade receivables, there can be no assurance such procedures will effectively limit our credit risk and avoid losses.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we engage in acquisitions to grow our business, we will incur a variety of costs and may potentially face numerous risks that could adversely affect our business and operations and cause our stock price to decline.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appropriate opportunities become available, we may seek to acquire businesses, assets, technologies or products to enhance our business. For example, in October 2021, we acquired Sense to help us expand our presence in the automotive vertical by executing on our hiring goal product roadmap on a faster timeline. In connection with any acquisitions, we could issue additional equity securities, which would dilute our stockholders, incur substantial debt to fund the acquisitions or assume significant liabilities.</w:t>
      </w:r>
    </w:p>
    <w:p>
      <w:pPr>
        <w:pStyle w:val="TextBody"/>
        <w:spacing w:lineRule="auto" w:line="288" w:before="120" w:after="283"/>
        <w:rPr/>
      </w:pPr>
      <w:r>
        <w:rPr>
          <w:rFonts w:ascii="Times New Roman;sans-serif" w:hAnsi="Times New Roman;sans-serif"/>
          <w:b w:val="false"/>
          <w:color w:val="000000"/>
          <w:sz w:val="20"/>
        </w:rPr>
        <w:t>Acquisitions involve many and diverse risks and uncertainties, including problems integrating the purchased operations, assets, technologies or products as well as unanticipated costs, liabilities, and economic, political, legal and regulatory challenges due to our inexperience operating in new regions or countries</w:t>
      </w:r>
      <w:r>
        <w:rPr>
          <w:color w:val="000000"/>
        </w:rPr>
        <w:t xml:space="preserve"> </w:t>
      </w:r>
      <w:r>
        <w:rPr>
          <w:rFonts w:ascii="Times New Roman;sans-serif" w:hAnsi="Times New Roman;sans-serif"/>
          <w:b w:val="false"/>
          <w:color w:val="000000"/>
          <w:sz w:val="20"/>
        </w:rPr>
        <w:t>and we may fail to successfully integrate acquired companies, such as Sense, or retain key personnel from the acquired company. To date, we have limited experience with acquisitions and the integration of acquired technology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sales and operations in international markets expose us to operational, financial and regulatory risks.</w:t>
      </w:r>
    </w:p>
    <w:p>
      <w:pPr>
        <w:pStyle w:val="TextBody"/>
        <w:spacing w:lineRule="auto" w:line="288" w:before="120" w:after="283"/>
        <w:rPr/>
      </w:pPr>
      <w:r>
        <w:rPr>
          <w:rFonts w:ascii="Times New Roman;sans-serif" w:hAnsi="Times New Roman;sans-serif"/>
          <w:b w:val="false"/>
          <w:color w:val="000000"/>
          <w:sz w:val="20"/>
        </w:rPr>
        <w:t xml:space="preserve">International sales comprise a significant amount of our overall revenue. Sales to international customers accounted for </w:t>
      </w:r>
      <w:r>
        <w:rPr>
          <w:rFonts w:ascii="Times New Roman;sans-serif" w:hAnsi="Times New Roman;sans-serif"/>
          <w:b w:val="false"/>
          <w:color w:val="000000"/>
          <w:sz w:val="20"/>
          <w:highlight w:val="white"/>
        </w:rPr>
        <w:t>56% and 56% of our revenue for the years ended December 31, 2021 and 2020, re</w:t>
      </w:r>
      <w:r>
        <w:rPr>
          <w:rFonts w:ascii="Times New Roman;sans-serif" w:hAnsi="Times New Roman;sans-serif"/>
          <w:b w:val="false"/>
          <w:color w:val="000000"/>
          <w:sz w:val="20"/>
        </w:rPr>
        <w:t>spectively. Growing our international sales is an important part of our growth strategy, but these efforts may not be successful. International operations are subject to a number of other risks, including: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import and export laws and the impact of tariffs;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exchange rate fluctuations;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political and economic instability, war, international terrorism and anti-American sentiment, particularly in emerging markets and the current situation in Russia and Ukraine;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global or regional health crises, such as the COVID-19 pandemic or other health epidemics and outbreaks;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potential for violations of anti-corruption laws and regulations, such as those related to bribery and fraud;</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preference for locally branded products, and laws and business practices favoring local competition;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potential consequences of, and uncertainty related to, the “Brexit” process in the United Kingdom, which could lead to additional expense and complexity in doing business there;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increased difficulty in managing inventory;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increased risk in collecting trade receivables;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delayed revenue recognition;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less effective protection of intellectual property;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stringent regulation of the autonomous or other systems or products using our products and stringent consumer protection and product compliance regulations, including but not limited to General Data Protection Regulation in the European Union, European competition law, the Restriction of Hazardous Substances Directive, the Waste Electrical and Electronic Equipment Directive and the European Ecodesign Directive that are costly to comply with and may vary from country to country;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difficulties and costs of staffing and managing foreign operations;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changes in local tax and customs duty laws or changes in the enforcement, application or interpretation of such laws;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U.S. government’s restrictions on certain technology transfer to certain countries of concern.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negatively affect our international business and consequently our business, operating results, and financial condition.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complexity of our products could result in unforeseen delays or expenses from undetected defects, errors or reliability issues in hardware or software which could reduce the market adoption of our new products, damage our reputation with current or prospective customers, expose us to product liability and other claims and adversely affect our operating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reliability issues, especially as new products are introduced or as new versions are released, could result in serious injury to the end users of technology incorporating our products, or those in the surrounding area, our customers never being able to commercialize technology incorporating our products, litigation against us, negative publicity and other consequences. These risks are particularly prevalent in the autonomous driving and ADAS markets. Some errors or defects in our products may only be discovered after they have been tested, commercialized and deployed by customers. If that is the case, we may incur significant additional development costs and product recall, repair 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 In addition, our business liability insurance coverage could prove inadequate with respect to a claim and future coverage may be unavailable on acceptable terms or at all. These product-related issues could result in claims against us and our business could be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use our solutions in autonomous driving and ADAS applications, which present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or autonomous driving or certain ADAS applications increased the risk of injury to all or a subset of our customers, they may pass laws or adopt regulations that limit the use of our products or increase our liability associated with the use of our products or that regulate the use of or delay the deployment of autonomous driving and ADAS technology. Any of these events could adversely affect our brand, relationships with customers, operating results or financial condition.</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incur significant direct or indirect liabilities in connection with our product warranties which could adversely affect our business and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particular, the usage of our products by target customers could make us liable for warranty claims and pecuniary and reputational damages. In our target markets, our products may be placed in physical locations and environments that present harsh operating conditions, or that present a risk of product damage due to accidents or vandalism. This may result in more product failures than we anticipate, and may require us to provide warranties for our products beyond our knowledge of their performance. This could increase the rate of customer returns and warranty claims, resulting in higher than expected operating costs for us. Product failures may also affect market acceptance of our products and our ability to win future business. Any negative publicity related to the perceived quality of our products could affect our brand image, partner and customer demand, and adversely affect our operating results and financial condition.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revenue and margins could be adversely affected if we fail to maintain competitive average selling prices, high sales volumes, and/or fail to reduce product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Cost-cutting initiatives adopted by our customers often place increased downward pressure on our average selling prices. We also expect that any long term or high-volume agreements with customers may require step-downs in pricing over the term of the agreement or, if commercialized, over the period of production. We strive to keep our average selling price competitive and expect to achieve profitability by maintaining competitive average sales prices and through continually lower product costs. Our average selling price may be driven down by customer-specific selling price fluctuations such as non-standard discounts on large volume purchases. These lower average selling prices on large volume purchases may cause fluctuations in revenue and gross margins on a quarterly and annual basis and ultimately adversely affect our profitability. We may also experience declines in the average selling prices of our products generally as our customers seek to commercialize autonomous systems at prices low enough to achieve market acceptance and as our competitors continue to produce and commercialize lower cost competing technologies. To achieve profitability and maintain margins, we will also need to continually reduce product and manufacturing costs. Reductions in product and manufacturing costs are principally achieved by scaling our production volumes and through step changes in manufacturing and continued engineering of the most cost-effective designs for our products. In addition, we must continuously drive initiatives to reduce labor cost, improve worker efficiency, reduce the cost of materials, use fewer materials and further lower overall product costs by carefully managing component prices, inventory and shipping cost. We need to continually increase sales volume and introduce new, lower-cost products in order to maintain our overall gross margin. If we are unable to maintain competitive average selling prices, increase our sales volume or successfully introduce new, low-cost products, our revenue and overall gross margin would likely decline.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Adverse conditions in the industries we target or the global economy more generally could have adverse effects on our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spacing w:lineRule="auto" w:line="288" w:before="120" w:after="283"/>
        <w:jc w:val="both"/>
        <w:rPr/>
      </w:pPr>
      <w:r>
        <w:rPr>
          <w:rFonts w:ascii="Times New Roman;sans-serif" w:hAnsi="Times New Roman;sans-serif"/>
          <w:b w:val="false"/>
          <w:color w:val="000000"/>
          <w:sz w:val="20"/>
        </w:rPr>
        <w:t>As of December 31, 2021</w:t>
      </w:r>
      <w:r>
        <w:rPr>
          <w:rFonts w:ascii="Times New Roman;sans-serif" w:hAnsi="Times New Roman;sans-serif"/>
          <w:b w:val="false"/>
          <w:color w:val="000000"/>
          <w:sz w:val="20"/>
          <w:highlight w:val="white"/>
        </w:rPr>
        <w:t>, we had $224.4 million of U.S. federal and $146.8 million of state net operating loss carryforwards available to reduce future taxable income. The $215.9 million in U.S. federal operating loss carryforwards will be carried forward indefinitely for U.S. federal tax purposes. Of our U.S. state net operating loss carryforwards, $146.8 million will begin to expire in 2035. It is</w:t>
      </w:r>
      <w:r>
        <w:rPr>
          <w:color w:val="000000"/>
        </w:rPr>
        <w:t xml:space="preserve"> </w:t>
      </w:r>
      <w:r>
        <w:rPr>
          <w:rFonts w:ascii="Times New Roman;sans-serif" w:hAnsi="Times New Roman;sans-serif"/>
          <w:b w:val="false"/>
          <w:color w:val="000000"/>
          <w:sz w:val="20"/>
        </w:rPr>
        <w:t xml:space="preserve">possible that we will not generate taxable income in time to use these net operating loss carryforwards before their expiration (or that we will not generate taxable income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Although the Company has experienced ownership changes since its inception, there has been no limitation or loss of net operating losses or tax credits as of December 31, 2021.</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future success depends in part on recruiting and retaining key personnel and if we fail to do so, it may be more difficult for us to execute our business strategy. We are currently a small organization and will need to hire additional qualified personnel to effectively implement our strategic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attract, retain and motivate highly qualified management, technical, manufacturing, engineering and sales personnel. In particular, our success may depend on our ability to recruit and retain management personnel who are qualified to manage a public company. We are highly dependent on our senior management, including our founders, Angus Pacala and Mark Frichtl. If any of such persons left, our business could be harmed. All of our US based employees are “at-will” employees. The loss of the services of one or more of our key employees could delay or have an impact on the successful commercialization of our products. We do not maintain key man insurance.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successfully execute on our strategic plan depends in part on our ability to continue to build our organization and hire qualified personnel, especially with engineering, sales, technical, and manufacturing expertise. Competition for qualified personnel is especially severe in the San Francisco Bay Area. We may not be able to attract and retain qualified personnel on acceptable terms given the competition for such personnel. If we are unsuccessful in our recruitment efforts, it may adversely affect our business and our growth prospects.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Some of our employees are employed by professional employer organizations which may have unexpected costs that could adversely impact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contract with non-US professional employer organizations (“PEOs”), to administer our human resources, payroll and employee benefits functions for some of our subsidiaries’ employees outside of the United States. Although we recruit and select these employees, their employment relationship is with the relevant PEO. Accordingly, these employees are compensated through the PEO, are governed by the work policies created by the PEO and receive their annual wage statements and other payroll-related reports from the PEO. In addition, some of these employees may receive stock compensation directly from the Company. The PEO relationship streamlines hiring and employee maintenance, and enables management to focus on issues other than payroll administration, but this relationship also exposes us to some risks. For example, if the PEO is unable to or otherwise fails to adequately withhold or pay employer taxes or to comply with other applicable laws, we may be held liable for such violations notwithstanding any indemnification provisions provided to us by the PEOs. In certain non-US jurisdictions, despite the PEO relationship, there is a risk that the employee may nonetheless be deemed our direct employee and that the company may be deemed to have a permanent operation in a non-US jurisdiction. Court and administrative proceedings related to matters of employment tax, labor law and other laws applicable to PEO arrangements could distract management from our business and cause us to incur significant expense. If we were held liable for violations by PEOs, such monetary penalties may adversely affect our profitability and could negatively affect our business and results of operations.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Legal and Regulatory Risks Related to Our Business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products are frequently used in applications that are subject to evolving regulations and standards.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may use our products for regulated and standardized applications that require our products to comply with regulations and standards that are applicable to both our products and to those industries and applications, including functional safety and product reliability standards. New regulations and industry standards may be adopted that result in delays or cancellations of programs. If we decide not to pursue or fail to achieve these regulatory or industry certifications, we may lose existing or potential commercial opportunities or be exposed to legal liability from regulators.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and economic sanctions laws and regulations. Our failure to comply with these laws and regulations could have an adverse effect on our business, prospects, financial condition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solutions are subject to certain U.S. and foreign export controls, trade sanctions, and import laws and regulations, including the U.S. Export Administration Regulations, U.S. Customs regulations and various economic and trade sanctions regulations administered by the U.S. Treasury Department’s Office of Foreign Assets Controls. U.S. export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control laws and regulations and economic sanctions prohibit the shipment of certain products and services to countries, governments, and persons targeted by U.S. sanctions. Even though we take precautions to prevent our productions and solutions from being provided to entities subject to these restrictions, our products could find their way to such prohibited entities. Any such provision could have negative consequences, including government investigations, penalties, or reputational harm.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complying with export control and sanctions regulations for a particular sale may be time-consuming and create delays in the introduction of our products and solutions in some international markets, and, in some cases, prevent the export of our software and services to some countries altogether. Exports of our products and technology must be made in compliance with these laws and regulations. If a license is required from a government agency prior to sale, no exports may occur until the appropriate approvals are obtained. If we fail to comply with these laws and regulations, penalties could be imposed, including substantial monetary fines and/or denial of export privileges. In addition, in extreme cases responsible employees or managers can be held criminally liable for such violations.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Changes to trade policy, tariffs and import/export regulations may have a material adverse effect on our business, financial condition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new export or import restrictions, new legislation or shifting approaches in the enforcement or scope of existing regulations, or changes in global, political, regulatory and economic conditions affecting U.S. trade, manufacturing, development or investment, could result in additional restrictions on our ability to conduct business. In recent years,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As additional trade-related policies are instituted, we need to modify our business operations to comply and adapt to such developments, which may be time-consuming and expensive.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been and may in the future become involved in legal and regulatory proceedings and commercial or contractual disputes, which could have a material adverse effect on our profitability and consolidated financial position.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may in the future be, from time to time, involved in litigation, regulatory proceedings and commercial or contractual disputes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or substantial expenses to defend. Often these cases raise complex factual and legal issues and create risks and uncertainties.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on June 10, 2021, we received a letter from the SEC notifying us of an investigation and document subpoena. The subpoena seeks documents regarding projected financial information in CLA’s Form S-4 registration statement filed on December 22, 2020. We are cooperating with the SEC’s subpoena. There can be no assurance whether there will be further information requests or potential litigation, which is necessarily uncertain.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could be forced to expend significant resources in the defense of these lawsuits or future ones, and we may not prevail. No assurances can be given that any proceedings and claims will not have a material adverse impact on our operating results and consolidated financial position or that our available insurance will mitigate this impact.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and must remain in compliance with, numerous laws and governmental regulations concerning the manufacturing, use, distribution and sale of our products. Some of our customers also require that we comply with their own unique requirements relating to these matters.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products that contain components, which may contain materials that are subject to government regulation in both the locations where we manufacture and assemble our products, as well as the locations where we sell our products. Since we operate on a global basis, this is a complex process which requires continual monitoring of regulations and an ongoing compliance process to ensure that we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 If we are not currently in compliance with existing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or we fail to adhere to new regulations or fail to continually monitor the updates, we may incur costs in remedying our non-compliance and it may disrupt our operations. In addition, current or proposed regulations may adversely impact the availability of supplies needed to manufacture our products. For example, the U.S. Senate has passed a bill to effectively ban all products from China’s Xinjiang province due to concerns that the goods were produced with forced labor, which, if enacted, is expected to have adverse impacts on global supply chains. In such circumstances, we may also be subject to litigation, lose customers, suffer negative publicity and our business, results of operations, and financial condition could be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and our vendors are subject to various environmental laws and regulations that could impose substantial costs upon us and cause delays in expanding production facilities.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Environmental pollution and climate change have been the subject of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increased their focus on environmental sustainability, which may result in new regulations and customer requirements, which could materially adversely impact our business, results of operations and financial condition. If we are unable to effectively address concerns about environmental impact, our reputation could be negatively impacted, and our business, results of operations or financial condition could suffer.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new or modified environmental regulations or laws may increase the cost of raw materials or components we use in our products. Environmental regulations require us to continually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a cessation of our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contamination is found at properties we operate or formerly operated, this may result in liability for us under environmental laws and regulations, including the Comprehensive Environmental Response, Compensation and Liability Act, which can impose liability for the full amount of remediation-related costs without regard to fault. Costs of complying with environmental laws and regulations and any claims concerning noncompliance, or liability with respect to contamination in the future, could have a material adverse effect on our financial condition or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also experience pressure to make commitments relating to sustainability matters that affect companies in our industry, including the design and implementation of specific risk mitigation strategic initiatives relating to sustainability. If we are not effective in addressing environmental, social and other sustainability matters affecting our industry, or setting and meeting relevant sustainability goals, our reputation may suffer. In addition, we may experience increased costs in order to execute upon our sustainability goals and measure achievement of those goals, which could have an adverse impact on our business and financial condition.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U.S. and foreign anti-corruption and anti-money laundering laws. We can face criminal liability and other serious consequences for violations, which can harm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failing to prevent bribery,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if it fails to comply with the regulatory requirements under the Federal Food, Drug, and Cosmetic Act or the Food and Drug Administration (the “FDA”).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in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recently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customers using our products unless our customers choose to proactively provide such information to us. Our products may evolve to address potential customer requirements or to add new features and functionality. Therefore, the full impact of these privacy regimes on our business is rapidly evolving across jurisdictions and remains uncertain at this time.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also be affected by cyber-attacks and other means of gaining unauthorized access to our products, systems, and data. For instance, cyber criminals or insiders may target us or third parties with which we have business relationships to obtain data, or in a manner that disrupts our operations or compromises our products or the systems into which our products are integrated.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In addition, we may not be able to monitor and react to all developments in a timely manner.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or enforce our intellectual property rights or prevent competitors or other unauthorized parties from copying or reverse engineering our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obtain patents and other intellectual property rights covering our technology and products, and to maintain adequate legal protection for our technology and products in the United States and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worldwide. We rely on patent, trademark, copyright, and trade secret laws, as well as confidentiality procedures and contractual restrictions, to establish and protect our proprietary rights, all of which provide only limited protections.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can make no assurances whether any of our pending patent applications will mature into issued patents, or that any of our pending trademark applications will be registered, in a manner that gives us any or adequate defensive protection or competitive advantages. We also do not know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 broad protections to us, or may not prove to be enforceable in actions against alleged infringers.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filed for patents and trademarks in the United States and in certain international jurisdictions, but such protections may not be available, and we may not have applied for protections in all countries in which we operate or sell our products. Though we may have obtained intellectual property and related proprietary rights in various jurisdictions, it may prove difficult to enforce our intellectual property rights in practice. Discovering and protecting against unauthorized use of our 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markets.Failure to adequately protect our intellectual property rights could result in our competitors offering similar products, potentially resulting in the loss of some of our competitive advantage, market share and a decrease in our revenue, which would adversely affect our business, operating results, financial condition and prospects.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Claims that we are infringing third-party intellectual property, whether successful or not, could subject us to costly and time-consuming litigation or expensive licenses, and adversely affect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intellectual property and related contractual litigation, if it is initiated in the future by us or a third party,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against us or seek invalidation or a narrowed scope of our rights, in whole or in part. Any of these events could adversely affect our business, operating results, financial condition and prospects.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vary, but may, in some instances, include indemnification for damages and expenses, including attorneys’ fees. Our insurance does not typically cover intellectual property infringement claims. A claim that our products infringe a third party’s intellectual property rights, even if untrue, could adversely affect our relationships with our customers and deter future customers from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purchasing our products. Our defense of intellectual property rights claims brought against us, or our customers, suppliers or partners, with or without merit, could be time-consuming and expensive to litigate or settle.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Even if we are not a party to any litigation between a customer and a third 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intellectual property and related contractual litigation, if it is initiated in the future by us or a third 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intellectual property applications may not issue or be registered, which may have a material adverse effect on our ability to prevent others from commercially exploiting products similar to ours.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are the first inventor of the subject matter to which we have filed any particular patent application, or if we are the first party to file such a patent application. If another party has filed a patent application to, or otherwise publicly disclosed, subject matter that we are seeking to protect in a given patent application, we may not be entitled to the protection sought by the patent application. We also cannot be certain whether the claims included in a patent application will ultimately be granted as an issued patent since the patent office of the jurisdiction in which a patent application is filed may rule that the subject matter we are seeking to patent is not novel or is obvious or otherwise non-inventive or rule that the patent application and/or claims of the patent application do not comply with one or more other requirements of the patent laws of the jurisdiction. Further, the scope of protection of issued patent claims is often difficult to determine. As a result, we cannot be certain that our issued patents will afford protection against competitors with similar technology. In addition, our competitors may design around our issued patents, which may adversely affect our business, prospects, financial condition and operating results.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In addition to patented technology, we rely on our unpatented proprietary technology, copyrights, trade secrets, proprietary processes and know-how.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rely on proprietary information (including, for example, trade secrets, know-how and confidential information) to protect intellectual property that may not be patentable or subject to copyright or trademark protection, or that we believe is best protected by means that do not require public disclosure. We may seek to protect this proprietary information by entering into confidentiality agreements, or consulting, services or employment agreements that contain non-disclosure and non-use provisions with our employees, consultants, contractors and third parties. We may fail, however, to enter into the necessary agreements, and even if properly executed and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Additionally,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security measures, both physical and electronic,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Also, we may not be able to detect or prevent the unauthorized use of such information or take appropriate and timely steps to enforce our intellectual property rights.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or our employees have wrongfully used or disclosed alleged trade secrets of our employees’ former employers.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we or our employees have inadvertently or otherwise used or disclosed trade secrets or other proprietary information of one or more of an employee’s former employers. Litigation may be necessary to defend us against these claims. If we fail in defending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any such claims, litigation could result in substantial costs and demand on management resources.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Certain of our warrants are accounted for as liabilities and the changes in value of such warrants could have a material effect on our financial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private placement warrants. We evaluated the accounting treatment of our private placement warrants, and determined to classify such warrants as derivative liabilities measured at fair value, with changes in fair value each period reported in earnings. Due to the recurring fair value measurement, we recognize non-cash gains or losses on our private placement warrants each reporting period and the amount of such gains or losses has been material and could continue to be material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accounting treatment of the private placement warrants and public warrants is based on its current interpretation of the SEC Statement and other guidance and may change in light of any further interpretive guidance, as may be applicable.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restatement of CLA’s financial statements may lead to additional risks and uncertainties, including regulatory, litigation, stockholder or other actions, loss of investor and counterparty confidence and negative impacts on our stock price.</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disclosed in the Company’s Current Report on Form 8-K filed with the SEC on May 14, 2021, on May 13, 2021, the Audit Committee of our Board of Directors, in response to the SEC Statement after discussion with management of the Company and based on management’s consultation with Marcum LLP, CLA’s independent registered public accounting firm prior to the Merger, and its legal advisors, concluded that CLA’s previously issued consolidated financial statements as of and for the year ended December 31, 2020 included in CLA’s Annual Report on Form 10-K for the year ended December 31, 2020 should be restated to reflect the impact of the change in accounting for the warrants and accordingly, should no longer be relied upon.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result of the restatement and associated non-reliance on CLA’s previously issued consolidated financial statements for the year ended December 31, 2020, we incurred additional costs. We could also be subject to regulatory, litigation,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which could be material. Any of these occurrences could have a material adverse effect on our business, results of operations, financial condition, and stock price.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and may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or cause our access to the capital markets to be impaired.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our financial statements for year ended December 31,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design and maintain an effective control environment commensurate with our financial reporting requirements. Specifically, we did not maintain a sufficient complement of personnel with an appropriate degree of internal controls and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accounting knowledge, experience, and training commensurate with our accounting and reporting requirements. This material weakness contributed to the following additional material weaknesses: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each of these material weaknesses could result in a misstatement of account balances or disclosures that would result in a material misstatement to the annual or interim consolidated financial statements that would not be prevented or detected.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have taken several measures to design and implement controls to improve our internal control over financial reporting, and continue to make progress towards establishing an effective internal control framework to remediate the foregoing material weaknesses. Our efforts included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Recruiting additional personnel with appropriate internal controls, accounting knowledge and experience commensurate with our accounting and reporting requirements, in addition to engaging and utilizing third party consultants and specialists.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Enhancing Entity Level Controls including increasing Board and Audit Committee oversight, expanding senior management review of financial and business performance, creating an internal audit function and charter, and providing code of conduct trainings.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Strengthening IT governance and designing IT general controls including restricted user access to our internal systems for financial reporting, change management, program development and computer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Designing additional controls for financial close and reporting including review of accounting policies, journal entry review controls, review of significant or non-routine transactions, period end close procedures, financial statement preparation, review, and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undertake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these material weaknesses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and the misappropriation of assets and subject us to potential delisting from the stock exchange on which we list or to other regulatory investigations and civil or criminal sanctions.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be required pursuant to Section 404(a) of the Sarbanes-Oxley Act to furnish a report by management on, among other things, the effectiveness of our internal control over financial reporting for each future annual report on Form 10-K to be filed with the SEC. This assessment will need to include disclosure of any material weaknesses identified by our management in internal control over financial reporting. At such time as we are required to provide management’s foregoing assessment, our independent registered public accounting firm will also be required to attest to the effectiveness of our internal control over financial reporting in each annual report on Form 10-K to be filed with the SEC pursuant to Section 404(b) of the Sarbanes-Oxley Act. We are also required to disclose material changes made in our internal control over financial reporting on a quarterly basis. Failure to comply with the Sarbanes-Oxley Act could potentially subject us to sanctions or investigations by the SEC, the stock exchange on which our securities are listed or other regulatory authorities, which would require additional financial and management resources. We have begun the costly and challenging process of compiling the system and processing documentation necessary to perform the evaluation needed to comply with Section 404, but we may not be able to complete our evaluation, testing and any required remediation in a timely fashion.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increased costs as a result of operating as a public company, and our management will devote substantial time to new compliance initiatives.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incurred and will continue to incur significant legal, accounting and other expenses as a public company that we did not incur as a private company. As a public company, we are subject to the reporting requirements of the Securities Exchange Act of 1934, the Sarbanes-Oxley Act and the Dodd-Frank Wall Street Reform and Consumer Protection Act of 2010 (the “Dodd-Frank Act”), as well as rules adopted, and to be adopted, by the SEC and the applicable stock exchange. Our management and other personnel, many of whom have limited experience managing a public company, will need to devote a substantial amount of time to these compliance initiatives. Moreover, these rules and regulations have substantially increased and we expect to continue to increase our legal and financial compliance costs and make some activities more time-consuming and costly. For example, these rules and regulations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business, results of operations and financial condition have been and could continue to be adversely affected by the COVID-19 pandemic.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caused significant volatility and disruption globally. The COVID-19 measures adopted by governments and businesses, including restrictions on travel and business operations and shelter in place and other quarantine orders, have affected our business, and could continue to adversely affect our business operations or the business operations of our customers. At certain times during the pandemic, the COVID-19 pandemic has impacted our business by slowing the pace of manufacturing ramp up due to employees’ inability to travel to our manufacturing facility in Thailand, temporarily disrupting the operations of certain of our suppliers, and resulting in increased costs of overtime pay and additional personnel in San Francisco to create separate manufacturing teams that rotate every other week in our facility to avoid any possible transmission of COVID-19 between teams. The full impact of the COVID-19 pandemic on our operations depends on factors outside of our control. The duration of the ongoing COVID-19 pandemic and the associated business interruptions may affect our sales, supply chain or the manufacture or distribution of products, which could result in a material adverse effect on our financial condition. Our response to the ongoing COVID-19 pandemic may prove to be inadequate. We may be unable to continue our operations in the manner that we did prior to the outbreak and we may endure interruptions, reputational harm, delays in product development and shipments, all of which could have an adverse effect on our business, operating results, and financial condition. The COVID-19 pandemic may also intensify or exacerbate other risks described in this section.</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facilities in California are located near an earthquake fault and an earthquake or other natural disaster or resource shortage could disrupt our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Important documents and records for our products and manufacturing operations are located in our various facilities in San Francisco, California near active earthquake zones. In the event of a natural disaster such as an earthquake, drought, flood or fire or localized extended outages of critical utilities or transportation we do not have a formal business continuity or disaster recovery plan, and therefore could experience a significant business interruption. In addition, California has from time to time experienced shortages of water, natural gas, and electric power. Future shortages and conservation measures could impact our operations and result in increased expense. In addition, we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 result in delays or cancellations of orders or impede our suppliers’ ability to timely deliver product components, our business, operating results and financial condition would be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cybersecurity risks to operational systems, security systems, infrastructure, firmware in our lidar and customer data processed by us or third-party vendors or suppliers and any material failure, weakness, interruption, cyber event, incident or breach of security could prevent us from effectively operating 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expect to continue to experience actual and attempted cyber-attacks of our IT networks, such as through phishing scams and ransomware. Although none of these actual or attempted cyber-attacks has had a material adverse impact on our operations or financial condition, we cannot guarantee that any such incidents will not have such an impact in the future. For example, 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in-product technology owned by us or our third-party vendors or suppliers; the integrated software in our lidar solutions; or customer or driver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drivers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 In addition, our insurance coverage for cyber-attacks may not be sufficient to cover all the losses we may experience as a result of a cyber incident. Any problems with our third-party cloud hosting providers, whether due to cyber security failures or other causes, could result in lengthy interruptions in our business.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 and Our Warrants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price of our common stock and warrants may be volatile.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price of our common stock, as well as our warrants, may fluctuate due to a variety of factors, including: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the industries in which we and our customers operate;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developments involving our competitors;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laws and regulations affecting our business;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variations in our operating performance and the performance of our competitors in general;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publication of research reports by securities analysts about us or our competitors or our industry;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public’s reaction to our press releases, our other public announcements and our filings with the SEC;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actions by stockholders, including the sale by significant stockholders of any of their shares of our common stock;</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additions and departures of key personnel;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commencement of, or involvement in, litigation involving our company;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volume of shares of our common stock available for public sale;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general economic and political conditions, such as the effects of the COVID-19 outbreak, recessions, interest rates, local and national elections, fuel prices, international currency fluctuations, corruption, political instability and acts of war or terrorism.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market and industry factors may materially reduce the market price of our common stock and warrants regardless of our operating performance.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analysts do not publish research about our business or if they publish inaccurate or unfavorable research, our stock price and trading volume could decline.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spacing w:lineRule="auto" w:line="288" w:before="120" w:after="283"/>
        <w:rPr/>
      </w:pPr>
      <w:r>
        <w:rPr>
          <w:rFonts w:ascii="Times New Roman;sans-serif" w:hAnsi="Times New Roman;sans-serif"/>
          <w:b/>
          <w:i/>
          <w:color w:val="000000"/>
          <w:sz w:val="20"/>
        </w:rPr>
        <w:t>Delaware law and our Certificate of Incorporation and Bylaws</w:t>
      </w:r>
      <w:r>
        <w:rPr>
          <w:color w:val="000000"/>
        </w:rPr>
        <w:t xml:space="preserve"> </w:t>
      </w:r>
      <w:r>
        <w:rPr>
          <w:rFonts w:ascii="Times New Roman;sans-serif" w:hAnsi="Times New Roman;sans-serif"/>
          <w:b/>
          <w:i/>
          <w:color w:val="000000"/>
          <w:sz w:val="20"/>
        </w:rPr>
        <w:t>contain certain provisions, including anti-takeover provisions that limit the ability of stockholders to take certain actions and could delay or discourage takeover attempts that stockholders may consider favorable.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Certification of Incorporation and Bylaws and the Delaware General Corporations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or taking other corporate actions, including effecting changes in our management. Among other things, the Certification of Incorporation and Bylaws include provisions regarding: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providing for a classified board of directors with staggered, three-year terms;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Certificate of Incorporation prohibits cumulative voting in the election of directors, which limits the ability of minority stockholders to elect director candidates;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limitation of the liability of, and the indemnification of, our directors and officers;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board of directors or management.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provisions of our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our Bylaws or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will also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You will not be permitted to exercise your warrants unless we register and qualify the underlying common stock or certain exemptions are available.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the issuance of the common stock upon exercise of our warrants is not registered, qualified or exempt from registration or qualification under the Securities Act and applicable state securities laws, holders of warrants will not be entitled to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exercise such warrants and such warrants may have no value and expire worthless. In such event, holders who acquired their warrants as part of a purchase of units will have paid the full unit purchase price solely for the common stock included in the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the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our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You may only be able to exercise your public warrants on a “cashless basis” under certain circumstances, and if you do so, you will receive fewer shares of common stock from such exercise than if you were to exercise such warrants for cash.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redeem your unexpired warrants prior to their exercise at a time that is disadvantageous to you, thereby making your warrants worthless.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outstanding warrants at any time after they become exercisable and prior to their expiration, at a price of $0.01 per warrant, provided that the closing price of our common stock equals or exceeds $18.00 per share (as adjusted for share splits,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20" w:after="283"/>
        <w:rPr/>
      </w:pPr>
      <w:r>
        <w:rPr>
          <w:rFonts w:ascii="Times New Roman;sans-serif" w:hAnsi="Times New Roman;sans-serif"/>
          <w:b w:val="false"/>
          <w:color w:val="000000"/>
          <w:sz w:val="20"/>
        </w:rPr>
        <w:t>Our corporate headquarters are located in San Francisco, California where we lease approximately 26,125 square feet of office space pursuant to a lease that expires in August 2027. We also lease approximately</w:t>
      </w:r>
      <w:r>
        <w:rPr>
          <w:color w:val="000000"/>
          <w:highlight w:val="white"/>
        </w:rPr>
        <w:t xml:space="preserve"> </w:t>
      </w:r>
      <w:r>
        <w:rPr>
          <w:rFonts w:ascii="Times New Roman;sans-serif" w:hAnsi="Times New Roman;sans-serif"/>
          <w:b w:val="false"/>
          <w:color w:val="000000"/>
          <w:sz w:val="20"/>
        </w:rPr>
        <w:t>20,032</w:t>
      </w:r>
      <w:r>
        <w:rPr>
          <w:color w:val="000000"/>
          <w:highlight w:val="white"/>
        </w:rPr>
        <w:t xml:space="preserve"> </w:t>
      </w:r>
      <w:r>
        <w:rPr>
          <w:rFonts w:ascii="Times New Roman;sans-serif" w:hAnsi="Times New Roman;sans-serif"/>
          <w:b w:val="false"/>
          <w:color w:val="000000"/>
          <w:sz w:val="20"/>
        </w:rPr>
        <w:t xml:space="preserve">square feet of office space in a building adjacent to our corporate headquarters. The term of this second lease expires in August 2027. Both leased premises contain engineering, manufacturing, research and development and administrative functions of the company. We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believe that our office space is adequate for our current needs and, should we need additional space, we believe we will be able to obtain additional space on commercially reasonable terms.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June 10, 2021, we received a letter from the SEC notifying us of an investigation and document subpoena. The subpoena seeks documents regarding projected financial information in CLA’s Form S-4 registration statement filed on December 22, 2020. We are complying with the SEC’s requests to date. We are awaiting information from the SEC on whether there will be next steps, if any beyond current requests to date. Although we believe we are responding in an appropriate manner, there can be no assurance whether this SEC investigation shall conclude, whether the SEC may request production for additional documents and communications, or whether we may be involved in subsequent litigation.</w:t>
      </w:r>
    </w:p>
    <w:p>
      <w:pPr>
        <w:pStyle w:val="TextBody"/>
        <w:spacing w:lineRule="auto" w:line="288" w:before="120" w:after="283"/>
        <w:rPr/>
      </w:pPr>
      <w:r>
        <w:rPr>
          <w:rFonts w:ascii="Times New Roman;sans-serif" w:hAnsi="Times New Roman;sans-serif"/>
          <w:b w:val="false"/>
          <w:color w:val="000000"/>
          <w:sz w:val="20"/>
        </w:rPr>
        <w:t xml:space="preserve">From time to time, we have been and may again become involved in legal proceedings arising in the ordinary course of our business. We are not presently a party to any litigation or legal proceedings that we believe to be material and we are not aware of any pending or threatened litigation against us that we believe could have a material adverse effect on our business, operating results, financial condition or cash flows. </w:t>
      </w:r>
      <w:r>
        <w:rPr>
          <w:rFonts w:ascii="Times New Roman;sans-serif" w:hAnsi="Times New Roman;sans-serif"/>
          <w:b w:val="false"/>
          <w:color w:val="000000"/>
          <w:sz w:val="20"/>
          <w:highlight w:val="white"/>
        </w:rPr>
        <w:t xml:space="preserve">See Note 10 </w:t>
      </w:r>
      <w:r>
        <w:rPr>
          <w:color w:val="000000"/>
        </w:rPr>
        <w:t xml:space="preserve">— </w:t>
      </w:r>
      <w:r>
        <w:rPr>
          <w:rFonts w:ascii="Times New Roman;sans-serif" w:hAnsi="Times New Roman;sans-serif"/>
          <w:b w:val="false"/>
          <w:color w:val="000000"/>
          <w:sz w:val="20"/>
        </w:rPr>
        <w:t>Commitments and Contingencies included in the notes to our audited financial statements included elsewhere in the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common stock and warrants are traded on the NYSE under the symbols “OUST” and “OUST-WS”, respectively.</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lineRule="auto" w:line="288" w:before="120" w:after="283"/>
        <w:rPr/>
      </w:pPr>
      <w:r>
        <w:rPr>
          <w:rFonts w:ascii="Times New Roman;sans-serif" w:hAnsi="Times New Roman;sans-serif"/>
          <w:b w:val="false"/>
          <w:color w:val="000000"/>
          <w:sz w:val="20"/>
        </w:rPr>
        <w:t xml:space="preserve">As of February 28, 2022, </w:t>
      </w:r>
      <w:r>
        <w:rPr>
          <w:rFonts w:ascii="Times New Roman;sans-serif" w:hAnsi="Times New Roman;sans-serif"/>
          <w:b w:val="false"/>
          <w:color w:val="000000"/>
          <w:sz w:val="20"/>
          <w:highlight w:val="white"/>
        </w:rPr>
        <w:t xml:space="preserve">there were 192 registered holders </w:t>
      </w:r>
      <w:r>
        <w:rPr>
          <w:rFonts w:ascii="Times New Roman;sans-serif" w:hAnsi="Times New Roman;sans-serif"/>
          <w:b w:val="false"/>
          <w:color w:val="000000"/>
          <w:sz w:val="20"/>
        </w:rPr>
        <w:t xml:space="preserve">of record of our common stock. The actual number of stockholders of our common stock is greater than this number of record holders and includes stockholders who are beneficial owners but whose shares of common stock are held in street name by banks, brokers and other nominees.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Recent Sales of Unregistered Securities; Purchases of Equity Securities by the Issuer or Affiliated Purchaser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Since January 1, 2021, we have made sales of the following unregistered securities:</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a.On March 11, 2021, we issued 1,767,060 restricted stock units to certain of our directors concurrently with the closing of the Business Combination;</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b.On March 11, 2021, we issued 10,000,000 shares of common stock to certain qualified institutional buyers and accredited investors that agreed to purchase such shares in connection with the Business Combination for aggregate consideration of $100,000,000;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c.On October 22, 2021, we issued 9,987,096 shares of common stock as consideration for the acquisition of Sense, inclusive of 823,114 shares underlying assumed options and 1,573,399 shares which have been initially held back by the Company for purposes of satisfying any post-closing purchase price adjustments and indemnification claims under the merger agreement to acquire Sense. In addition, 4,490,980 restricted stock units issued to employees of Sense immediately prior to the acquisition as retention incentives were assumed by the Company pursuant to such merger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issued the foregoing securities in transactions not involving an underwriter and not requiring registration under Section 5 of the Securities Act of 1933, as amended, in reliance on the exemption afforded by Section 4(a)(2) thereof.</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graph and table illustrate the total return from March 12, 2021 through December 31, 2021, for (i) our common stock, (ii) the Russell 2000 Index, (iii) Luminar Technologies, Inc. (“LAZR”), and (iv) Velodyne Lidar, Inc. (“VLDR”). The lidar sector is emerging and we anticipate additional comparable companies, which presently have limited trading history, to be included in the performance graphs in the ensuing years. Accordingly, the graph below benchmarks Ouster stock trading performance to other leading lidar companies. The graph and the table assume that $100 was invested on August 21, 2020 in each of our common stock, the Russel 2000 Index, LAZR and VLDR, and that any dividends were reinvested. The comparisons reflected in the graph and table are not intended to forecast the future performance of our stock and may not be indicative of our future performance.</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before="120" w:after="283"/>
        <w:rPr/>
      </w:pPr>
      <w:r>
        <w:rPr/>
        <w:drawing>
          <wp:inline distT="0" distB="63500" distL="0" distR="0">
            <wp:extent cx="5715000" cy="2724150"/>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7"/>
                    <a:stretch>
                      <a:fillRect/>
                    </a:stretch>
                  </pic:blipFill>
                  <pic:spPr bwMode="auto">
                    <a:xfrm>
                      <a:off x="0" y="0"/>
                      <a:ext cx="5715000" cy="2724150"/>
                    </a:xfrm>
                    <a:prstGeom prst="rect">
                      <a:avLst/>
                    </a:prstGeom>
                  </pic:spPr>
                </pic:pic>
              </a:graphicData>
            </a:graphic>
          </wp:inline>
        </w:drawing>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August 25, 2020, CLA consummated an initial public offering of 20,000,000 units, each consisting of one Class A ordinary share, $0.0001 par value, and one-half of one redeemable warrant (the “Units”). The Units sold in the Initial Public Offering were sold at an offering price of $10.00 per unit, generating gross proceeds of $200,000,000. BTIG acted as sole book-running manager, of the initial public offering. The securities in the offering were registered under the Securities Act on a registration statement on Form S-1 (No. 333-240378). The Securities and Exchange Commission declared the registration statement effective on August 20, 2020. The proceeds from the initial public offering were used as consideration for the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sans-serif" w:hAnsi="Times;sans-serif"/>
          <w:b/>
          <w:color w:val="000000"/>
          <w:sz w:val="20"/>
        </w:rPr>
      </w:pPr>
      <w:r>
        <w:rPr>
          <w:rFonts w:ascii="Times;sans-serif" w:hAnsi="Times;sans-serif"/>
          <w:b/>
          <w:color w:val="000000"/>
          <w:sz w:val="20"/>
        </w:rPr>
        <w:t xml:space="preserve">Item 7. Management’s Discussion and Analysis of Financial Condition and Results of Operations.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w:t>
      </w:r>
    </w:p>
    <w:p>
      <w:pPr>
        <w:pStyle w:val="TextBody"/>
        <w:spacing w:lineRule="auto" w:line="288" w:before="120" w:after="283"/>
        <w:rPr/>
      </w:pPr>
      <w:r>
        <w:rPr>
          <w:rFonts w:ascii="Times;sans-serif" w:hAnsi="Times;sans-serif"/>
          <w:b w:val="false"/>
          <w:i/>
          <w:color w:val="000000"/>
          <w:sz w:val="20"/>
        </w:rPr>
        <w:t>On December 21, 2020, Ouster Technologies, Inc. (“OTI”, prior to the Merger, named Ouster, Inc.)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“Business Combination”), as further described below.</w:t>
      </w:r>
      <w:r>
        <w:rPr>
          <w:color w:val="000000"/>
        </w:rPr>
        <w:t xml:space="preserve"> </w:t>
      </w:r>
      <w:r>
        <w:rPr>
          <w:rFonts w:ascii="Times;sans-serif" w:hAnsi="Times;sans-serif"/>
          <w:b w:val="false"/>
          <w:i/>
          <w:color w:val="000000"/>
          <w:sz w:val="20"/>
        </w:rPr>
        <w:t>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over 600 paying customers including approximately 40 distributors in the year ended December 31,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product offering today includes three models of sensors in our OS product line: the ultra-wide field of view OS0, the mid-range OS1, and the long-range OS2. In January 2020 we released new models in our OS product line, increasing the resolution of our OS1 model and introducing the OS0 and OS2 models.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DF product line, which is a suite of short, mid, and long-range solid-state digital lidar sensors that provide uniform precision imaging without motion blur across an entire field of view. In October of 2021, Ouster acquired Sense Photonics, Inc. (“Sense”) a developer of solid-state flash lidar based on VCSEL and SPAD technology. This acquisition enables the development of the DF sensor line which leverages technology and engineering expertise from both companies. As such, the product line has been renamed to reflect the underlying technology of our solid-state sensor lineup.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the simplicity of our digital lidar design gives us a meaningful advantage in costs related to manufacturing, supply chain and production yields. The same digital lidar architecture underpins our entire product portfolio which we believe drives economies of scale in our supply chains and speeds time to market. With virtually unlimited software-defined products driving low-cost customization, we are able to increase stock keeping units (“SKUs”) for industry-specific applications, expanding our product offering with minimal manufacturing or inventory changes. Additionally, we are successfully expanding our manufacturing capacity by outsourcing to our manufacturing partner, Benchmark Electronics, Inc. (“Benchmark”).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won and are actively negotiating a number of additional, multi-year sales contracts which includes our Strategic Customer Agreements (“SCAs”) which establish a multi-year purchase and supply framework for Ouster and the customer, and include details about customer programs and applications where the customer intends to use Ouster products. SCAs also include multi-year binding and non-binding customer forecasts (typically of three to five years in length) that provide Ouster with more visibility into its customers' potential business requirements as well as potential revenue streams derived from sources such as mutually agreed upon pricing over the duration of the agreement.</w:t>
      </w:r>
    </w:p>
    <w:p>
      <w:pPr>
        <w:pStyle w:val="TextBody"/>
        <w:spacing w:lineRule="auto" w:line="288" w:before="120" w:after="283"/>
        <w:rPr/>
      </w:pPr>
      <w:r>
        <w:rPr>
          <w:rFonts w:ascii="Times New Roman;sans-serif" w:hAnsi="Times New Roman;sans-serif"/>
          <w:b w:val="false"/>
          <w:color w:val="000000"/>
          <w:sz w:val="20"/>
        </w:rPr>
        <w:t>We founded Ouster in 2015 with the invention of our high-performance digital lidar. Since then, we have grown to approximately</w:t>
      </w:r>
      <w:r>
        <w:rPr>
          <w:color w:val="000000"/>
          <w:highlight w:val="white"/>
        </w:rPr>
        <w:t xml:space="preserve"> </w:t>
      </w:r>
      <w:r>
        <w:rPr>
          <w:rFonts w:ascii="Times New Roman;sans-serif" w:hAnsi="Times New Roman;sans-serif"/>
          <w:b w:val="false"/>
          <w:color w:val="000000"/>
          <w:sz w:val="20"/>
          <w:highlight w:val="white"/>
        </w:rPr>
        <w:t>278 employees serving over 600 paying customers globally in the year ended December 31, 2021. To continue to grow our bus</w:t>
      </w:r>
      <w:r>
        <w:rPr>
          <w:rFonts w:ascii="Times New Roman;sans-serif" w:hAnsi="Times New Roman;sans-serif"/>
          <w:b w:val="false"/>
          <w:color w:val="000000"/>
          <w:sz w:val="20"/>
        </w:rPr>
        <w:t>iness in the coming years, we have expanded and plan to continue to expand our sales and marketing efforts and our software development capabilities, and to accelerate sensor development efforts. We are headquartered in San Francisco, CA.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Merger Agreement with Colonnade Acquisition Corp. and Beam Merger Sub,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2020, OTI entered into the Merger Agreement with CLA, and Merger Sub.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name to “Ouster, Inc.” (with CLA after such domestication and the other transactions pursuant to the Merger Agreement being referred to as the “Company”) and (ii) Merger Sub merged with and into OTI (the “Merger”), with OTI surviving the Merger.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warrant to purchase one share of Ouster common stock pursuant to the Warrant Agreement. No fractional Public warrants were issued upon separation of the CLA units.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the closing of the Merger, the Company received gross proceeds of $299.9 million from the Merger and private offering, offset by $8.5 million of pre-merger costs relating to CLA and offering costs of $26.6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Sense Acquisition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October 22, 2021, we completed the acquisition of Sense, a lidar technology company for autonomous vehicles, and formally established Ouster Automotive, a new functional division of the Company focusing on driving mass-market adoption of digital lidar in consumer and commercial vehicles. The transaction has been accounted for as a business combination. We purchased all of the outstanding shares of the capital stock of Sense and settled all Sense debt for a total consideration of $72.8 million comprised of 9,163,982 shares of the our common stock having a fair value of $60.0 million, fully vested replacement equity awards having a fair value of $1.1 million and a cash payment of $11.7 million to settle Sense pre-existing debt and transaction costs incurred by Sense in connection with the acquisition. We issued and held back 1,573,427 shares of common stock with the aggregate fair value of $10.3 million to satisfy any necessary adjustments, including without limitation certain indemnification claims and net working capital shortfall (“Holdback Shares”). The Holdback Shares will be released, net of any shares necessary to satisfy all unsatisfied or disputed claims for indemnification and net working capital shortfall, and distributed to the Sense stockholders in 18 months from the acquisition date. The Holdback Shares are considered issued and outstanding from a legal perspective and have the same economic and voting rights as other issued and outstanding shares of our common stock. We expect this acquisition will continue to help us expand our presence in the automotive vertical by executing on our hiring goals and product roadmap on a faster timeline.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2020 and 2021, the worldwide spread of the pandemic caused by the novel coronavirus (“COVID-19”), including several of its variants, and the measures intended to contain the spread of COVID-19, have resulted in a global slowdown of economic activity and caused disruptions to our business. In particular, our headquarters are based in the San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Francisco Bay Area, which has been subject to ongoing government measures and orders such as quarantines and social distancing. During the second and third quarters of 2020 we slowed our operating and capital spending with the expectation that our revenue and ability to raise capital would be impacted by the global pandemic. We believe that our overall growth rate during 2020 and 2021 was negatively impacted by the pandemic due in part to pandemic related supply chain issues, though, despite this impact, we were able to continue to grow our sales during 2021 and estimate that in the long-term the pandemic will act as a catalyst for wider adoption of automation and lidar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San Francisco Bay Area based company, we were affected by the “shelter in place” order in the first and second quarter of 2020. While the majority of our employees were able to work remotely, some employees, especially manufacturing employees, were not able to work from home. The “shelter in place” order delayed order fulfillment and revenue recognition during the first and second quarters of 2020. We continued to pay employees during the “shelter in place” order whether or not they were able to work. Manufacturing and order fulfillment employees were able to return to work in the second quarter of 2020; however, the number of employees allowed on premises at one time was greatly reduced as a result of the California reduced capacity mandates, which also affected our ability to fulfill orders and recognize revenue. Some essential employees were paid hazard pay, and the hazard pay combined with underutilized employee pay increased our employee overhead and decreased gross margins in the first and second quarter of 2020. Manufacturing employees continued to work in a reduced capacity at our San Francisco facility until the second quarter of 2021. We have moved a large portion of our manufacturing to our contract manufacturer in Thailand, which allowed us to satisfy demand for our digital lidar sensors in the first two quarters of 2021 and consequently allowing us to increase our year over year revenue. This trend continued throughout the rest of 2021 as we continued to ramp manufacturing at our contract manufacturer.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suppliers are located worldwide, and some of our key suppliers have been affected by the pandemic resulting in supply chain disruptions. We have experienced and continue to experience some unfavorable purchase price variance and situational expedite fees in order to meet production and delivery timelines. While we may see additional or new pressures on our supply chain both related and unrelated to the pandemic, we are actively taking steps to mitigate the impact of the materials shortages on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While we experienced quarter-over-quarter increases in revenue in 2020 and 2021, some customers have delayed orders and production schedules due to COVID-19. The pandemic continues to evolve, and the full extent to which the COVID-19 pandemic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new information that may emerge concerning COVID-19, the development of new variants of the disease and the actions taken to contain, prevent or treat COVID-19, rate and success of vaccination efforts, vaccine hesitancy, any resurgence of the pandemic in areas where we, Benchmark or our suppliers operate, and the economic impact on local, regional, national and international customers and markets.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Going forward, the situation remains uncertain, rapidly changing and hard to predict, and the COVID-19 pandemic may have a material negative impact on our future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Factors Affecting Our Performance</w:t>
      </w:r>
    </w:p>
    <w:p>
      <w:pPr>
        <w:pStyle w:val="TextBody"/>
        <w:spacing w:lineRule="auto" w:line="288" w:before="120" w:after="283"/>
        <w:rPr/>
      </w:pPr>
      <w:r>
        <w:rPr>
          <w:rFonts w:ascii="Times New Roman;sans-serif" w:hAnsi="Times New Roman;sans-serif"/>
          <w:b w:val="false"/>
          <w:i/>
          <w:color w:val="000000"/>
          <w:sz w:val="20"/>
        </w:rPr>
        <w:t>Supply Chain Continuity.</w:t>
      </w:r>
      <w:r>
        <w:rPr>
          <w:color w:val="000000"/>
        </w:rPr>
        <w:t xml:space="preserve"> </w:t>
      </w:r>
      <w:r>
        <w:rPr>
          <w:rFonts w:ascii="Times New Roman;sans-serif" w:hAnsi="Times New Roman;sans-serif"/>
          <w:b w:val="false"/>
          <w:color w:val="000000"/>
          <w:sz w:val="20"/>
        </w:rPr>
        <w:t>A recent surge in demand for electronics containing semiconductor chips and stockpiling of chips by certain companies has created disruptions in the supply chain, resulting in a global chip shortage impacting our industry. Some chip manufacturers are estimating this supply shortage may continue into 2022. These chip manufacturers are working to increase capacity in the future, and we are managing our inventory and working closely with our regular supplie</w:t>
      </w:r>
      <w:r>
        <w:rPr>
          <w:rFonts w:ascii="Times New Roman;sans-serif" w:hAnsi="Times New Roman;sans-serif"/>
          <w:b w:val="false"/>
          <w:color w:val="000000"/>
          <w:sz w:val="20"/>
          <w:highlight w:val="white"/>
        </w:rPr>
        <w:t>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 ended December 31, 2021 and may continue to do so. We anticipate fluctuation in our cost of goods sold over the next 12-18 months as a result of ongoing supply chain constraints. These constraints have caused and may in the future cause us to implement certain temporary price surcharges. Over time, we expect our overall average selling prices to decline as our volume increases. If our mitigating efforts are not successful or the shortage continues or worsens in ways we did not anticipate, our ability to supply or improve our current products as well as our development and rollout of future products could also be adversely affected.</w:t>
      </w:r>
    </w:p>
    <w:p>
      <w:pPr>
        <w:pStyle w:val="TextBody"/>
        <w:spacing w:lineRule="auto" w:line="288" w:before="120" w:after="283"/>
        <w:rPr/>
      </w:pPr>
      <w:r>
        <w:rPr>
          <w:rFonts w:ascii="Times New Roman;sans-serif" w:hAnsi="Times New Roman;sans-serif"/>
          <w:b w:val="false"/>
          <w:i/>
          <w:color w:val="000000"/>
          <w:sz w:val="20"/>
        </w:rPr>
        <w:t xml:space="preserve">Commercialization of Lidar Applications. </w:t>
      </w:r>
      <w:r>
        <w:rPr>
          <w:rFonts w:ascii="Times New Roman;sans-serif" w:hAnsi="Times New Roman;sans-serif"/>
          <w:b w:val="false"/>
          <w:color w:val="000000"/>
          <w:sz w:val="20"/>
        </w:rPr>
        <w:t xml:space="preserve">We believe that lidar is approaching its inflection point of adoption across our target end market 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pStyle w:val="TextBody"/>
        <w:spacing w:lineRule="auto" w:line="288" w:before="120" w:after="283"/>
        <w:rPr/>
      </w:pPr>
      <w:r>
        <w:rPr>
          <w:rFonts w:ascii="Times New Roman;sans-serif" w:hAnsi="Times New Roman;sans-serif"/>
          <w:b w:val="false"/>
          <w:i/>
          <w:color w:val="000000"/>
          <w:sz w:val="20"/>
        </w:rPr>
        <w:t xml:space="preserve">Number of Customers in Production. </w:t>
      </w:r>
      <w:r>
        <w:rPr>
          <w:rFonts w:ascii="Times New Roman;sans-serif" w:hAnsi="Times New Roman;sans-serif"/>
          <w:b w:val="false"/>
          <w:color w:val="000000"/>
          <w:sz w:val="20"/>
        </w:rPr>
        <w:t>For certain strategic customers and markets, our products must be integrated into a broader platform, which then 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pStyle w:val="TextBody"/>
        <w:spacing w:lineRule="auto" w:line="288" w:before="120" w:after="283"/>
        <w:rPr/>
      </w:pPr>
      <w:r>
        <w:rPr>
          <w:rFonts w:ascii="Times New Roman;sans-serif" w:hAnsi="Times New Roman;sans-serif"/>
          <w:b w:val="false"/>
          <w:i/>
          <w:color w:val="000000"/>
          <w:sz w:val="20"/>
        </w:rPr>
        <w:t>Customers’ Sales Volumes.</w:t>
      </w:r>
      <w:r>
        <w:rPr>
          <w:color w:val="000000"/>
        </w:rPr>
        <w:t xml:space="preserve"> </w:t>
      </w:r>
      <w:r>
        <w:rPr>
          <w:rFonts w:ascii="Times New Roman;sans-serif" w:hAnsi="Times New Roman;sans-serif"/>
          <w:b w:val="false"/>
          <w:color w:val="000000"/>
          <w:sz w:val="20"/>
        </w:rPr>
        <w:t>Our customer base is diversified and we will continue to penetrate into diverse end markets to increase our sales 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pStyle w:val="TextBody"/>
        <w:spacing w:lineRule="auto" w:line="288" w:before="120" w:after="283"/>
        <w:rPr/>
      </w:pPr>
      <w:r>
        <w:rPr>
          <w:rFonts w:ascii="Times New Roman;sans-serif" w:hAnsi="Times New Roman;sans-serif"/>
          <w:b w:val="false"/>
          <w:i/>
          <w:color w:val="000000"/>
          <w:sz w:val="20"/>
        </w:rPr>
        <w:t xml:space="preserve">Average Selling Prices (“ASPs”), Product Costs and Margins. </w:t>
      </w:r>
      <w:r>
        <w:rPr>
          <w:rFonts w:ascii="Times New Roman;sans-serif" w:hAnsi="Times New Roman;sans-serif"/>
          <w:b w:val="false"/>
          <w:color w:val="000000"/>
          <w:sz w:val="20"/>
        </w:rPr>
        <w:t>Our product costs and gross margins depend largely on the volumes of sensors sold 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as well as supply chain constraints discussed above. We expect these customer-specific selling price fluctuations combined with our volume-driven product costs may drive fluctuations in revenue and gross margins on a quarterly basis. However, notwithstanding any short-term price surcharge on our products, we expect that over time our volume-driven product costs will lead to gross margin improvement as our sales volume increases.</w:t>
      </w:r>
    </w:p>
    <w:p>
      <w:pPr>
        <w:pStyle w:val="TextBody"/>
        <w:spacing w:lineRule="auto" w:line="288" w:before="120" w:after="283"/>
        <w:rPr/>
      </w:pPr>
      <w:r>
        <w:rPr>
          <w:rFonts w:ascii="Times New Roman;sans-serif" w:hAnsi="Times New Roman;sans-serif"/>
          <w:b w:val="false"/>
          <w:i/>
          <w:color w:val="000000"/>
          <w:sz w:val="20"/>
        </w:rPr>
        <w:t>Competition.</w:t>
      </w:r>
      <w:r>
        <w:rPr>
          <w:color w:val="000000"/>
        </w:rPr>
        <w:t xml:space="preserve"> </w:t>
      </w:r>
      <w:r>
        <w:rPr>
          <w:rFonts w:ascii="Times New Roman;sans-serif" w:hAnsi="Times New Roman;sans-serif"/>
          <w:b w:val="false"/>
          <w:color w:val="000000"/>
          <w:sz w:val="20"/>
        </w:rPr>
        <w:t>Lidar is an emerging market, and there are competitors for the growing market. This has created downward pressure on our ASPs, particularly in the Asia and Pacific region. We expect this pressure to continue to push our ASPs lower in the coming years. However, we believe that because of our complementary metal-oxide-semiconductor, (“CMOS”), digital lidar technology, we are in the position to scale more rapidly than our analog competitors and leverage our scale to deliver positive gross margins.</w:t>
      </w:r>
    </w:p>
    <w:p>
      <w:pPr>
        <w:pStyle w:val="TextBody"/>
        <w:spacing w:lineRule="auto" w:line="288" w:before="120" w:after="283"/>
        <w:rPr/>
      </w:pPr>
      <w:r>
        <w:rPr>
          <w:rFonts w:ascii="Times New Roman;sans-serif" w:hAnsi="Times New Roman;sans-serif"/>
          <w:b w:val="false"/>
          <w:i/>
          <w:color w:val="000000"/>
          <w:sz w:val="20"/>
        </w:rPr>
        <w:t xml:space="preserve">Continued Investment and Innovation. </w:t>
      </w:r>
      <w:r>
        <w:rPr>
          <w:rFonts w:ascii="Times New Roman;sans-serif" w:hAnsi="Times New Roman;sans-serif"/>
          <w:b w:val="false"/>
          <w:color w:val="000000"/>
          <w:sz w:val="20"/>
        </w:rPr>
        <w:t>We believe that we are a leading digital lidar provider. Our financial performance is significantly dependent on 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pStyle w:val="TextBody"/>
        <w:spacing w:lineRule="auto" w:line="288" w:before="120" w:after="283"/>
        <w:rPr/>
      </w:pPr>
      <w:r>
        <w:rPr>
          <w:rFonts w:ascii="Times New Roman;sans-serif" w:hAnsi="Times New Roman;sans-serif"/>
          <w:b w:val="false"/>
          <w:i/>
          <w:color w:val="000000"/>
          <w:sz w:val="20"/>
        </w:rPr>
        <w:t>Market Trends and Uncertainties.</w:t>
      </w:r>
      <w:r>
        <w:rPr>
          <w:color w:val="000000"/>
        </w:rPr>
        <w:t xml:space="preserve"> </w:t>
      </w:r>
      <w:r>
        <w:rPr>
          <w:rFonts w:ascii="Times New Roman;sans-serif" w:hAnsi="Times New Roman;sans-serif"/>
          <w:b w:val="false"/>
          <w:color w:val="000000"/>
          <w:sz w:val="20"/>
        </w:rPr>
        <w:t>We anticipate robust demand for our digital lidar solution. We estimate a multibillion dollar total addressable 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pStyle w:val="TextBody"/>
        <w:spacing w:lineRule="auto" w:line="288" w:before="120" w:after="283"/>
        <w:rPr/>
      </w:pPr>
      <w:r>
        <w:rPr>
          <w:rFonts w:ascii="Times New Roman;sans-serif" w:hAnsi="Times New Roman;sans-serif"/>
          <w:b w:val="false"/>
          <w:i/>
          <w:color w:val="000000"/>
          <w:sz w:val="20"/>
        </w:rPr>
        <w:t>International Expansion.</w:t>
      </w:r>
      <w:r>
        <w:rPr>
          <w:color w:val="000000"/>
        </w:rPr>
        <w:t xml:space="preserve"> </w:t>
      </w:r>
      <w:r>
        <w:rPr>
          <w:rFonts w:ascii="Times New Roman;sans-serif" w:hAnsi="Times New Roman;sans-serif"/>
          <w:b w:val="false"/>
          <w:color w:val="000000"/>
          <w:sz w:val="20"/>
        </w:rPr>
        <w:t xml:space="preserve">We view international expansion as an important element of our strategy to increase revenue and achieve profitability. We 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 We also expect more of our revenue to come from international customers, and anticipate that our sales from regions outside of North and South America will continue to grow over the long-term.</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gross profit equals total revenues less our total cost of revenues, and our gross margin is our gross profit expressed as a percentage of total revenue. We experienced negative gross margins from the fourth quarter of 2018 until we turned gross margin positive during 2020 primarily due to increased unit volumes which improved our ability to absorb fixed costs and lowered material costs by increasing our buying power and a shift to outsourced mass production of our sensors to Benchmark, who has leverage for greater volume discounts and lower overhead costs. Subject to quarterly fluctuations and volatility, we expect unit costs to improve as we manufacture higher unit volumes of sensors and a greater portion of our sensors are produced by our contract manufacturer in Thailand.</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activities are primarily conducted at our San Francisco based headquarters and our additional R&amp;D facility in Edinburgh, Scotland and consist of the following activities: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Design, prototyping, and testing of proprietary electrical, optical, and mechanical subsystems for our digital lidar products;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Robust testing for industrial and autonomous vehicle safety certifications;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Development of new products and enhancements to existing products in response to customer requirements including firmware development and software development of lidar integration products;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Custom system-on-a-chip (“SoC”) design for Ouster’s digital lidar products;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Development of custom manufacturing equipment.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R&amp;D expenses consist of personnel-related expenses, including salaries, benefits, and stock-based compensation, for all personnel directly involved in R&amp;D activities, third-party engineering and contractor costs, and prototype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R&amp;D costs are expensed as they are incurred. Our investment in R&amp;D will continue to grow as we invest in new lidar technology and related software. Our absolute amount of R&amp;D expenses will grow over time; however, we expect R&amp;D as a percentage of revenue to decrease annually as our business grows.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We have experienced additional sales and marketing expenses as a result of our global expansion, but expect sales and marketing spend as a percentage of revenue to decrease over time as our business grows.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annually as our business grows. We have experienced and may in the near term experience additional increases in general and administrative expenses related to hiring more personnel and consultants to support our growing international expansion and compliance with the applicable provisions of the Sarbanes-Oxley Act (“SOX”) and other U.S. Securities and Exchange Commission (“SEC”) rules and regulations as a result of being a public company.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Other Income (Expense), Net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discounts. Other income (expense), net consists primarily of realized and unrealized gains and losses on foreign currency transactions and balances, the change in fair value of financial instruments, including warrants issued in connection with a debt agreement, and warrants initially issued by CLA in a private placement.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net deferred tax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years ended December 31, 2021, 2020 and 2019:</w:t>
      </w:r>
    </w:p>
    <w:tbl>
      <w:tblPr>
        <w:tblW w:w="7616" w:type="dxa"/>
        <w:jc w:val="left"/>
        <w:tblInd w:w="0" w:type="dxa"/>
        <w:tblCellMar>
          <w:top w:w="28" w:type="dxa"/>
          <w:left w:w="28" w:type="dxa"/>
          <w:bottom w:w="28" w:type="dxa"/>
          <w:right w:w="28" w:type="dxa"/>
        </w:tblCellMar>
      </w:tblPr>
      <w:tblGrid>
        <w:gridCol w:w="1254"/>
        <w:gridCol w:w="1103"/>
        <w:gridCol w:w="1107"/>
        <w:gridCol w:w="211"/>
        <w:gridCol w:w="796"/>
        <w:gridCol w:w="109"/>
        <w:gridCol w:w="109"/>
        <w:gridCol w:w="109"/>
        <w:gridCol w:w="109"/>
        <w:gridCol w:w="211"/>
        <w:gridCol w:w="901"/>
        <w:gridCol w:w="109"/>
        <w:gridCol w:w="109"/>
        <w:gridCol w:w="109"/>
        <w:gridCol w:w="109"/>
        <w:gridCol w:w="211"/>
        <w:gridCol w:w="796"/>
        <w:gridCol w:w="154"/>
      </w:tblGrid>
      <w:tr>
        <w:trPr/>
        <w:tc>
          <w:tcPr>
            <w:tcW w:w="125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(51,661)</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statements of operations and comprehensive loss data as a percentage of revenue for the periods presented:</w:t>
      </w:r>
    </w:p>
    <w:tbl>
      <w:tblPr>
        <w:tblW w:w="6597" w:type="dxa"/>
        <w:jc w:val="left"/>
        <w:tblInd w:w="0" w:type="dxa"/>
        <w:tblCellMar>
          <w:top w:w="28" w:type="dxa"/>
          <w:left w:w="28" w:type="dxa"/>
          <w:bottom w:w="28" w:type="dxa"/>
          <w:right w:w="28" w:type="dxa"/>
        </w:tblCellMar>
      </w:tblPr>
      <w:tblGrid>
        <w:gridCol w:w="1254"/>
        <w:gridCol w:w="1104"/>
        <w:gridCol w:w="1107"/>
        <w:gridCol w:w="269"/>
        <w:gridCol w:w="271"/>
        <w:gridCol w:w="271"/>
        <w:gridCol w:w="109"/>
        <w:gridCol w:w="109"/>
        <w:gridCol w:w="109"/>
        <w:gridCol w:w="268"/>
        <w:gridCol w:w="272"/>
        <w:gridCol w:w="271"/>
        <w:gridCol w:w="109"/>
        <w:gridCol w:w="109"/>
        <w:gridCol w:w="109"/>
        <w:gridCol w:w="268"/>
        <w:gridCol w:w="272"/>
        <w:gridCol w:w="316"/>
      </w:tblGrid>
      <w:tr>
        <w:trPr/>
        <w:tc>
          <w:tcPr>
            <w:tcW w:w="125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tbl>
      <w:tblPr>
        <w:tblW w:w="6461" w:type="dxa"/>
        <w:jc w:val="left"/>
        <w:tblInd w:w="0" w:type="dxa"/>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721"/>
        <w:gridCol w:w="109"/>
        <w:gridCol w:w="109"/>
        <w:gridCol w:w="109"/>
        <w:gridCol w:w="109"/>
        <w:gridCol w:w="211"/>
        <w:gridCol w:w="616"/>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2021, 2020 and 2019</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Revenue</w:t>
      </w:r>
    </w:p>
    <w:tbl>
      <w:tblPr>
        <w:tblW w:w="10205" w:type="dxa"/>
        <w:jc w:val="left"/>
        <w:tblInd w:w="0" w:type="dxa"/>
        <w:tblCellMar>
          <w:top w:w="28" w:type="dxa"/>
          <w:left w:w="28" w:type="dxa"/>
          <w:bottom w:w="28" w:type="dxa"/>
          <w:right w:w="28" w:type="dxa"/>
        </w:tblCellMar>
      </w:tblPr>
      <w:tblGrid>
        <w:gridCol w:w="662"/>
        <w:gridCol w:w="463"/>
        <w:gridCol w:w="46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47"/>
        <w:gridCol w:w="250"/>
        <w:gridCol w:w="271"/>
        <w:gridCol w:w="109"/>
        <w:gridCol w:w="109"/>
        <w:gridCol w:w="109"/>
        <w:gridCol w:w="211"/>
        <w:gridCol w:w="616"/>
        <w:gridCol w:w="109"/>
        <w:gridCol w:w="109"/>
        <w:gridCol w:w="109"/>
        <w:gridCol w:w="109"/>
        <w:gridCol w:w="232"/>
        <w:gridCol w:w="234"/>
        <w:gridCol w:w="319"/>
      </w:tblGrid>
      <w:tr>
        <w:trPr/>
        <w:tc>
          <w:tcPr>
            <w:tcW w:w="66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2021 - 2020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2020 - 2019 Change</w:t>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location: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excluding United States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2021 Compared to Year Ended December 31, 2020</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Product Revenue</w:t>
      </w:r>
    </w:p>
    <w:p>
      <w:pPr>
        <w:pStyle w:val="TextBody"/>
        <w:spacing w:lineRule="auto" w:line="288" w:before="120" w:after="283"/>
        <w:rPr/>
      </w:pPr>
      <w:r>
        <w:rPr>
          <w:rFonts w:ascii="Times New Roman;sans-serif" w:hAnsi="Times New Roman;sans-serif"/>
          <w:b w:val="false"/>
          <w:color w:val="000000"/>
          <w:sz w:val="20"/>
        </w:rPr>
        <w:t xml:space="preserve">Product revenue increased by </w:t>
      </w:r>
      <w:r>
        <w:rPr>
          <w:rFonts w:ascii="Times New Roman;sans-serif" w:hAnsi="Times New Roman;sans-serif"/>
          <w:b w:val="false"/>
          <w:color w:val="000000"/>
          <w:sz w:val="20"/>
          <w:highlight w:val="white"/>
        </w:rPr>
        <w:t>$16.7 million</w:t>
      </w:r>
      <w:r>
        <w:rPr>
          <w:rFonts w:ascii="Times New Roman;sans-serif" w:hAnsi="Times New Roman;sans-serif"/>
          <w:b w:val="false"/>
          <w:color w:val="000000"/>
          <w:sz w:val="20"/>
        </w:rPr>
        <w:t xml:space="preserve">, or 99%, to </w:t>
      </w:r>
      <w:r>
        <w:rPr>
          <w:rFonts w:ascii="Times New Roman;sans-serif" w:hAnsi="Times New Roman;sans-serif"/>
          <w:b w:val="false"/>
          <w:color w:val="000000"/>
          <w:sz w:val="20"/>
          <w:highlight w:val="white"/>
        </w:rPr>
        <w:t>$33.6 million</w:t>
      </w:r>
      <w:r>
        <w:rPr>
          <w:color w:val="000000"/>
        </w:rPr>
        <w:t xml:space="preserve"> </w:t>
      </w:r>
      <w:r>
        <w:rPr>
          <w:rFonts w:ascii="Times New Roman;sans-serif" w:hAnsi="Times New Roman;sans-serif"/>
          <w:b w:val="false"/>
          <w:color w:val="000000"/>
          <w:sz w:val="20"/>
        </w:rPr>
        <w:t xml:space="preserve">for the year ended December 31, 2021 from </w:t>
      </w:r>
      <w:r>
        <w:rPr>
          <w:rFonts w:ascii="Times New Roman;sans-serif" w:hAnsi="Times New Roman;sans-serif"/>
          <w:b w:val="false"/>
          <w:color w:val="000000"/>
          <w:sz w:val="20"/>
          <w:highlight w:val="white"/>
        </w:rPr>
        <w:t>$16.9 million</w:t>
      </w:r>
      <w:r>
        <w:rPr>
          <w:color w:val="000000"/>
        </w:rPr>
        <w:t> </w:t>
      </w:r>
      <w:r>
        <w:rPr>
          <w:rFonts w:ascii="Times New Roman;sans-serif" w:hAnsi="Times New Roman;sans-serif"/>
          <w:b w:val="false"/>
          <w:color w:val="000000"/>
          <w:sz w:val="20"/>
        </w:rPr>
        <w:t>for the prior year. The incr</w:t>
      </w:r>
      <w:r>
        <w:rPr>
          <w:rFonts w:ascii="Times New Roman;sans-serif" w:hAnsi="Times New Roman;sans-serif"/>
          <w:b w:val="false"/>
          <w:color w:val="000000"/>
          <w:sz w:val="20"/>
          <w:highlight w:val="white"/>
        </w:rPr>
        <w:t xml:space="preserve">ease in product revenue was driven by an increase in volume of 202%, which we attribute primarily to the expansion of our sales team and the increase of high volume, long-term deals as some of our customers begin to move into the production stage with their autonomous products. Our average selling price declined by 34% as expected as we sell higher volumes and are able to reduce our cost of goods sold per unit.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Service Revenue</w:t>
      </w:r>
    </w:p>
    <w:p>
      <w:pPr>
        <w:pStyle w:val="TextBody"/>
        <w:spacing w:lineRule="auto" w:line="288" w:before="120" w:after="283"/>
        <w:rPr/>
      </w:pPr>
      <w:r>
        <w:rPr>
          <w:rFonts w:ascii="Times New Roman;sans-serif" w:hAnsi="Times New Roman;sans-serif"/>
          <w:b w:val="false"/>
          <w:color w:val="000000"/>
          <w:sz w:val="20"/>
          <w:highlight w:val="white"/>
        </w:rPr>
        <w:t xml:space="preserve">Service revenue decreased by $2.0 million, or 100%, from the prior year. This decrease in revenue was due to no non-recurring engineering work in the year ended </w:t>
      </w:r>
      <w:r>
        <w:rPr>
          <w:rFonts w:ascii="Times New Roman;sans-serif" w:hAnsi="Times New Roman;sans-serif"/>
          <w:b w:val="false"/>
          <w:color w:val="000000"/>
          <w:sz w:val="20"/>
        </w:rPr>
        <w:t xml:space="preserve">December 31, 2021. </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Geographic Locations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 in the United States; Americas excluding the United States; Europe, the Middle East and Africa; and Asia and Pacific increased approximately by $6.5 million, $0.4 million, $4.7 million, and $3.1 million, respectively, in the year ended December 31, 2021 compared to the prior year. The year-over-year global increases for all regions are a result of our investments in personnel and global expansion. We have grown our commercial team across the Americas, Asia Pacific, Europe and the Middle East markets and brought on experienced leaders to develop a focused sales organization geared towards ramping our sales pipeline.</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2020 Compared to Year Ended December 31, 2019</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Product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Product revenue increased by $7.1 million, or 72%, to $16.9 million for the year ended December 31, 2020 from $9.8 million for the year ended December 31, 2019. The increase in product revenue was driven by an increase in volume of 53%, which we attribute primarily to the release of new products and expansion of our sales team into new geographic regions, and an increase in average selling price of 12% which we attribute primarily to more favorable average selling prices for new products.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Service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Service revenue increased by $0.4 million, or 25%, to $2.0 million for the year ended December 31, 2020 from $1.6 million for the year ended December 31, 2019. This revenue represents non-recurring engineering work in relation to our new product release in early 2020.</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Geographic Locations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Revenue increased across the geographic regions of the United States, Americas excluding United States, Europe, Middle East and Africa, and Asia and Pacific by $1.3 million, $0.1 million, $3.5 million, and $2.6 million, respectively, for the year ended December 31, 2020. The increases in Asia and Pacific and Europe, Middle East and Africa geographic regions were a result of recent expansion in those regions. We opened sales offices in these regions in late 2019 and have since focused our sales resources on expanding globally.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tbl>
      <w:tblPr>
        <w:tblW w:w="9764" w:type="dxa"/>
        <w:jc w:val="left"/>
        <w:tblInd w:w="0" w:type="dxa"/>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8"/>
        <w:gridCol w:w="272"/>
        <w:gridCol w:w="271"/>
        <w:gridCol w:w="109"/>
        <w:gridCol w:w="109"/>
        <w:gridCol w:w="109"/>
        <w:gridCol w:w="211"/>
        <w:gridCol w:w="466"/>
        <w:gridCol w:w="109"/>
        <w:gridCol w:w="109"/>
        <w:gridCol w:w="109"/>
        <w:gridCol w:w="109"/>
        <w:gridCol w:w="218"/>
        <w:gridCol w:w="218"/>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2021 - 2020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2020 - 2019 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2021 Compared to Year Ended December 31, 2020</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Product Cost of Revenue and Gross Margin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Product cost of revenue increased by $7.1 million, or 41%, to $24.5 million for the year ended December 31, 2021 from $17.4 million for the prior year and cost per unit decreased by 53% in the year ended December 31, 2021 compared to the prior year. The increase in cost of product revenue was due to volume related increases of $8.0 million, $1.6 million, $13.1 million, and $12.4 million in material costs, freight, overhead, and other other product costs, respectively. These increases in volume were partially offset by per unit decreases of $2.3 million, $1.2 million, $13.3 million, and $11.2 million in material costs, freight, overhead, and other other product costs, respectively. </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Product gross margin increased from 8% for the year ended December 31, 2020 to 27% for the year ended December 31, 2021. The improvement in product gross margin is primarily due to the 53% decrease in cost per unit partially offset by the 34% decrease in average selling prices referenced above.</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Services Cost of Revenue and Gross Margin</w:t>
      </w:r>
    </w:p>
    <w:p>
      <w:pPr>
        <w:pStyle w:val="TextBody"/>
        <w:spacing w:lineRule="auto" w:line="288" w:before="120" w:after="283"/>
        <w:rPr/>
      </w:pPr>
      <w:r>
        <w:rPr>
          <w:rFonts w:ascii="Times New Roman;sans-serif" w:hAnsi="Times New Roman;sans-serif"/>
          <w:b w:val="false"/>
          <w:color w:val="000000"/>
          <w:sz w:val="20"/>
          <w:highlight w:val="white"/>
        </w:rPr>
        <w:t xml:space="preserve">Services cost of revenue decreased by $26.0 thousand. This decrease in cost of revenue was due to there being no non-recurring engineering work in the year ended </w:t>
      </w:r>
      <w:r>
        <w:rPr>
          <w:rFonts w:ascii="Times New Roman;sans-serif" w:hAnsi="Times New Roman;sans-serif"/>
          <w:b w:val="false"/>
          <w:color w:val="000000"/>
          <w:sz w:val="20"/>
        </w:rPr>
        <w:t>December 31, 2021</w:t>
      </w:r>
      <w:r>
        <w:rPr>
          <w:rFonts w:ascii="Times New Roman;sans-serif" w:hAnsi="Times New Roman;sans-serif"/>
          <w:b w:val="false"/>
          <w:color w:val="000000"/>
          <w:sz w:val="20"/>
          <w:highlight w:val="white"/>
        </w:rPr>
        <w:t>.</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2020 Compared to Year Ended December 31, 2019</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Product Cost of Revenue and Gross Margin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Product cost of revenue increased by $0.2 million, or 1%, to $17.4 million for the year ended December 31, 2020 from $17.1 million for the year ended December 31, 2019 and cost per unit decreased by 35% in the year ended December 31, 2020. The increase in product cost of revenue was primarily due to increases of $3.9 million in manufacturing overhead costs, $1.0 million in material costs and $0.2 million in freight. The increases were partially offset by a decrease of $4.8 million in other product costs due to lower allowances for excess and obsolete inventory and component yield increases.</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Product gross margin increased from (53)% for the year ended December 31, 2019 to 8% for the year ended December 31, 2020. The improvement in product gross margin is primarily due to the decrease in cost per unit and the 12% increase in average selling prices for new products.</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Services Cost of Revenue and Gross Margin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Services cost of revenue decreased by $0.3 million, or 92%, to $26.0 thousand for the year ended December 31, 2020 from $0.3 million for the year ended December 31, 2019. Services gross margin increased to 99% for the year from 81% for the year ended December 31, 2019. This decrease in cost of revenue and subsequent increase in gross margin was primarily due to the majority of non-recurring engineering work for a large contract taking place in 2019.</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10205" w:type="dxa"/>
        <w:jc w:val="left"/>
        <w:tblInd w:w="0" w:type="dxa"/>
        <w:tblCellMar>
          <w:top w:w="28" w:type="dxa"/>
          <w:left w:w="28" w:type="dxa"/>
          <w:bottom w:w="28" w:type="dxa"/>
          <w:right w:w="28" w:type="dxa"/>
        </w:tblCellMar>
      </w:tblPr>
      <w:tblGrid>
        <w:gridCol w:w="713"/>
        <w:gridCol w:w="349"/>
        <w:gridCol w:w="351"/>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317"/>
      </w:tblGrid>
      <w:tr>
        <w:trPr/>
        <w:tc>
          <w:tcPr>
            <w:tcW w:w="71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2021 - 2020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2020 - 2019 Change</w:t>
            </w:r>
          </w:p>
        </w:tc>
      </w:tr>
      <w:tr>
        <w:trPr/>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2021 Compared to Year Ended December 31, 2020</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$11.3 million, or 48%, to $34.6 million for the year ended December 31, 2021 from $23.3 million for the comparable period in the prior year. The increase was primarily attributable to an increase of $8.1 million in payroll and personnel-related expense driven by an 89 person increase in employees and contractors of which the majority were added in the fourth quarter during the Sense acquisition, including a $1.2 million increase in stock-based compensation expense, an increase of $0.9 million in product development and equipment costs, an increase of $0.9 million in depreciation expense, an increase of $0.8 million in recruiting and other professional fees and an increase of $0.6 in facility, office and other expenses. </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Sales and Marketing</w:t>
      </w:r>
    </w:p>
    <w:p>
      <w:pPr>
        <w:pStyle w:val="TextBody"/>
        <w:spacing w:lineRule="auto" w:line="288" w:before="120" w:after="283"/>
        <w:rPr/>
      </w:pPr>
      <w:r>
        <w:rPr>
          <w:rFonts w:ascii="Times New Roman;sans-serif" w:hAnsi="Times New Roman;sans-serif"/>
          <w:b w:val="false"/>
          <w:color w:val="000000"/>
          <w:sz w:val="20"/>
          <w:highlight w:val="white"/>
        </w:rPr>
        <w:t xml:space="preserve">Sales and marketing expenses increased by $13.3 million, or 147%, to $22.3 million for the </w:t>
      </w:r>
      <w:r>
        <w:rPr>
          <w:rFonts w:ascii="Times New Roman;sans-serif" w:hAnsi="Times New Roman;sans-serif"/>
          <w:b w:val="false"/>
          <w:color w:val="000000"/>
          <w:sz w:val="20"/>
        </w:rPr>
        <w:t>year ended December 31, 2021</w:t>
      </w:r>
      <w:r>
        <w:rPr>
          <w:color w:val="000000"/>
          <w:highlight w:val="white"/>
        </w:rPr>
        <w:t xml:space="preserve"> </w:t>
      </w:r>
      <w:r>
        <w:rPr>
          <w:rFonts w:ascii="Times New Roman;sans-serif" w:hAnsi="Times New Roman;sans-serif"/>
          <w:b w:val="false"/>
          <w:color w:val="000000"/>
          <w:sz w:val="20"/>
          <w:highlight w:val="white"/>
        </w:rPr>
        <w:t>from $9.0 million for the comparable period in the prior year. The increase was primarily attributable to an increase of $10.3 million in payroll and personnel-related costs driven by the addition of 46 sales personnel in all our global regions, of which $3.2 million was stock-based compensation related, an increase of $0.7 million in consulting and professional fees, an increase of $1.1 million for marketing expenses including additional branding and public relations expenses related to the Merger, an increase of $0.3 million in travel expenses, and $0.9 million in facility, office and related expenses related to opening and expanding sales offices around the world.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General and administrative expenses increased by $31.0 million, or 148%, to $52.0 million for the year ended December 31, 2021 from $21.0 million for the comparable period in the prior year. The increase was primarily due to an increase of $9.0 million of stock-based compensation, a $3.1 million increase in payroll-related expense due to a year over year increase of 18 employees and contractors, an increase of $8.4 million in legal, accounting and professional services fees mostly related to our initial public offering, an increase of $0.7 million in recruiting expense, an increase of $6.0 million in directors and officers insurance premiums, an increase of $2.0 million in facilities and office expense including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equipment for new employees, investments in software infrastructure, and increases in business and local taxes, $0.5 million in investor and public relations, and an increase of $1.3 million in depreciation.</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2020 Compared to Year Ended December 31, 2019</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year ended December 31, 2020 remained consistent with the year ended December 31, 2019. The balance includes a $7.6 million increase in personnel-related costs, including a $5.4 million increase in stock-based compensation due to an increase in common stock value and a $2.2 million increase primarily related to our headcount growth.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 a $3.9 million reduction in development costs and $2.4 million reduction in consulting and contractor expense related to the design of new products in 2019, which was launched in the first quarter of 2020, a $0.7 million reduction in prototype and other research costs, a $0.4 million reduction in office expenses, and a $0.1 million reduction in depreciation expense.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$4.5 million, or 100%, to $9.0 million for the year ended December 31, 2020 from $4.5 million for the year ended December 31, 2019. The increase was primarily attributable to an increase of $3.6 million in payroll and personnel-related expenses driven by the addition of sales personnel, of which $0.5 million was stock-based compensation related, as well as smaller increases of $0.2 million for facility and office related expenses related to opening offices in Asia and Pacific and Europe, Middle East and Africa geographic regions and $0.3 million related to providing demonstration units for potential customers.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$6.4 million, or 44%, to $21.0 million for the year ended December 31, 2020 from $14.5 million for the year ended December 31, 2019. The increase was primarily due to an increase of $4.2 million of stock-based compensation and an increase of $2.2 million in accounting and professional services fees.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Interest Income, Interest Expense and Other Income (Expense), Net</w:t>
      </w:r>
    </w:p>
    <w:tbl>
      <w:tblPr>
        <w:tblW w:w="10205" w:type="dxa"/>
        <w:jc w:val="left"/>
        <w:tblInd w:w="0" w:type="dxa"/>
        <w:tblCellMar>
          <w:top w:w="28" w:type="dxa"/>
          <w:left w:w="28" w:type="dxa"/>
          <w:bottom w:w="28" w:type="dxa"/>
          <w:right w:w="28" w:type="dxa"/>
        </w:tblCellMar>
      </w:tblPr>
      <w:tblGrid>
        <w:gridCol w:w="745"/>
        <w:gridCol w:w="609"/>
        <w:gridCol w:w="614"/>
        <w:gridCol w:w="211"/>
        <w:gridCol w:w="466"/>
        <w:gridCol w:w="109"/>
        <w:gridCol w:w="109"/>
        <w:gridCol w:w="109"/>
        <w:gridCol w:w="109"/>
        <w:gridCol w:w="285"/>
        <w:gridCol w:w="492"/>
        <w:gridCol w:w="109"/>
        <w:gridCol w:w="109"/>
        <w:gridCol w:w="109"/>
        <w:gridCol w:w="109"/>
        <w:gridCol w:w="213"/>
        <w:gridCol w:w="472"/>
        <w:gridCol w:w="109"/>
        <w:gridCol w:w="109"/>
        <w:gridCol w:w="109"/>
        <w:gridCol w:w="109"/>
        <w:gridCol w:w="224"/>
        <w:gridCol w:w="497"/>
        <w:gridCol w:w="109"/>
        <w:gridCol w:w="109"/>
        <w:gridCol w:w="109"/>
        <w:gridCol w:w="109"/>
        <w:gridCol w:w="308"/>
        <w:gridCol w:w="308"/>
        <w:gridCol w:w="271"/>
        <w:gridCol w:w="109"/>
        <w:gridCol w:w="109"/>
        <w:gridCol w:w="109"/>
        <w:gridCol w:w="219"/>
        <w:gridCol w:w="558"/>
        <w:gridCol w:w="109"/>
        <w:gridCol w:w="109"/>
        <w:gridCol w:w="109"/>
        <w:gridCol w:w="109"/>
        <w:gridCol w:w="440"/>
        <w:gridCol w:w="442"/>
        <w:gridCol w:w="324"/>
      </w:tblGrid>
      <w:tr>
        <w:trPr/>
        <w:tc>
          <w:tcPr>
            <w:tcW w:w="74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2021 - 2020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2020 - 2019 Change</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(745,100)</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2021 Compared to Year Ended December 31, 2020</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income was $0.5 million for the year ended December 31, 2021 compared to $0.0 million for the prior year. This increase in interest income was primarily related to an increase in our cash and cash equivalent balances after the Merger closed on March 11, 2021.</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 was $0.5 million for the year ended December 31, 2021 compared to $2.5 million for the prior year. The decrease was primarily due to the conversion of convertible notes in the second quarter of 2020 and the repayment of bank debt in the third quarter of 2020 and March 2021.</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income (expense), net was $3.0 million for the year ended December 31, 2021 compared to $(52.2) million for the prior year. During the year ended December 31, 2021, we recorded a gain of $11.8 million for the fair value change of warrant liability and a loss of $8.8 million for the fair value change of redeemable convertible preferred stock warrant liability. During the year ended December 31, 2020, we recorded losses of $48.4 million for the fair value change of the warrant liability and $5.3 million for the fair value change of the derivative liability related to our convertible notes, partially offset by a $1.6 million gain from extinguishment of the tranche liability which was recorded as other income.</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Year Ended December 31, 2020 Compared to Year Ended December 31, 2019</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income was $0.0 million for the year ended December 31, 2020 compared to $0.3 million for the year ended December 31, 2019. This decrease in interest income was primarily related to a decrease in our cash and cash equivalent balances for the year ended December 31, 2020.</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 was $2.5 million for the year ended December 31, 2020 compared to $3.6 million for the year ended December 31, 2019. The decrease was primarily due to the conversion of convertible notes in the second quarter of 2020 and the repayment of $3.0 million of bank debt.</w:t>
      </w:r>
    </w:p>
    <w:p>
      <w:pPr>
        <w:pStyle w:val="TextBody"/>
        <w:spacing w:lineRule="auto" w:line="288" w:before="120" w:after="283"/>
        <w:rPr/>
      </w:pPr>
      <w:r>
        <w:rPr>
          <w:rFonts w:ascii="Times New Roman;sans-serif" w:hAnsi="Times New Roman;sans-serif"/>
          <w:b w:val="false"/>
          <w:color w:val="000000"/>
          <w:sz w:val="20"/>
          <w:highlight w:val="white"/>
        </w:rPr>
        <w:t>Other income (expense), net was $(52.2) million for the year ended December 31, 2020 compared to $0.0 million for the year ended December 31, 2019. During the year ended December 31, 2020, we recorded $5.3 million for the fair value change of the derivative liability related to our convertible notes and $48.4 million for the fair value change of warrant liability, partially offset by a $1.6 million gain from extinguishment of the tranche liability which was recorded as other income</w:t>
      </w:r>
      <w:r>
        <w:rPr>
          <w:rFonts w:ascii="Arial;sans-serif" w:hAnsi="Arial;sans-serif"/>
          <w:b w:val="false"/>
          <w:color w:val="000000"/>
          <w:sz w:val="24"/>
        </w:rPr>
        <w: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10358" w:type="dxa"/>
        <w:jc w:val="left"/>
        <w:tblInd w:w="0" w:type="dxa"/>
        <w:tblCellMar>
          <w:top w:w="28" w:type="dxa"/>
          <w:left w:w="28" w:type="dxa"/>
          <w:bottom w:w="28" w:type="dxa"/>
          <w:right w:w="28" w:type="dxa"/>
        </w:tblCellMar>
      </w:tblPr>
      <w:tblGrid>
        <w:gridCol w:w="396"/>
        <w:gridCol w:w="229"/>
        <w:gridCol w:w="231"/>
        <w:gridCol w:w="211"/>
        <w:gridCol w:w="736"/>
        <w:gridCol w:w="271"/>
        <w:gridCol w:w="109"/>
        <w:gridCol w:w="109"/>
        <w:gridCol w:w="109"/>
        <w:gridCol w:w="211"/>
        <w:gridCol w:w="841"/>
        <w:gridCol w:w="271"/>
        <w:gridCol w:w="109"/>
        <w:gridCol w:w="109"/>
        <w:gridCol w:w="109"/>
        <w:gridCol w:w="211"/>
        <w:gridCol w:w="736"/>
        <w:gridCol w:w="271"/>
        <w:gridCol w:w="109"/>
        <w:gridCol w:w="109"/>
        <w:gridCol w:w="109"/>
        <w:gridCol w:w="211"/>
        <w:gridCol w:w="616"/>
        <w:gridCol w:w="109"/>
        <w:gridCol w:w="109"/>
        <w:gridCol w:w="109"/>
        <w:gridCol w:w="109"/>
        <w:gridCol w:w="233"/>
        <w:gridCol w:w="233"/>
        <w:gridCol w:w="271"/>
        <w:gridCol w:w="109"/>
        <w:gridCol w:w="109"/>
        <w:gridCol w:w="109"/>
        <w:gridCol w:w="211"/>
        <w:gridCol w:w="736"/>
        <w:gridCol w:w="109"/>
        <w:gridCol w:w="109"/>
        <w:gridCol w:w="109"/>
        <w:gridCol w:w="109"/>
        <w:gridCol w:w="367"/>
        <w:gridCol w:w="369"/>
        <w:gridCol w:w="316"/>
      </w:tblGrid>
      <w:tr>
        <w:trPr/>
        <w:tc>
          <w:tcPr>
            <w:tcW w:w="39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2021 - 2020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2020 - 2019 Change</w:t>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(37,400)</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effective tax benefit was 2.89% for the year ended December 31, 2021 compared to our effective tax rate of (0.35)% for the prior year. Our tax expense decreased by $3.2 million during the year ended December 31, 2021, compared to prior year, primarily due to the release of the valuation allowance of $2.8 million as a result of the recording of a deferred tax liability from an acquisition during the year.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(0.35)% for the year ended December 31, 2020 compared to 0.00% for the prior year. Our tax expense increased by $0.4 million during the year ended December 31, 2020, compared to the year ended December 31, 2019, primarily due to state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Upon closing of the Merger, we received gross proceeds of $299.9 million from the Merger and private offering, offset by $8.5 million of pre-merger costs relating to CLA and offerings costs of $26.6 million. Subsequent to the Merger, our principal sources of liquidity have been and are expected to be our cash and cash equivalents and cash generated from product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an accumulated deficit of $303.4 million and cash and cash equivalents of $182.6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Annual Report on Form 10-K. However,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PIPE Investment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Financing Arrangements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27, 2018, we entered into a Loan and Security Agreement with Runway Growth Credit Fund, Inc. (“Runway Loan and Security Agreement”) and borrowed $10.0 million per the terms of that agreement with a loan maturity date of November 15, 2021. The loan carried an interest rate equal to LIBOR plus 8.50%. We repaid $3.0 million of the loan in August 2020. On March 26, 2021 we terminated the Runway Loan and Security Agreement and repaid the $7.0 million principal amount outstanding as well as interest and fees amounting to $0.4 million. We incurred no prepayment fees in connection with the termination and all liens and security interests securing the loan made pursuant to the Runway Loan and Security Agreement were released upon termination. As of December 31, 2021 and December 31, 2020, the outstanding principal balance of the loan was nil and $7.0 million, respectively.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lineRule="auto" w:line="288" w:before="120" w:after="283"/>
        <w:rPr/>
      </w:pPr>
      <w:r>
        <w:rPr>
          <w:rFonts w:ascii="Times New Roman;sans-serif" w:hAnsi="Times New Roman;sans-serif"/>
          <w:b w:val="false"/>
          <w:color w:val="000000"/>
          <w:sz w:val="20"/>
        </w:rPr>
        <w:t xml:space="preserve">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2021, while others are considered future commitments. Our contractual obligations primarily consist of </w:t>
      </w:r>
      <w:r>
        <w:rPr>
          <w:rFonts w:ascii="Times New Roman;sans-serif" w:hAnsi="Times New Roman;sans-serif"/>
          <w:b w:val="false"/>
          <w:color w:val="000000"/>
          <w:sz w:val="20"/>
          <w:highlight w:val="white"/>
        </w:rPr>
        <w:t xml:space="preserve">non-cancelable purchase commitments with various parties to purchase goods or services, primarily inventory, entered into in the normal course of business and </w:t>
      </w:r>
      <w:r>
        <w:rPr>
          <w:rFonts w:ascii="Times New Roman;sans-serif" w:hAnsi="Times New Roman;sans-serif"/>
          <w:b w:val="false"/>
          <w:color w:val="000000"/>
          <w:sz w:val="20"/>
        </w:rPr>
        <w:t>operating leases. For information regarding our other contractual obligations, refer to Note 9, Leases and Note 10, Commitments and Contingencies.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Cash Flow Summary</w:t>
      </w:r>
    </w:p>
    <w:tbl>
      <w:tblPr>
        <w:tblW w:w="6701" w:type="dxa"/>
        <w:jc w:val="left"/>
        <w:tblInd w:w="0" w:type="dxa"/>
        <w:tblCellMar>
          <w:top w:w="28" w:type="dxa"/>
          <w:left w:w="28" w:type="dxa"/>
          <w:bottom w:w="28" w:type="dxa"/>
          <w:right w:w="28" w:type="dxa"/>
        </w:tblCellMar>
      </w:tblPr>
      <w:tblGrid>
        <w:gridCol w:w="961"/>
        <w:gridCol w:w="843"/>
        <w:gridCol w:w="850"/>
        <w:gridCol w:w="211"/>
        <w:gridCol w:w="796"/>
        <w:gridCol w:w="109"/>
        <w:gridCol w:w="109"/>
        <w:gridCol w:w="109"/>
        <w:gridCol w:w="109"/>
        <w:gridCol w:w="211"/>
        <w:gridCol w:w="796"/>
        <w:gridCol w:w="109"/>
        <w:gridCol w:w="109"/>
        <w:gridCol w:w="109"/>
        <w:gridCol w:w="109"/>
        <w:gridCol w:w="211"/>
        <w:gridCol w:w="796"/>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Operating Activities</w:t>
      </w:r>
    </w:p>
    <w:p>
      <w:pPr>
        <w:pStyle w:val="TextBody"/>
        <w:spacing w:lineRule="auto" w:line="288" w:before="120" w:after="283"/>
        <w:rPr/>
      </w:pPr>
      <w:r>
        <w:rPr>
          <w:rFonts w:ascii="Times New Roman;sans-serif" w:hAnsi="Times New Roman;sans-serif"/>
          <w:b w:val="false"/>
          <w:color w:val="000000"/>
          <w:sz w:val="20"/>
          <w:highlight w:val="white"/>
        </w:rPr>
        <w:t>During the year ended December 31, 2021, operating activities used $71.1 million in cash. The primary factors affecting our operating cash flows during this period were our net loss of $94.0 million, impacted by our non-cash charges of $29.1 million</w:t>
      </w:r>
      <w:r>
        <w:rPr>
          <w:color w:val="000000"/>
        </w:rPr>
        <w:t> </w:t>
      </w:r>
      <w:r>
        <w:rPr>
          <w:rFonts w:ascii="Times New Roman;sans-serif" w:hAnsi="Times New Roman;sans-serif"/>
          <w:b w:val="false"/>
          <w:color w:val="000000"/>
          <w:sz w:val="20"/>
        </w:rPr>
        <w:t>primarily consisting of depreciation and amortization of</w:t>
      </w:r>
      <w:r>
        <w:rPr>
          <w:color w:val="000000"/>
          <w:highlight w:val="white"/>
        </w:rPr>
        <w:t xml:space="preserve">  </w:t>
      </w:r>
      <w:r>
        <w:rPr>
          <w:rFonts w:ascii="Times New Roman;sans-serif" w:hAnsi="Times New Roman;sans-serif"/>
          <w:b w:val="false"/>
          <w:color w:val="000000"/>
          <w:sz w:val="20"/>
          <w:highlight w:val="white"/>
        </w:rPr>
        <w:t>$5.5 million</w:t>
      </w:r>
      <w:r>
        <w:rPr>
          <w:rFonts w:ascii="Times New Roman;sans-serif" w:hAnsi="Times New Roman;sans-serif"/>
          <w:b w:val="false"/>
          <w:color w:val="000000"/>
          <w:sz w:val="20"/>
        </w:rPr>
        <w:t xml:space="preserve">, stock-based compensation of </w:t>
      </w:r>
      <w:r>
        <w:rPr>
          <w:rFonts w:ascii="Times New Roman;sans-serif" w:hAnsi="Times New Roman;sans-serif"/>
          <w:b w:val="false"/>
          <w:color w:val="000000"/>
          <w:sz w:val="20"/>
          <w:highlight w:val="white"/>
        </w:rPr>
        <w:t>$25.4 million</w:t>
      </w:r>
      <w:r>
        <w:rPr>
          <w:rFonts w:ascii="Times New Roman;sans-serif" w:hAnsi="Times New Roman;sans-serif"/>
          <w:b w:val="false"/>
          <w:color w:val="000000"/>
          <w:sz w:val="20"/>
        </w:rPr>
        <w:t xml:space="preserve">, change in right-of-use asset of </w:t>
      </w:r>
      <w:r>
        <w:rPr>
          <w:rFonts w:ascii="Times New Roman;sans-serif" w:hAnsi="Times New Roman;sans-serif"/>
          <w:b w:val="false"/>
          <w:color w:val="000000"/>
          <w:sz w:val="20"/>
          <w:highlight w:val="white"/>
        </w:rPr>
        <w:t>$2.2 million</w:t>
      </w:r>
      <w:r>
        <w:rPr>
          <w:rFonts w:ascii="Times New Roman;sans-serif" w:hAnsi="Times New Roman;sans-serif"/>
          <w:b w:val="false"/>
          <w:color w:val="000000"/>
          <w:sz w:val="20"/>
        </w:rPr>
        <w:t xml:space="preserve">, amortization of debt issuance costs and debt discount of </w:t>
      </w:r>
      <w:r>
        <w:rPr>
          <w:rFonts w:ascii="Times New Roman;sans-serif" w:hAnsi="Times New Roman;sans-serif"/>
          <w:b w:val="false"/>
          <w:color w:val="000000"/>
          <w:sz w:val="20"/>
          <w:highlight w:val="white"/>
        </w:rPr>
        <w:t>$0.3 million</w:t>
      </w:r>
      <w:r>
        <w:rPr>
          <w:rFonts w:ascii="Times New Roman;sans-serif" w:hAnsi="Times New Roman;sans-serif"/>
          <w:b w:val="false"/>
          <w:color w:val="000000"/>
          <w:sz w:val="20"/>
        </w:rPr>
        <w:t xml:space="preserve">, inventory write down of </w:t>
      </w:r>
      <w:r>
        <w:rPr>
          <w:rFonts w:ascii="Times New Roman;sans-serif" w:hAnsi="Times New Roman;sans-serif"/>
          <w:b w:val="false"/>
          <w:color w:val="000000"/>
          <w:sz w:val="20"/>
          <w:highlight w:val="white"/>
        </w:rPr>
        <w:t>$0.8 million</w:t>
      </w:r>
      <w:r>
        <w:rPr>
          <w:color w:val="000000"/>
        </w:rPr>
        <w:t xml:space="preserve"> </w:t>
      </w:r>
      <w:r>
        <w:rPr>
          <w:rFonts w:ascii="Times New Roman;sans-serif" w:hAnsi="Times New Roman;sans-serif"/>
          <w:b w:val="false"/>
          <w:color w:val="000000"/>
          <w:sz w:val="20"/>
        </w:rPr>
        <w:t xml:space="preserve">and allowance for expected credit losses of </w:t>
      </w:r>
      <w:r>
        <w:rPr>
          <w:rFonts w:ascii="Times New Roman;sans-serif" w:hAnsi="Times New Roman;sans-serif"/>
          <w:b w:val="false"/>
          <w:color w:val="000000"/>
          <w:sz w:val="20"/>
          <w:highlight w:val="white"/>
        </w:rPr>
        <w:t xml:space="preserve">$0.4 million, </w:t>
      </w:r>
      <w:r>
        <w:rPr>
          <w:rFonts w:ascii="Times New Roman;sans-serif" w:hAnsi="Times New Roman;sans-serif"/>
          <w:b w:val="false"/>
          <w:color w:val="000000"/>
          <w:sz w:val="20"/>
        </w:rPr>
        <w:t xml:space="preserve">partially offset by deferred income taxes of </w:t>
      </w:r>
      <w:r>
        <w:rPr>
          <w:rFonts w:ascii="Times New Roman;sans-serif" w:hAnsi="Times New Roman;sans-serif"/>
          <w:b w:val="false"/>
          <w:color w:val="000000"/>
          <w:sz w:val="20"/>
          <w:highlight w:val="white"/>
        </w:rPr>
        <w:t>$2.5 million and $2.9 million</w:t>
      </w:r>
      <w:r>
        <w:rPr>
          <w:color w:val="000000"/>
        </w:rPr>
        <w:t xml:space="preserve"> </w:t>
      </w:r>
      <w:r>
        <w:rPr>
          <w:rFonts w:ascii="Times New Roman;sans-serif" w:hAnsi="Times New Roman;sans-serif"/>
          <w:b w:val="false"/>
          <w:color w:val="000000"/>
          <w:sz w:val="20"/>
        </w:rPr>
        <w:t>change in fair value of warrant liabilities. The cash used in changes in our operating assets and liabilities of </w:t>
      </w:r>
      <w:r>
        <w:rPr>
          <w:rFonts w:ascii="Times New Roman;sans-serif" w:hAnsi="Times New Roman;sans-serif"/>
          <w:b w:val="false"/>
          <w:color w:val="000000"/>
          <w:sz w:val="20"/>
          <w:highlight w:val="white"/>
        </w:rPr>
        <w:t xml:space="preserve">$6.1 million </w:t>
      </w:r>
      <w:r>
        <w:rPr>
          <w:rFonts w:ascii="Times New Roman;sans-serif" w:hAnsi="Times New Roman;sans-serif"/>
          <w:b w:val="false"/>
          <w:color w:val="000000"/>
          <w:sz w:val="20"/>
        </w:rPr>
        <w:t xml:space="preserve">was primarily due to an increase in accounts receivable of </w:t>
      </w:r>
      <w:r>
        <w:rPr>
          <w:rFonts w:ascii="Times New Roman;sans-serif" w:hAnsi="Times New Roman;sans-serif"/>
          <w:b w:val="false"/>
          <w:color w:val="000000"/>
          <w:sz w:val="20"/>
          <w:highlight w:val="white"/>
        </w:rPr>
        <w:t>$8.0 million,</w:t>
      </w:r>
      <w:r>
        <w:rPr>
          <w:color w:val="000000"/>
        </w:rPr>
        <w:t xml:space="preserve"> </w:t>
      </w:r>
      <w:r>
        <w:rPr>
          <w:rFonts w:ascii="Times New Roman;sans-serif" w:hAnsi="Times New Roman;sans-serif"/>
          <w:b w:val="false"/>
          <w:color w:val="000000"/>
          <w:sz w:val="20"/>
        </w:rPr>
        <w:t xml:space="preserve">an increase in inventories of </w:t>
      </w:r>
      <w:r>
        <w:rPr>
          <w:rFonts w:ascii="Times New Roman;sans-serif" w:hAnsi="Times New Roman;sans-serif"/>
          <w:b w:val="false"/>
          <w:color w:val="000000"/>
          <w:sz w:val="20"/>
          <w:highlight w:val="white"/>
        </w:rPr>
        <w:t>$3.4 million</w:t>
      </w:r>
      <w:r>
        <w:rPr>
          <w:rFonts w:ascii="Times New Roman;sans-serif" w:hAnsi="Times New Roman;sans-serif"/>
          <w:b w:val="false"/>
          <w:color w:val="000000"/>
          <w:sz w:val="20"/>
        </w:rPr>
        <w:t xml:space="preserve">, a decrease in prepaid expenses and other assets of </w:t>
      </w:r>
      <w:r>
        <w:rPr>
          <w:rFonts w:ascii="Times New Roman;sans-serif" w:hAnsi="Times New Roman;sans-serif"/>
          <w:b w:val="false"/>
          <w:color w:val="000000"/>
          <w:sz w:val="20"/>
          <w:highlight w:val="white"/>
        </w:rPr>
        <w:t>$0.4 million,</w:t>
      </w:r>
      <w:r>
        <w:rPr>
          <w:color w:val="000000"/>
        </w:rPr>
        <w:t xml:space="preserve"> </w:t>
      </w:r>
      <w:r>
        <w:rPr>
          <w:rFonts w:ascii="Times New Roman;sans-serif" w:hAnsi="Times New Roman;sans-serif"/>
          <w:b w:val="false"/>
          <w:color w:val="000000"/>
          <w:sz w:val="20"/>
        </w:rPr>
        <w:t xml:space="preserve">a decrease in accounts payable of </w:t>
      </w:r>
      <w:r>
        <w:rPr>
          <w:rFonts w:ascii="Times New Roman;sans-serif" w:hAnsi="Times New Roman;sans-serif"/>
          <w:b w:val="false"/>
          <w:color w:val="000000"/>
          <w:sz w:val="20"/>
          <w:highlight w:val="white"/>
        </w:rPr>
        <w:t xml:space="preserve">$2.4 million, an increase in </w:t>
      </w:r>
      <w:r>
        <w:rPr>
          <w:rFonts w:ascii="Times New Roman;sans-serif" w:hAnsi="Times New Roman;sans-serif"/>
          <w:b w:val="false"/>
          <w:color w:val="000000"/>
          <w:sz w:val="20"/>
        </w:rPr>
        <w:t xml:space="preserve">accrued and other liabilities of </w:t>
      </w:r>
      <w:r>
        <w:rPr>
          <w:rFonts w:ascii="Times New Roman;sans-serif" w:hAnsi="Times New Roman;sans-serif"/>
          <w:b w:val="false"/>
          <w:color w:val="000000"/>
          <w:sz w:val="20"/>
          <w:highlight w:val="white"/>
        </w:rPr>
        <w:t xml:space="preserve">$9.1 million and </w:t>
      </w:r>
      <w:r>
        <w:rPr>
          <w:rFonts w:ascii="Times New Roman;sans-serif" w:hAnsi="Times New Roman;sans-serif"/>
          <w:b w:val="false"/>
          <w:color w:val="000000"/>
          <w:sz w:val="20"/>
        </w:rPr>
        <w:t xml:space="preserve">a decrease of operating lease liability of </w:t>
      </w:r>
      <w:r>
        <w:rPr>
          <w:rFonts w:ascii="Times New Roman;sans-serif" w:hAnsi="Times New Roman;sans-serif"/>
          <w:b w:val="false"/>
          <w:color w:val="000000"/>
          <w:sz w:val="20"/>
          <w:highlight w:val="white"/>
        </w:rPr>
        <w:t>$1.7 million</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 xml:space="preserve">year ended December 31, 2020, operating activities used </w:t>
      </w:r>
      <w:r>
        <w:rPr>
          <w:rFonts w:ascii="Times New Roman;sans-serif" w:hAnsi="Times New Roman;sans-serif"/>
          <w:b w:val="false"/>
          <w:color w:val="000000"/>
          <w:sz w:val="20"/>
          <w:highlight w:val="white"/>
        </w:rPr>
        <w:t>$42.1 million</w:t>
      </w:r>
      <w:r>
        <w:rPr>
          <w:color w:val="000000"/>
        </w:rPr>
        <w:t xml:space="preserve"> </w:t>
      </w:r>
      <w:r>
        <w:rPr>
          <w:rFonts w:ascii="Times New Roman;sans-serif" w:hAnsi="Times New Roman;sans-serif"/>
          <w:b w:val="false"/>
          <w:color w:val="000000"/>
          <w:sz w:val="20"/>
        </w:rPr>
        <w:t xml:space="preserve">in cash. The primary factors affecting our operating cash flows during this period were our net loss of </w:t>
      </w:r>
      <w:r>
        <w:rPr>
          <w:rFonts w:ascii="Times New Roman;sans-serif" w:hAnsi="Times New Roman;sans-serif"/>
          <w:b w:val="false"/>
          <w:color w:val="000000"/>
          <w:sz w:val="20"/>
          <w:highlight w:val="white"/>
        </w:rPr>
        <w:t>$106.8 million</w:t>
      </w:r>
      <w:r>
        <w:rPr>
          <w:rFonts w:ascii="Times New Roman;sans-serif" w:hAnsi="Times New Roman;sans-serif"/>
          <w:b w:val="false"/>
          <w:color w:val="000000"/>
          <w:sz w:val="20"/>
        </w:rPr>
        <w:t xml:space="preserve">, impacted by our non-cash charges of </w:t>
      </w:r>
      <w:r>
        <w:rPr>
          <w:rFonts w:ascii="Times New Roman;sans-serif" w:hAnsi="Times New Roman;sans-serif"/>
          <w:b w:val="false"/>
          <w:color w:val="000000"/>
          <w:sz w:val="20"/>
          <w:highlight w:val="white"/>
        </w:rPr>
        <w:t>$72.0 million</w:t>
      </w:r>
      <w:r>
        <w:rPr>
          <w:color w:val="000000"/>
        </w:rPr>
        <w:t xml:space="preserve"> </w:t>
      </w:r>
      <w:r>
        <w:rPr>
          <w:rFonts w:ascii="Times New Roman;sans-serif" w:hAnsi="Times New Roman;sans-serif"/>
          <w:b w:val="false"/>
          <w:color w:val="000000"/>
          <w:sz w:val="20"/>
        </w:rPr>
        <w:t xml:space="preserve">primarily consisting of a </w:t>
      </w:r>
      <w:r>
        <w:rPr>
          <w:rFonts w:ascii="Times New Roman;sans-serif" w:hAnsi="Times New Roman;sans-serif"/>
          <w:b w:val="false"/>
          <w:color w:val="000000"/>
          <w:sz w:val="20"/>
          <w:highlight w:val="white"/>
        </w:rPr>
        <w:t>$5.3 million</w:t>
      </w:r>
      <w:r>
        <w:rPr>
          <w:color w:val="000000"/>
        </w:rPr>
        <w:t xml:space="preserve"> </w:t>
      </w:r>
      <w:r>
        <w:rPr>
          <w:rFonts w:ascii="Times New Roman;sans-serif" w:hAnsi="Times New Roman;sans-serif"/>
          <w:b w:val="false"/>
          <w:color w:val="000000"/>
          <w:sz w:val="20"/>
        </w:rPr>
        <w:t xml:space="preserve">change in fair value of derivative liability and </w:t>
      </w:r>
      <w:r>
        <w:rPr>
          <w:rFonts w:ascii="Times New Roman;sans-serif" w:hAnsi="Times New Roman;sans-serif"/>
          <w:b w:val="false"/>
          <w:color w:val="000000"/>
          <w:sz w:val="20"/>
          <w:highlight w:val="white"/>
        </w:rPr>
        <w:t>$48.4 million</w:t>
      </w:r>
      <w:r>
        <w:rPr>
          <w:color w:val="000000"/>
        </w:rPr>
        <w:t xml:space="preserve"> </w:t>
      </w:r>
      <w:r>
        <w:rPr>
          <w:rFonts w:ascii="Times New Roman;sans-serif" w:hAnsi="Times New Roman;sans-serif"/>
          <w:b w:val="false"/>
          <w:color w:val="000000"/>
          <w:sz w:val="20"/>
        </w:rPr>
        <w:t xml:space="preserve">change in fair value of warrant liabilities, depreciation and amortization of </w:t>
      </w:r>
      <w:r>
        <w:rPr>
          <w:rFonts w:ascii="Times New Roman;sans-serif" w:hAnsi="Times New Roman;sans-serif"/>
          <w:b w:val="false"/>
          <w:color w:val="000000"/>
          <w:sz w:val="20"/>
          <w:highlight w:val="white"/>
        </w:rPr>
        <w:t>$3.7 million</w:t>
      </w:r>
      <w:r>
        <w:rPr>
          <w:rFonts w:ascii="Times New Roman;sans-serif" w:hAnsi="Times New Roman;sans-serif"/>
          <w:b w:val="false"/>
          <w:color w:val="000000"/>
          <w:sz w:val="20"/>
        </w:rPr>
        <w:t xml:space="preserve">, stock-based compensation of </w:t>
      </w:r>
      <w:r>
        <w:rPr>
          <w:rFonts w:ascii="Times New Roman;sans-serif" w:hAnsi="Times New Roman;sans-serif"/>
          <w:b w:val="false"/>
          <w:color w:val="000000"/>
          <w:sz w:val="20"/>
          <w:highlight w:val="white"/>
        </w:rPr>
        <w:t>$12.1 million</w:t>
      </w:r>
      <w:r>
        <w:rPr>
          <w:rFonts w:ascii="Times New Roman;sans-serif" w:hAnsi="Times New Roman;sans-serif"/>
          <w:b w:val="false"/>
          <w:color w:val="000000"/>
          <w:sz w:val="20"/>
        </w:rPr>
        <w:t xml:space="preserve">, change in right-of-use asset of </w:t>
      </w:r>
      <w:r>
        <w:rPr>
          <w:rFonts w:ascii="Times New Roman;sans-serif" w:hAnsi="Times New Roman;sans-serif"/>
          <w:b w:val="false"/>
          <w:color w:val="000000"/>
          <w:sz w:val="20"/>
          <w:highlight w:val="white"/>
        </w:rPr>
        <w:t>$1.9 million</w:t>
      </w:r>
      <w:r>
        <w:rPr>
          <w:rFonts w:ascii="Times New Roman;sans-serif" w:hAnsi="Times New Roman;sans-serif"/>
          <w:b w:val="false"/>
          <w:color w:val="000000"/>
          <w:sz w:val="20"/>
        </w:rPr>
        <w:t xml:space="preserve">, interest expense on convertible debt of </w:t>
      </w:r>
      <w:r>
        <w:rPr>
          <w:rFonts w:ascii="Times New Roman;sans-serif" w:hAnsi="Times New Roman;sans-serif"/>
          <w:b w:val="false"/>
          <w:color w:val="000000"/>
          <w:sz w:val="20"/>
          <w:highlight w:val="white"/>
        </w:rPr>
        <w:t>$1.0 million, inventory write down of</w:t>
      </w:r>
      <w:r>
        <w:rPr>
          <w:color w:val="000000"/>
        </w:rPr>
        <w:t xml:space="preserve"> </w:t>
      </w:r>
      <w:r>
        <w:rPr>
          <w:rFonts w:ascii="Times New Roman;sans-serif" w:hAnsi="Times New Roman;sans-serif"/>
          <w:b w:val="false"/>
          <w:color w:val="000000"/>
          <w:sz w:val="20"/>
          <w:highlight w:val="white"/>
        </w:rPr>
        <w:t xml:space="preserve">$0.8 million, </w:t>
      </w:r>
      <w:r>
        <w:rPr>
          <w:rFonts w:ascii="Times New Roman;sans-serif" w:hAnsi="Times New Roman;sans-serif"/>
          <w:b w:val="false"/>
          <w:color w:val="000000"/>
          <w:sz w:val="20"/>
        </w:rPr>
        <w:t xml:space="preserve">amortization of debt issuance costs and debt discount of </w:t>
      </w:r>
      <w:r>
        <w:rPr>
          <w:rFonts w:ascii="Times New Roman;sans-serif" w:hAnsi="Times New Roman;sans-serif"/>
          <w:b w:val="false"/>
          <w:color w:val="000000"/>
          <w:sz w:val="20"/>
          <w:highlight w:val="white"/>
        </w:rPr>
        <w:t>$0.3 million</w:t>
      </w:r>
      <w:r>
        <w:rPr>
          <w:rFonts w:ascii="Times New Roman;sans-serif" w:hAnsi="Times New Roman;sans-serif"/>
          <w:b w:val="false"/>
          <w:color w:val="000000"/>
          <w:sz w:val="20"/>
        </w:rPr>
        <w:t xml:space="preserve">, partially offset by a gain on extinguishment of tranche right liability of </w:t>
      </w:r>
      <w:r>
        <w:rPr>
          <w:rFonts w:ascii="Times New Roman;sans-serif" w:hAnsi="Times New Roman;sans-serif"/>
          <w:b w:val="false"/>
          <w:color w:val="000000"/>
          <w:sz w:val="20"/>
          <w:highlight w:val="white"/>
        </w:rPr>
        <w:t>$1.6 million</w:t>
      </w:r>
      <w:r>
        <w:rPr>
          <w:rFonts w:ascii="Times New Roman;sans-serif" w:hAnsi="Times New Roman;sans-serif"/>
          <w:b w:val="false"/>
          <w:color w:val="000000"/>
          <w:sz w:val="20"/>
        </w:rPr>
        <w:t xml:space="preserve">. The cash used in changes in our operating assets and liabilities of </w:t>
      </w:r>
      <w:r>
        <w:rPr>
          <w:rFonts w:ascii="Times New Roman;sans-serif" w:hAnsi="Times New Roman;sans-serif"/>
          <w:b w:val="false"/>
          <w:color w:val="000000"/>
          <w:sz w:val="20"/>
          <w:highlight w:val="white"/>
        </w:rPr>
        <w:t>$7.3 million</w:t>
      </w:r>
      <w:r>
        <w:rPr>
          <w:color w:val="000000"/>
        </w:rPr>
        <w:t xml:space="preserve"> </w:t>
      </w:r>
      <w:r>
        <w:rPr>
          <w:rFonts w:ascii="Times New Roman;sans-serif" w:hAnsi="Times New Roman;sans-serif"/>
          <w:b w:val="false"/>
          <w:color w:val="000000"/>
          <w:sz w:val="20"/>
        </w:rPr>
        <w:t xml:space="preserve">was primarily due to an increase in inventories of </w:t>
      </w:r>
      <w:r>
        <w:rPr>
          <w:rFonts w:ascii="Times New Roman;sans-serif" w:hAnsi="Times New Roman;sans-serif"/>
          <w:b w:val="false"/>
          <w:color w:val="000000"/>
          <w:sz w:val="20"/>
          <w:highlight w:val="white"/>
        </w:rPr>
        <w:t>$3.1 million</w:t>
      </w:r>
      <w:r>
        <w:rPr>
          <w:rFonts w:ascii="Times New Roman;sans-serif" w:hAnsi="Times New Roman;sans-serif"/>
          <w:b w:val="false"/>
          <w:color w:val="000000"/>
          <w:sz w:val="20"/>
        </w:rPr>
        <w:t xml:space="preserve">, an increase in accounts receivable of </w:t>
      </w:r>
      <w:r>
        <w:rPr>
          <w:rFonts w:ascii="Times New Roman;sans-serif" w:hAnsi="Times New Roman;sans-serif"/>
          <w:b w:val="false"/>
          <w:color w:val="000000"/>
          <w:sz w:val="20"/>
          <w:highlight w:val="white"/>
        </w:rPr>
        <w:t>$1.5 million</w:t>
      </w:r>
      <w:r>
        <w:rPr>
          <w:rFonts w:ascii="Times New Roman;sans-serif" w:hAnsi="Times New Roman;sans-serif"/>
          <w:b w:val="false"/>
          <w:color w:val="000000"/>
          <w:sz w:val="20"/>
        </w:rPr>
        <w:t xml:space="preserve">, an increase in prepaid expenses and other assets of </w:t>
      </w:r>
      <w:r>
        <w:rPr>
          <w:rFonts w:ascii="Times New Roman;sans-serif" w:hAnsi="Times New Roman;sans-serif"/>
          <w:b w:val="false"/>
          <w:color w:val="000000"/>
          <w:sz w:val="20"/>
          <w:highlight w:val="white"/>
        </w:rPr>
        <w:t>$1.4 million</w:t>
      </w:r>
      <w:r>
        <w:rPr>
          <w:rFonts w:ascii="Times New Roman;sans-serif" w:hAnsi="Times New Roman;sans-serif"/>
          <w:b w:val="false"/>
          <w:color w:val="000000"/>
          <w:sz w:val="20"/>
        </w:rPr>
        <w:t xml:space="preserve">, a decrease in accrued and other liabilities of </w:t>
      </w:r>
      <w:r>
        <w:rPr>
          <w:rFonts w:ascii="Times New Roman;sans-serif" w:hAnsi="Times New Roman;sans-serif"/>
          <w:b w:val="false"/>
          <w:color w:val="000000"/>
          <w:sz w:val="20"/>
          <w:highlight w:val="white"/>
        </w:rPr>
        <w:t>$0.4 million,</w:t>
      </w:r>
      <w:r>
        <w:rPr>
          <w:color w:val="000000"/>
        </w:rPr>
        <w:t xml:space="preserve"> </w:t>
      </w:r>
      <w:r>
        <w:rPr>
          <w:rFonts w:ascii="Times New Roman;sans-serif" w:hAnsi="Times New Roman;sans-serif"/>
          <w:b w:val="false"/>
          <w:color w:val="000000"/>
          <w:sz w:val="20"/>
        </w:rPr>
        <w:t xml:space="preserve">and a decrease of operating lease liability of </w:t>
      </w:r>
      <w:r>
        <w:rPr>
          <w:rFonts w:ascii="Times New Roman;sans-serif" w:hAnsi="Times New Roman;sans-serif"/>
          <w:b w:val="false"/>
          <w:color w:val="000000"/>
          <w:sz w:val="20"/>
          <w:highlight w:val="white"/>
        </w:rPr>
        <w:t>$1.0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operating activities used $40.2 million in cash. The primary factors affecting our operating cash flows during this period were our net loss of $51.7 million, impacted by our non-cash charges of $12.9 million primarily consisting of inventory write down of $4.8 million, interest expense on convertible debt of $2.4 million, depreciation and amortization of $2.0 million, change in right-of-use asset of $1.3 million, stock-based compensation of $1.2 million, write-off property and equipment of $0.6 million, amortization of debt issuance costs and debt discount $0.3 million. The cash used in changes in our operating assets and liabilities of $1.4 million was primarily due to an increase in inventories of $5.4 million, an increase in prepaid expenses and other current assets of $0.5 million and an increase in accounts receivable of $0.6 million, an increase in accrued and other current liabilities of $2.6 million, an increase of accounts payable of $2.1 million, and an increase of operating lease liability of $0.4 million.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rPr/>
      </w:pPr>
      <w:r>
        <w:rPr>
          <w:rFonts w:ascii="Times New Roman;sans-serif" w:hAnsi="Times New Roman;sans-serif"/>
          <w:b w:val="false"/>
          <w:color w:val="000000"/>
          <w:sz w:val="20"/>
        </w:rPr>
        <w:t>During the year ended December 31, 2021, cash used in investin</w:t>
      </w:r>
      <w:r>
        <w:rPr>
          <w:rFonts w:ascii="Times New Roman;sans-serif" w:hAnsi="Times New Roman;sans-serif"/>
          <w:b w:val="false"/>
          <w:color w:val="000000"/>
          <w:sz w:val="20"/>
          <w:highlight w:val="white"/>
        </w:rPr>
        <w:t>g activities was $15.2 million, which was primarily related to cash used for our acquisition of Sense, net of cash acquired, of $10.9 million and purchases of property, plant and equipment of $4.3 million.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year ended December 31, 2020, cash used in investing activities was $3.5 million, which was related to purchases of property, plant and equipment.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cash used in investing activities was $7.5 million, which was related to purchases of property, plant and equipment.</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Financing Activities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year ended December 31, 2021, cash provided by financing activities was $258.3 million, consisting primarily of net proceeds from the merger and PIPE Investment of $264.8 million, and proceeds from exercise of stock options of $0.5 million, partially offset by repayment of debt of $7.0 million.</w:t>
      </w:r>
    </w:p>
    <w:p>
      <w:pPr>
        <w:pStyle w:val="TextBody"/>
        <w:spacing w:lineRule="auto" w:line="288" w:before="120" w:after="283"/>
        <w:rPr/>
      </w:pPr>
      <w:r>
        <w:rPr>
          <w:rFonts w:ascii="Times New Roman;sans-serif" w:hAnsi="Times New Roman;sans-serif"/>
          <w:b w:val="false"/>
          <w:color w:val="000000"/>
          <w:sz w:val="20"/>
          <w:highlight w:val="white"/>
        </w:rPr>
        <w:t>During the year ended December 31, 2020, cash provided by financing activities was $39.9 million, consisting primarily of net proceeds from issuance of Series B redeemable convertible preferred stoc</w:t>
      </w:r>
      <w:r>
        <w:rPr>
          <w:rFonts w:ascii="Times New Roman;sans-serif" w:hAnsi="Times New Roman;sans-serif"/>
          <w:b w:val="false"/>
          <w:color w:val="000000"/>
          <w:sz w:val="20"/>
        </w:rPr>
        <w:t xml:space="preserve">k of </w:t>
      </w:r>
      <w:r>
        <w:rPr>
          <w:rFonts w:ascii="Times New Roman;sans-serif" w:hAnsi="Times New Roman;sans-serif"/>
          <w:b w:val="false"/>
          <w:color w:val="000000"/>
          <w:sz w:val="20"/>
          <w:highlight w:val="white"/>
        </w:rPr>
        <w:t>$41.5 million</w:t>
      </w:r>
      <w:r>
        <w:rPr>
          <w:color w:val="000000"/>
        </w:rPr>
        <w:t xml:space="preserve"> </w:t>
      </w:r>
      <w:r>
        <w:rPr>
          <w:rFonts w:ascii="Times New Roman;sans-serif" w:hAnsi="Times New Roman;sans-serif"/>
          <w:b w:val="false"/>
          <w:color w:val="000000"/>
          <w:sz w:val="20"/>
        </w:rPr>
        <w:t xml:space="preserve">and proceeds from exercise of stock options of </w:t>
      </w:r>
      <w:r>
        <w:rPr>
          <w:rFonts w:ascii="Times New Roman;sans-serif" w:hAnsi="Times New Roman;sans-serif"/>
          <w:b w:val="false"/>
          <w:color w:val="000000"/>
          <w:sz w:val="20"/>
          <w:highlight w:val="white"/>
        </w:rPr>
        <w:t>$1.3 million</w:t>
      </w:r>
      <w:r>
        <w:rPr>
          <w:rFonts w:ascii="Times New Roman;sans-serif" w:hAnsi="Times New Roman;sans-serif"/>
          <w:b w:val="false"/>
          <w:color w:val="000000"/>
          <w:sz w:val="20"/>
        </w:rPr>
        <w:t xml:space="preserve">, partially offset by repayment of long-term debt of </w:t>
      </w:r>
      <w:r>
        <w:rPr>
          <w:rFonts w:ascii="Times New Roman;sans-serif" w:hAnsi="Times New Roman;sans-serif"/>
          <w:b w:val="false"/>
          <w:color w:val="000000"/>
          <w:sz w:val="20"/>
          <w:highlight w:val="white"/>
        </w:rPr>
        <w:t>$3.0 million</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year ended December 31, 2019, cash provided by financing activities was $50.5 million primarily consisting of $40.5 million of net proceeds from issuance of convertible notes, and $10.0 million of proceeds from issuance of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at a point in time when control of the goods are transferred to the customer, occurring upon shipment or delivery dependent upon the terms of the underlying contract. Product sales to certain customers may require customer acceptance due to performance acceptance criteria that is considered more than a formality. For these product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sales, revenue is recognized upon the expiration of the customer acceptance period. Amounts billed to customers for shipping and handling are included in revenue. Taxes collected from customers and remitted to governmental authorities are excluded from revenue on the net basis of accounting.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service projects, we bill and recognize revenue as the services are performed. For these arrangements, control is transferred over time as we input costs incurred to complete the project; therefore, revenue is recognized over the service period with the measure of progress using the input method based on labor costs incurred to total labor cost (cost-to-cost) as the services are provided.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enter into contracts that can include multiple performance obligations, we account for individual products and services separately if the customer can benefit from the product or service on its own or with other resources that are readily available to the customer and the product or service is separately identifiable from other promises in the arrangement. The consideration is allocated between separate performance obligations in proportion to their estimated standalone selling price. The standalone selling price reflects the price we would charge for a specific product or service if it were sold separately in similar circumstances and to similar customers.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within other income (expense), net.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measure and recognize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Common Stock Valuation</w:t>
      </w:r>
      <w:r>
        <w:rPr>
          <w:color w:val="000000"/>
        </w:rPr>
        <w:t xml:space="preserve"> – </w:t>
      </w:r>
      <w:r>
        <w:rPr>
          <w:rFonts w:ascii="Times New Roman;sans-serif" w:hAnsi="Times New Roman;sans-serif"/>
          <w:b w:val="false"/>
          <w:color w:val="000000"/>
          <w:sz w:val="20"/>
        </w:rPr>
        <w:t>The fair value of the shares of common stock underlying our stock-based awards issued after the Merger is based on the grant date closing fair market value of our common stock. Before closing of the Merger, the fair value of the shares of common stock underlying our stock-based awards was historically determined by management and approved by the Board of Directors. Because there was no public market for the our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expected term represents the period that our stock-based awards are expected to be outstanding and is determined using the simplified method, which deems the term to be the average of the time to vesting and the contractual life of the options.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expected volatility is based on the historical volatility for the period commensurate with the expected term of the awards for a peer group of comparable companies with publicly traded shares.</w:t>
      </w:r>
    </w:p>
    <w:p>
      <w:pPr>
        <w:pStyle w:val="TextBody"/>
        <w:spacing w:lineRule="auto" w:line="288" w:before="60" w:after="283"/>
        <w:ind w:left="0" w:right="0" w:hanging="360"/>
        <w:rPr/>
      </w:pPr>
      <w:r>
        <w:rPr>
          <w:color w:val="000000"/>
        </w:rPr>
        <w:t>•</w:t>
      </w:r>
      <w:r>
        <w:rPr>
          <w:rFonts w:ascii="Times New Roman;sans-serif" w:hAnsi="Times New Roman;sans-serif"/>
          <w:b w:val="false"/>
          <w:i/>
          <w:color w:val="000000"/>
          <w:sz w:val="20"/>
        </w:rPr>
        <w:t>Expected Dividends</w:t>
      </w:r>
      <w:r>
        <w:rPr>
          <w:color w:val="000000"/>
        </w:rPr>
        <w:t xml:space="preserve"> – </w:t>
      </w:r>
      <w:r>
        <w:rPr>
          <w:rFonts w:ascii="Times New Roman;sans-serif" w:hAnsi="Times New Roman;sans-serif"/>
          <w:b w:val="false"/>
          <w:color w:val="000000"/>
          <w:sz w:val="20"/>
        </w:rPr>
        <w:t>We do not currently pay cash dividends on its common stock and does not anticipate doing so in the foreseeable future. Accordingly, the expected dividend yield is 0%.</w:t>
      </w:r>
    </w:p>
    <w:p>
      <w:pPr>
        <w:pStyle w:val="TextBody"/>
        <w:spacing w:lineRule="auto" w:line="288" w:before="60" w:after="120"/>
        <w:ind w:left="0" w:right="0" w:hanging="360"/>
        <w:rPr/>
      </w:pPr>
      <w:r>
        <w:rPr>
          <w:color w:val="000000"/>
        </w:rPr>
        <w:t>•</w:t>
      </w:r>
      <w:r>
        <w:rPr>
          <w:rFonts w:ascii="Times New Roman;sans-serif" w:hAnsi="Times New Roman;sans-serif"/>
          <w:b w:val="false"/>
          <w:i/>
          <w:color w:val="000000"/>
          <w:sz w:val="20"/>
        </w:rPr>
        <w:t xml:space="preserve">Risk-Free Interest Rate </w:t>
      </w:r>
      <w:r>
        <w:rPr>
          <w:color w:val="000000"/>
        </w:rPr>
        <w:t xml:space="preserve">– </w:t>
      </w:r>
      <w:r>
        <w:rPr>
          <w:rFonts w:ascii="Times New Roman;sans-serif" w:hAnsi="Times New Roman;sans-serif"/>
          <w:b w:val="false"/>
          <w:color w:val="000000"/>
          <w:sz w:val="20"/>
        </w:rPr>
        <w:t>The risk-free interest rate is based on the U.S. Treasury yield for a term consistent with the expected life of the awards in effect at the time of grant.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values of the restricted stock awards and restricted stock units were determined based on the fair value of the our common stock on the grant date. We recognize stock-based compensation expense over the requisite service period. Forfeitures are accounted for as they occur. Our policy for issuing stock upon stock option exercise is to issue new common stock.</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Inventory Valuation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estimated net realizable value. Costs are computed under the standard cost method, which approximates actual costs determined on the first in, first out basis. We record write-downs of inventories which are obsolete or in excess of anticipated demand. Significant judgment is used in establishing our forecasts of future demand and obsolete material exposures. We consider marketability and product life cycle stage, product development plans, demand forecasts, and assumptions about future demand and market conditions in establishing our estimates. If the actual component usage and product demand are significantly lower than forecast, which may be caused by factors within and outside of our control, or if there were a higher incidence of inventory obsolescence because of rapidly changing technology and our customer requirements, we may be required to increase our inventory write-downs. A change in our estimates could have a significant impact on the value of our inventory and our results of operations.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Common Stock Valuations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fair value of the common stock underlying our stock-based awards was determined by our board of directors, with input from management and corroboration from contemporaneous third-party valuations. Given the absence of a public trading market of our common stock prior to the Business Combination,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at each grant date. These factors included: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contemporaneous valuations of our common stock performed by independent third-party specialists;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prices, rights, preferences, and privileges of our convertible preferred stock relative to those of our common stock;</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prices paid for common or convertible preferred stock sold to third-party investors by us and prices paid in secondary transactions for shares repurchased by us in arm’s-length transactions, including any tender offers, if any;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lack of marketability inherent in our common stock;</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actual operating and financial performance;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current business conditions and projections;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hiring of key personnel and the experience of our management;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history of the company and the introduction of new products;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stage of development;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likelihood of achieving a liquidity event, such as an initial public offering (IPO), a merger, or acquisition of our company given prevailing market conditions;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operational and financial performance of comparable publicly traded companies;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U.S. and global capital market conditions and overall economic conditions.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valuing our common stock, the fair value of our business was determined using various valuation methods, including combinations of income, market, cost approaches with input from management. The income approach estimates value based on the expectation of future cash flows that a company will generate. These future cash flows are discounted to their present values using a discount rate that is derived from an analysis of the cost of capital of comparable publicly traded companies in our industry or similar business operations as of each valuation date and is adjusted to reflect the risks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each valuation, the fair value of our business determined by these approaches was then allocated to the common stock using the option-pricing method.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Following the Business Combination, the fair value of our common stock is based on the closing price of our common stock on the relevant determination date, as reported on the New York Stock Exchange.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Note 2 in our consolidated financial statements contained elsewhere in this Form 10-K for recently adopted accounting pronouncements and recently issued accounting pronouncements not yet adopted as of the date of this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and cash equivalents of approximately $182.6 million, out of which $177.5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United States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OUSTER, INC.</w:t>
      </w:r>
    </w:p>
    <w:tbl>
      <w:tblPr>
        <w:tblW w:w="10205" w:type="dxa"/>
        <w:jc w:val="left"/>
        <w:tblInd w:w="0" w:type="dxa"/>
        <w:tblCellMar>
          <w:top w:w="28" w:type="dxa"/>
          <w:left w:w="28" w:type="dxa"/>
          <w:bottom w:w="28" w:type="dxa"/>
          <w:right w:w="28" w:type="dxa"/>
        </w:tblCellMar>
      </w:tblPr>
      <w:tblGrid>
        <w:gridCol w:w="3598"/>
        <w:gridCol w:w="3113"/>
        <w:gridCol w:w="3121"/>
        <w:gridCol w:w="109"/>
        <w:gridCol w:w="109"/>
        <w:gridCol w:w="155"/>
      </w:tblGrid>
      <w:tr>
        <w:trPr/>
        <w:tc>
          <w:tcPr>
            <w:tcW w:w="3598" w:type="dxa"/>
            <w:tcBorders/>
            <w:shd w:fill="auto" w:val="clear"/>
            <w:vAlign w:val="center"/>
          </w:tcPr>
          <w:p>
            <w:pPr>
              <w:pStyle w:val="TableContents"/>
              <w:spacing w:before="0" w:after="283"/>
              <w:rPr>
                <w:sz w:val="4"/>
                <w:szCs w:val="4"/>
              </w:rPr>
            </w:pPr>
            <w:r>
              <w:rPr>
                <w:sz w:val="4"/>
                <w:szCs w:val="4"/>
              </w:rPr>
            </w:r>
          </w:p>
        </w:tc>
        <w:tc>
          <w:tcPr>
            <w:tcW w:w="3113"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85">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PCAOB ID 238</w:t>
            </w:r>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85">
              <w:r>
                <w:rPr>
                  <w:rStyle w:val="InternetLink"/>
                  <w:rFonts w:ascii="Times New Roman;sans-serif" w:hAnsi="Times New Roman;sans-serif"/>
                  <w:b w:val="false"/>
                  <w:strike w:val="false"/>
                  <w:dstrike w:val="false"/>
                  <w:color w:val="000000"/>
                  <w:sz w:val="20"/>
                  <w:u w:val="none"/>
                  <w:effect w:val="none"/>
                </w:rPr>
                <w:t>63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88">
              <w:r>
                <w:rPr>
                  <w:rStyle w:val="InternetLink"/>
                </w:rPr>
                <w:t>Consolidated Balance Sheets as of December 31, 20</w:t>
              </w:r>
            </w:hyperlink>
            <w:hyperlink w:anchor="i8902c3de0e12464b89b2dca1343baef4_88">
              <w:r>
                <w:rPr>
                  <w:rStyle w:val="InternetLink"/>
                </w:rPr>
                <w:t>21</w:t>
              </w:r>
            </w:hyperlink>
            <w:hyperlink w:anchor="i8902c3de0e12464b89b2dca1343baef4_88">
              <w:r>
                <w:rPr>
                  <w:rStyle w:val="InternetLink"/>
                </w:rPr>
                <w:t xml:space="preserve"> and</w:t>
              </w:r>
            </w:hyperlink>
            <w:hyperlink w:anchor="i8902c3de0e12464b89b2dca1343baef4_88">
              <w:r>
                <w:rPr>
                  <w:rStyle w:val="InternetLink"/>
                </w:rPr>
                <w:t xml:space="preserve"> 2020</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88">
              <w:r>
                <w:rPr>
                  <w:rStyle w:val="InternetLink"/>
                  <w:rFonts w:ascii="Times New Roman;sans-serif" w:hAnsi="Times New Roman;sans-serif"/>
                  <w:b w:val="false"/>
                  <w:strike w:val="false"/>
                  <w:dstrike w:val="false"/>
                  <w:color w:val="000000"/>
                  <w:sz w:val="20"/>
                  <w:u w:val="none"/>
                  <w:effect w:val="none"/>
                </w:rPr>
                <w:t>65</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91">
              <w:r>
                <w:rPr>
                  <w:rStyle w:val="InternetLink"/>
                </w:rPr>
                <w:t>Consolidated Statements of Operations and Comprehensive Loss for the Years Ended December 31, 202</w:t>
              </w:r>
            </w:hyperlink>
            <w:hyperlink w:anchor="i8902c3de0e12464b89b2dca1343baef4_91">
              <w:r>
                <w:rPr>
                  <w:rStyle w:val="InternetLink"/>
                </w:rPr>
                <w:t>1</w:t>
              </w:r>
            </w:hyperlink>
            <w:r>
              <w:rPr>
                <w:rFonts w:ascii="Times New Roman;sans-serif" w:hAnsi="Times New Roman;sans-serif"/>
                <w:b w:val="false"/>
                <w:color w:val="0000FF"/>
                <w:sz w:val="20"/>
                <w:u w:val="single"/>
              </w:rPr>
              <w:t>,</w:t>
            </w:r>
            <w:hyperlink w:anchor="i8902c3de0e12464b89b2dca1343baef4_91">
              <w:r>
                <w:rPr>
                  <w:rStyle w:val="InternetLink"/>
                </w:rPr>
                <w:t xml:space="preserve"> </w:t>
              </w:r>
            </w:hyperlink>
            <w:hyperlink w:anchor="i8902c3de0e12464b89b2dca1343baef4_91">
              <w:r>
                <w:rPr>
                  <w:rStyle w:val="InternetLink"/>
                </w:rPr>
                <w:t>2020</w:t>
              </w:r>
            </w:hyperlink>
            <w:r>
              <w:rPr>
                <w:rFonts w:ascii="Times New Roman;sans-serif" w:hAnsi="Times New Roman;sans-serif"/>
                <w:b w:val="false"/>
                <w:color w:val="000000"/>
                <w:sz w:val="20"/>
              </w:rPr>
              <w:t>,</w:t>
            </w:r>
            <w:hyperlink w:anchor="i8902c3de0e12464b89b2dca1343baef4_91">
              <w:r>
                <w:rPr>
                  <w:rStyle w:val="InternetLink"/>
                  <w:color w:val="0000FF"/>
                  <w:u w:val="single"/>
                </w:rPr>
                <w:t xml:space="preserve"> </w:t>
              </w:r>
            </w:hyperlink>
            <w:hyperlink w:anchor="i8902c3de0e12464b89b2dca1343baef4_91">
              <w:r>
                <w:rPr>
                  <w:rStyle w:val="InternetLink"/>
                  <w:rFonts w:ascii="Times New Roman;sans-serif" w:hAnsi="Times New Roman;sans-serif"/>
                  <w:b w:val="false"/>
                  <w:color w:val="0000FF"/>
                  <w:sz w:val="20"/>
                  <w:u w:val="single"/>
                </w:rPr>
                <w:t>and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91">
              <w:r>
                <w:rPr>
                  <w:rStyle w:val="InternetLink"/>
                  <w:rFonts w:ascii="Times New Roman;sans-serif" w:hAnsi="Times New Roman;sans-serif"/>
                  <w:b w:val="false"/>
                  <w:strike w:val="false"/>
                  <w:dstrike w:val="false"/>
                  <w:color w:val="000000"/>
                  <w:sz w:val="20"/>
                  <w:u w:val="none"/>
                  <w:effect w:val="none"/>
                </w:rPr>
                <w:t>66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902c3de0e12464b89b2dca1343baef4_94">
              <w:r>
                <w:rPr>
                  <w:rStyle w:val="InternetLink"/>
                </w:rPr>
                <w:t>Consolidated Statements of Changes in Redeemable Convertible Preferred Stock and Stockholders’ Equity (Deficit) for the Years Ended December 31, 2021</w:t>
              </w:r>
            </w:hyperlink>
            <w:hyperlink w:anchor="i8902c3de0e12464b89b2dca1343baef4_94">
              <w:r>
                <w:rPr>
                  <w:rStyle w:val="InternetLink"/>
                </w:rPr>
                <w:t>,</w:t>
              </w:r>
            </w:hyperlink>
            <w:hyperlink w:anchor="i8902c3de0e12464b89b2dca1343baef4_94">
              <w:r>
                <w:rPr>
                  <w:rStyle w:val="InternetLink"/>
                </w:rPr>
                <w:t xml:space="preserve"> 2020</w:t>
              </w:r>
            </w:hyperlink>
            <w:hyperlink w:anchor="i8902c3de0e12464b89b2dca1343baef4_94">
              <w:r>
                <w:rPr>
                  <w:rStyle w:val="InternetLink"/>
                </w:rPr>
                <w:t>,</w:t>
              </w:r>
            </w:hyperlink>
            <w:hyperlink w:anchor="i8902c3de0e12464b89b2dca1343baef4_94">
              <w:r>
                <w:rPr>
                  <w:rStyle w:val="InternetLink"/>
                </w:rPr>
                <w:t xml:space="preserve"> and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94">
              <w:r>
                <w:rPr>
                  <w:rStyle w:val="InternetLink"/>
                  <w:rFonts w:ascii="Times New Roman;sans-serif" w:hAnsi="Times New Roman;sans-serif"/>
                  <w:b w:val="false"/>
                  <w:strike w:val="false"/>
                  <w:dstrike w:val="false"/>
                  <w:color w:val="000000"/>
                  <w:sz w:val="20"/>
                  <w:u w:val="none"/>
                  <w:effect w:val="none"/>
                </w:rPr>
                <w:t>67</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97">
              <w:r>
                <w:rPr>
                  <w:rStyle w:val="InternetLink"/>
                </w:rPr>
                <w:t>Consolidated Statements of Cash Flows for the Years Ended December  31, 202</w:t>
              </w:r>
            </w:hyperlink>
            <w:hyperlink w:anchor="i8902c3de0e12464b89b2dca1343baef4_97">
              <w:r>
                <w:rPr>
                  <w:rStyle w:val="InternetLink"/>
                </w:rPr>
                <w:t>1</w:t>
              </w:r>
            </w:hyperlink>
            <w:r>
              <w:rPr>
                <w:rFonts w:ascii="Times New Roman;sans-serif" w:hAnsi="Times New Roman;sans-serif"/>
                <w:b w:val="false"/>
                <w:color w:val="0000FF"/>
                <w:sz w:val="20"/>
                <w:u w:val="single"/>
              </w:rPr>
              <w:t>,</w:t>
            </w:r>
            <w:hyperlink w:anchor="i8902c3de0e12464b89b2dca1343baef4_91">
              <w:r>
                <w:rPr>
                  <w:rStyle w:val="InternetLink"/>
                </w:rPr>
                <w:t xml:space="preserve"> 2020</w:t>
              </w:r>
            </w:hyperlink>
            <w:hyperlink w:anchor="i8902c3de0e12464b89b2dca1343baef4_97">
              <w:r>
                <w:rPr>
                  <w:rStyle w:val="InternetLink"/>
                </w:rPr>
                <w:t>, and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97">
              <w:r>
                <w:rPr>
                  <w:rStyle w:val="InternetLink"/>
                  <w:rFonts w:ascii="Times New Roman;sans-serif" w:hAnsi="Times New Roman;sans-serif"/>
                  <w:b w:val="false"/>
                  <w:strike w:val="false"/>
                  <w:dstrike w:val="false"/>
                  <w:color w:val="000000"/>
                  <w:sz w:val="20"/>
                  <w:u w:val="none"/>
                  <w:effect w:val="none"/>
                </w:rPr>
                <w:t>69</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902c3de0e12464b89b2dca1343baef4_100">
              <w:r>
                <w:rPr>
                  <w:rStyle w:val="InternetLink"/>
                  <w:rFonts w:ascii="Times New Roman;sans-serif" w:hAnsi="Times New Roman;sans-serif"/>
                  <w:b w:val="false"/>
                  <w:color w:val="0000FF"/>
                  <w:sz w:val="20"/>
                  <w:u w:val="single"/>
                </w:rPr>
                <w:t>Notes to Consolidated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902c3de0e12464b89b2dca1343baef4_100">
              <w:r>
                <w:rPr>
                  <w:rStyle w:val="InternetLink"/>
                  <w:rFonts w:ascii="Times New Roman;sans-serif" w:hAnsi="Times New Roman;sans-serif"/>
                  <w:b w:val="false"/>
                  <w:strike w:val="false"/>
                  <w:dstrike w:val="false"/>
                  <w:color w:val="000000"/>
                  <w:sz w:val="20"/>
                  <w:u w:val="none"/>
                  <w:effect w:val="none"/>
                </w:rPr>
                <w:t>72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Ouster, Inc.</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Ouster, Inc. and its subsidiaries (the “Company”) as of December 31, 2021 and 2020, and the related consolidated statements of operations and comprehensive loss, of changes in redeemable convertible preferred stock and stockholders’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changed the manner in which it accounts for leases in 2019.</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Acquisition of Sense Photonics, Inc. – Valuation of Developed Technology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described in Note 3 to the consolidated financial statements, on October 22, 2021, the Company completed the acquisition of Sense Photonics, Inc. for total consideration of $72.8 million, of which $15.9 million related to developed technology. As disclosed by management, the Company recognizes the assets acquired and liabilities assumed in business combinations on the basis of their fair values at the date of acquisition. Management assesses the fair value of assets acquired, including intangible assets, and liabilities assumed using a variety of methods. The fair values assigned to developed technology was determined using the relief from royalty rate method. Management applied significant judgment in estimating the fair value of the developed technology, which involved significant assumptions related to the revenue growth rates, the relief-from-royalty rate, the discount rate and the economic life.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valuation of developed technology acquired as part of the acquisition of Sense Photonics, Inc. is a critical audit matter are (i) the high degree of auditor judgment and subjectivity in performing procedures relating to the fair value of the developed technology acquired due to the significant judgment by management when developing the estimate; (ii) significant audit effort in evaluating the significant assumptions related to the revenue growth rates, the relief-from-royalty rate, the discount rate, and the economic life; and (iii) the audit effort involved the use of professionals with specialized skill and knowledge.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among others (i) reading the acquisition agreement and (ii) testing management’s process for estimating the fair value of the developed technology. Testing management’s process included evaluating the appropriateness of the relief from royalty rate method, testing the completeness and accuracy of data provided by management, and evaluating the reasonableness of significant assumptions related to the revenue growth rates, the relief-from-royalty rate, the discount rate, and the economic life. Evaluating the reasonableness of the revenue growth rates significant assumption involved considering (i) the past performance of the acquired business; (ii) the consistency with external market and industry data; and (iii) whether the significant assumption was consistent with evidence obtained in other areas of the audit. Professionals with specialized skill and knowledge were used to assist in the evaluation of the appropriateness of the Company’s relief from royalty rate method and the reasonableness of the relief-from-royalty rate, the discount rate, and the economic life significant assumptions.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PricewaterhouseCoopers LLP</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San Jose, California</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February 28, 2022</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served as the Company’s auditor since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CellMar>
          <w:top w:w="28" w:type="dxa"/>
          <w:left w:w="28" w:type="dxa"/>
          <w:bottom w:w="28" w:type="dxa"/>
          <w:right w:w="28" w:type="dxa"/>
        </w:tblCellMar>
      </w:tblPr>
      <w:tblGrid>
        <w:gridCol w:w="2960"/>
        <w:gridCol w:w="2377"/>
        <w:gridCol w:w="2308"/>
        <w:gridCol w:w="211"/>
        <w:gridCol w:w="826"/>
        <w:gridCol w:w="109"/>
        <w:gridCol w:w="109"/>
        <w:gridCol w:w="109"/>
        <w:gridCol w:w="109"/>
        <w:gridCol w:w="211"/>
        <w:gridCol w:w="721"/>
        <w:gridCol w:w="155"/>
      </w:tblGrid>
      <w:tr>
        <w:trPr/>
        <w:tc>
          <w:tcPr>
            <w:tcW w:w="2960"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long-term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(At December 31, 2021 and 2020 related party $2,669 and Nil,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$0.0001 par value per share; 100,000,000 and 131,411,372 shares authorized at December 31, 2021 and 2020; Nil and 88,434,754 shares issued and outstanding at December 31, 2021 and 2020, respectively (aggregate liquidation preference of Nil and $41,791 at December 31, 2021 and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and 210,956,516 shares authorized at December 31, 2021 and 2020, respectively; 172,200,417 and 33,327,294 issued and outstanding at December 31, 2021 and December 31,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(209,375)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 (deficit)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46,414 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9596" w:type="dxa"/>
        <w:jc w:val="left"/>
        <w:tblInd w:w="0" w:type="dxa"/>
        <w:tblCellMar>
          <w:top w:w="28" w:type="dxa"/>
          <w:left w:w="28" w:type="dxa"/>
          <w:bottom w:w="28" w:type="dxa"/>
          <w:right w:w="28" w:type="dxa"/>
        </w:tblCellMar>
      </w:tblPr>
      <w:tblGrid>
        <w:gridCol w:w="1902"/>
        <w:gridCol w:w="1681"/>
        <w:gridCol w:w="1682"/>
        <w:gridCol w:w="264"/>
        <w:gridCol w:w="922"/>
        <w:gridCol w:w="109"/>
        <w:gridCol w:w="109"/>
        <w:gridCol w:w="109"/>
        <w:gridCol w:w="109"/>
        <w:gridCol w:w="211"/>
        <w:gridCol w:w="901"/>
        <w:gridCol w:w="109"/>
        <w:gridCol w:w="109"/>
        <w:gridCol w:w="109"/>
        <w:gridCol w:w="109"/>
        <w:gridCol w:w="211"/>
        <w:gridCol w:w="796"/>
        <w:gridCol w:w="154"/>
      </w:tblGrid>
      <w:tr>
        <w:trPr/>
        <w:tc>
          <w:tcPr>
            <w:tcW w:w="1902"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w:t>
              <w:br/>
              <w:t>loss per share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133,917,571 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17,858,976 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REDEEMABLE CONVERTIBLE PREFERRED STOCK AND STOCKHOLDERS’ EQUITY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3198" w:type="dxa"/>
        <w:jc w:val="left"/>
        <w:tblInd w:w="0" w:type="dxa"/>
        <w:tblCellMar>
          <w:top w:w="28" w:type="dxa"/>
          <w:left w:w="28" w:type="dxa"/>
          <w:bottom w:w="28" w:type="dxa"/>
          <w:right w:w="28" w:type="dxa"/>
        </w:tblCellMar>
      </w:tblPr>
      <w:tblGrid>
        <w:gridCol w:w="754"/>
        <w:gridCol w:w="333"/>
        <w:gridCol w:w="279"/>
        <w:gridCol w:w="479"/>
        <w:gridCol w:w="482"/>
        <w:gridCol w:w="196"/>
        <w:gridCol w:w="109"/>
        <w:gridCol w:w="109"/>
        <w:gridCol w:w="109"/>
        <w:gridCol w:w="196"/>
        <w:gridCol w:w="646"/>
        <w:gridCol w:w="109"/>
        <w:gridCol w:w="109"/>
        <w:gridCol w:w="109"/>
        <w:gridCol w:w="109"/>
        <w:gridCol w:w="479"/>
        <w:gridCol w:w="482"/>
        <w:gridCol w:w="196"/>
        <w:gridCol w:w="109"/>
        <w:gridCol w:w="109"/>
        <w:gridCol w:w="109"/>
        <w:gridCol w:w="196"/>
        <w:gridCol w:w="406"/>
        <w:gridCol w:w="109"/>
        <w:gridCol w:w="109"/>
        <w:gridCol w:w="109"/>
        <w:gridCol w:w="109"/>
        <w:gridCol w:w="235"/>
        <w:gridCol w:w="505"/>
        <w:gridCol w:w="131"/>
        <w:gridCol w:w="109"/>
        <w:gridCol w:w="109"/>
        <w:gridCol w:w="109"/>
        <w:gridCol w:w="277"/>
        <w:gridCol w:w="574"/>
        <w:gridCol w:w="155"/>
        <w:gridCol w:w="109"/>
        <w:gridCol w:w="109"/>
        <w:gridCol w:w="109"/>
        <w:gridCol w:w="213"/>
        <w:gridCol w:w="719"/>
        <w:gridCol w:w="119"/>
        <w:gridCol w:w="109"/>
        <w:gridCol w:w="109"/>
        <w:gridCol w:w="109"/>
        <w:gridCol w:w="322"/>
        <w:gridCol w:w="668"/>
        <w:gridCol w:w="181"/>
        <w:gridCol w:w="109"/>
        <w:gridCol w:w="109"/>
        <w:gridCol w:w="109"/>
        <w:gridCol w:w="221"/>
        <w:gridCol w:w="745"/>
        <w:gridCol w:w="175"/>
      </w:tblGrid>
      <w:tr>
        <w:trPr/>
        <w:tc>
          <w:tcPr>
            <w:tcW w:w="75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366"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Redeemable Convertible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w:t>
              <w:br/>
              <w:t>receivable</w:t>
              <w:br/>
              <w:t>from</w:t>
              <w:br/>
              <w:t>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366" w:type="dxa"/>
            <w:gridSpan w:val="3"/>
            <w:vMerge w:val="continue"/>
            <w:tcBorders/>
            <w:shd w:fill="auto" w:val="clear"/>
            <w:tcMar>
              <w:top w:w="0" w:type="dxa"/>
              <w:left w:w="0" w:type="dxa"/>
              <w:bottom w:w="0" w:type="dxa"/>
              <w:right w:w="0" w:type="dxa"/>
            </w:tcMar>
            <w:vAlign w:val="center"/>
          </w:tcPr>
          <w:p>
            <w:pPr>
              <w:pStyle w:val="Normal"/>
              <w:rPr/>
            </w:pPr>
            <w:r>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Balance — January 1, 2019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4,384,348 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7,890,521 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(50,236)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Cumulative-effect adjustment from adoption of ASC 842</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common stock upon exercise of stock options </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notes to stockholders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Vesting of early exercised stock options </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(51,661)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(51,661)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4,384,348 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7,902,407 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(102,595)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(100,319)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12,221,363 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restricted stock awards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1,617,264 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convertible preferred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88,434,754 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 to common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(4,384,348)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4,384,348 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40,016 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notes to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7,201,912 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78,311 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78,311 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12,057 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a note receivable from a stockholder</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7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(106,780)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(106,780)</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88,434,754 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33,327,294 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(209,375)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(75,907)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2,148,437 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warrants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(406,845)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tbl>
      <w:tblPr>
        <w:tblW w:w="12028" w:type="dxa"/>
        <w:jc w:val="left"/>
        <w:tblInd w:w="0" w:type="dxa"/>
        <w:tblCellMar>
          <w:top w:w="28" w:type="dxa"/>
          <w:left w:w="28" w:type="dxa"/>
          <w:bottom w:w="28" w:type="dxa"/>
          <w:right w:w="28" w:type="dxa"/>
        </w:tblCellMar>
      </w:tblPr>
      <w:tblGrid>
        <w:gridCol w:w="722"/>
        <w:gridCol w:w="291"/>
        <w:gridCol w:w="293"/>
        <w:gridCol w:w="487"/>
        <w:gridCol w:w="489"/>
        <w:gridCol w:w="109"/>
        <w:gridCol w:w="109"/>
        <w:gridCol w:w="109"/>
        <w:gridCol w:w="109"/>
        <w:gridCol w:w="214"/>
        <w:gridCol w:w="447"/>
        <w:gridCol w:w="109"/>
        <w:gridCol w:w="109"/>
        <w:gridCol w:w="109"/>
        <w:gridCol w:w="109"/>
        <w:gridCol w:w="524"/>
        <w:gridCol w:w="527"/>
        <w:gridCol w:w="109"/>
        <w:gridCol w:w="109"/>
        <w:gridCol w:w="109"/>
        <w:gridCol w:w="109"/>
        <w:gridCol w:w="196"/>
        <w:gridCol w:w="331"/>
        <w:gridCol w:w="109"/>
        <w:gridCol w:w="109"/>
        <w:gridCol w:w="109"/>
        <w:gridCol w:w="109"/>
        <w:gridCol w:w="196"/>
        <w:gridCol w:w="736"/>
        <w:gridCol w:w="109"/>
        <w:gridCol w:w="109"/>
        <w:gridCol w:w="109"/>
        <w:gridCol w:w="109"/>
        <w:gridCol w:w="196"/>
        <w:gridCol w:w="406"/>
        <w:gridCol w:w="109"/>
        <w:gridCol w:w="109"/>
        <w:gridCol w:w="109"/>
        <w:gridCol w:w="109"/>
        <w:gridCol w:w="196"/>
        <w:gridCol w:w="751"/>
        <w:gridCol w:w="109"/>
        <w:gridCol w:w="109"/>
        <w:gridCol w:w="109"/>
        <w:gridCol w:w="109"/>
        <w:gridCol w:w="196"/>
        <w:gridCol w:w="256"/>
        <w:gridCol w:w="109"/>
        <w:gridCol w:w="109"/>
        <w:gridCol w:w="109"/>
        <w:gridCol w:w="109"/>
        <w:gridCol w:w="196"/>
        <w:gridCol w:w="736"/>
        <w:gridCol w:w="154"/>
      </w:tblGrid>
      <w:tr>
        <w:trPr/>
        <w:tc>
          <w:tcPr>
            <w:tcW w:w="72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convertible preferred stock upon exercise of warrants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 to common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(92,667,701)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92,667,701 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merger and private offering, net of acquired private placement warrants of $19,377</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34,947,657 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272,065 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Offering costs in connection with the merger</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acquisition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9,163,982 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replacement equity awards in connection with acquisition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including vesting of restricted stock units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previously issued awards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stock options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(93,981)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2021</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right"/>
              <w:rPr/>
            </w:pPr>
            <w:r>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172,200,417 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0"/>
              <w:jc w:val="right"/>
              <w:rPr/>
            </w:pPr>
            <w:r>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343"/>
        <w:gridCol w:w="1996"/>
        <w:gridCol w:w="2007"/>
        <w:gridCol w:w="196"/>
        <w:gridCol w:w="736"/>
        <w:gridCol w:w="109"/>
        <w:gridCol w:w="109"/>
        <w:gridCol w:w="109"/>
        <w:gridCol w:w="109"/>
        <w:gridCol w:w="196"/>
        <w:gridCol w:w="798"/>
        <w:gridCol w:w="109"/>
        <w:gridCol w:w="109"/>
        <w:gridCol w:w="109"/>
        <w:gridCol w:w="109"/>
        <w:gridCol w:w="196"/>
        <w:gridCol w:w="708"/>
        <w:gridCol w:w="157"/>
      </w:tblGrid>
      <w:tr>
        <w:trPr/>
        <w:tc>
          <w:tcPr>
            <w:tcW w:w="2343"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9"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(51,661)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right-of-use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notes and convertible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 and debt discount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extinguishment of tranche right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Inventory write down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Write-off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exchanged for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net of cash acquired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merger and private offering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offering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promissory notes to related parties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promissory notes to related parties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warrants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redeemable convertible preferred stock, net off issuance cost of $265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notes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year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OPERATING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NON-CASH INVESTING AND FINANCING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purchases included in accounts payable and accrued liabilities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operating lease liability</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issued in connection with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convertible preferred stock upon exercise of warrants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 to common stock</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tbl>
      <w:tblPr>
        <w:tblW w:w="10205" w:type="dxa"/>
        <w:jc w:val="center"/>
        <w:tblInd w:w="0" w:type="dxa"/>
        <w:tblCellMar>
          <w:top w:w="28" w:type="dxa"/>
          <w:left w:w="28" w:type="dxa"/>
          <w:bottom w:w="28" w:type="dxa"/>
          <w:right w:w="28" w:type="dxa"/>
        </w:tblCellMar>
      </w:tblPr>
      <w:tblGrid>
        <w:gridCol w:w="2583"/>
        <w:gridCol w:w="2270"/>
        <w:gridCol w:w="2278"/>
        <w:gridCol w:w="196"/>
        <w:gridCol w:w="406"/>
        <w:gridCol w:w="109"/>
        <w:gridCol w:w="109"/>
        <w:gridCol w:w="109"/>
        <w:gridCol w:w="109"/>
        <w:gridCol w:w="196"/>
        <w:gridCol w:w="646"/>
        <w:gridCol w:w="109"/>
        <w:gridCol w:w="109"/>
        <w:gridCol w:w="109"/>
        <w:gridCol w:w="109"/>
        <w:gridCol w:w="196"/>
        <w:gridCol w:w="406"/>
        <w:gridCol w:w="156"/>
      </w:tblGrid>
      <w:tr>
        <w:trPr/>
        <w:tc>
          <w:tcPr>
            <w:tcW w:w="2583"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the conversion of convertible notes and accrued interest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transaction costs not yet paid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common stock on exercise of stock options with notes receivable from stockholders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warrants per loan agreement amendment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with notes receivable from stockholders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40" w:before="100" w:after="283"/>
        <w:rPr/>
      </w:pPr>
      <w:hyperlink w:anchor="i8902c3de0e12464b89b2dca1343baef4_7">
        <w:r>
          <w:rPr>
            <w:rStyle w:val="InternetLink"/>
          </w:rPr>
          <w:t>Ta</w:t>
        </w:r>
      </w:hyperlink>
      <w:hyperlink w:anchor="i8902c3de0e12464b89b2dca1343baef4_7">
        <w:r>
          <w:rPr>
            <w:rStyle w:val="InternetLink"/>
          </w:rPr>
          <w:t xml:space="preserve">ble of </w:t>
        </w:r>
      </w:hyperlink>
      <w:hyperlink w:anchor="i8902c3de0e12464b89b2dca1343baef4_7">
        <w:r>
          <w:rPr>
            <w:rStyle w:val="InternetLink"/>
          </w:rPr>
          <w:t>C</w:t>
        </w:r>
      </w:hyperlink>
      <w:hyperlink w:anchor="i8902c3de0e12464b89b2dca1343baef4_7">
        <w:r>
          <w:rPr>
            <w:rStyle w:val="InternetLink"/>
            <w:rFonts w:ascii="Times New Roman;sans-serif" w:hAnsi="Times New Roman;sans-serif"/>
            <w:b/>
            <w:color w:val="0000FF"/>
            <w:sz w:val="20"/>
            <w:highlight w:val="white"/>
            <w:u w:val="single"/>
          </w:rPr>
          <w:t>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 reported within the consolidated balance sheets as of December 31,</w:t>
      </w:r>
    </w:p>
    <w:tbl>
      <w:tblPr>
        <w:tblW w:w="7872" w:type="dxa"/>
        <w:jc w:val="left"/>
        <w:tblInd w:w="0" w:type="dxa"/>
        <w:tblCellMar>
          <w:top w:w="28" w:type="dxa"/>
          <w:left w:w="28" w:type="dxa"/>
          <w:bottom w:w="28" w:type="dxa"/>
          <w:right w:w="28" w:type="dxa"/>
        </w:tblCellMar>
      </w:tblPr>
      <w:tblGrid>
        <w:gridCol w:w="1429"/>
        <w:gridCol w:w="1254"/>
        <w:gridCol w:w="1262"/>
        <w:gridCol w:w="211"/>
        <w:gridCol w:w="826"/>
        <w:gridCol w:w="109"/>
        <w:gridCol w:w="109"/>
        <w:gridCol w:w="109"/>
        <w:gridCol w:w="109"/>
        <w:gridCol w:w="211"/>
        <w:gridCol w:w="721"/>
        <w:gridCol w:w="109"/>
        <w:gridCol w:w="109"/>
        <w:gridCol w:w="109"/>
        <w:gridCol w:w="109"/>
        <w:gridCol w:w="211"/>
        <w:gridCol w:w="721"/>
        <w:gridCol w:w="154"/>
      </w:tblGrid>
      <w:tr>
        <w:trPr/>
        <w:tc>
          <w:tcPr>
            <w:tcW w:w="1429"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 – Description of Business and Basis of Presentation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Ouster, Inc. was incorporated in the state of Delaware on June 4, 2020. The Company’s operating subsidiary, Ouster Technologies, Inc. (“OTI” and prior to the Merger (as defined below), named Ouster, Inc.),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Colonnade Acquisition Corp. (“CLA”),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subsidiaries (all of which are wholly owned) and have been prepared in conformity with U.S. generally accepted accounting principles (“US GAAP”). All intercompany balances and transactions have been eliminated in consolidation.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Impact of the COVID-19 Pandemic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been actively monitoring the ongoing COVID-19 pandemic situation and its impact on the Company’s business. In response to the pandemic, numerous state and local jurisdictions have imposed “shelter-in-place” orders, quarantines and other restrictions. In the United States, governmental authorities have, at times, recommended, and in certain cases required, that elective, specialty and other procedures and appointments, be suspended or canceled. In the United States, COVID-19 restrictions continue to vary state by state as the measures depend greatly on the political landscape and the resurgence of new cases. In California, where the Company’s headquarters are located, face coverings indoors are still recommended regardless of vaccination status, and some counties continue to have mask mandates. Such orders or restrictions have, at times during the pandemic, resulted in reduced operations at the Company’s headquarters (including its manufacturing facility), work stoppages, slowdowns and delays, travel restrictions and cancellation of events and have restricted the efforts of the Company’s sales representatives, thereby significantly and negatively impacting the Company’s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full extent to which the COVID-19 pandemic will directly or indirectly impact the Company’s business, results of operations and financial condition, including sales, expenses, reserves and allowances, manufacturing, research and development costs and employee-related amounts, will depend on future developments that are highly uncertain, including as a result of new information that may emerge concerning COVID-19, including variants, the progression and effectiveness of vaccination roll-outs, vaccination hesitancy, and the actions taken to contain it or treat COVID-19, as well as the economic impact on local, regional, national and international customers and markets. The situation surrounding COVID-19 remains fluid and the potential for a material impact on the Company increases the longer the virus impacts the level of economic activity in the United States and globally. Given the ongoing evolution of the COVID-19 and the global responses to curb its impact, the Company is not able to estimate the future effects of the COVID-19 on its results of operations, financial condition, or liquidity.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on a going concern basis. The Company has experienced recurring losses from operations, and negative cash flows from operations. As of December 31, 2021, the Company had an accumulated deficit of approximately $303.4 million. The Company has historically financed its operations primarily through the Merger and related transactions, the sale of convertible notes, equity securities, proceeds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December 31, 2021 are sufficient for the Company to continue as a going concern for at least one year from the date these consolidated financial statements are available for issuance.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Merger Agreement with Colonnade Acquisition Corp. and Beam Merger Sub,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warrant to purchase one share of Ouster common stock pursuant to the Warrant Agreement. No fractional Public warrants were issued upon separation of the CLA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 received gross proceeds of $299.9 million from the Merger and private offering, offset by $8.5 million of pre-merger costs relating to CLA and offerings costs of $26.6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was accounted for as a reverse recapitalization.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PIPE Investment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Items subject to such estimates and assumptions include, but are not limited to, the useful lives of long-lived assets, revenue recognition, sales return reserve, inventory write downs, the realizability of deferred tax assets, the measurement of stock-based compensation, and the valuation of the Company’s various financial instruments. The Company bases its estimates on historical experience and on various other assumptions that the Company believes to be reasonable under the circumstances. On an ongoing basis, the Company evaluates these assumptions, judgments and estimates. Actual results may differ from these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Due to the novel coronavirus (“COVID-19”) pandemic, there is ongoing uncertainty and significant disruption in the global economy and financial markets. The Company is not aware of any specific event or circumstances that would require an update to estimates, judgments or assumptions or a revision to the carrying value of the Company’s assets or liabilities as of the date these financial statements were available to be issued. These estimates, judgments and assumptions may change in the future, as new events occur, or additional information is obtained.</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within other income (expense), net. </w:t>
      </w:r>
    </w:p>
    <w:p>
      <w:pPr>
        <w:pStyle w:val="TextBody"/>
        <w:spacing w:lineRule="auto" w:line="288" w:before="36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Foreign Currencies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functional currency of the Company is the U.S. dollar. The functional currency of the Company’s wholly-owned foreign subsidiaries is generally the same as the entity’s local currency. Accordingly, the asset and liability accounts of our foreign operations are translated into U.S. dollars using the current exchange rate in effect at the balance sheet date and equity accounts are translated into U.S. dollars using historical rates. The revenues and expenses are translated using the average exchange rates in effect during the period, and gains and losses from foreign currency translation adjustments are included as a component of accumulated other comprehensive loss in the consolidated balance sheets. Foreign currency translation adjustments are recorded in other comprehensive loss in the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Foreign currency transaction gains and losses are a result of the effect of exchange rate changes on transactions denominated in currencies other than the functional currency. Foreign currency transaction gains and losses are recorded in other income (expense), net in the consolidated statements of operations and comprehensive loss.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reportable and operating segment, which relates to the sale of lidar sensor kits. The Company’s chief operating decision maker is its chief executive officer, who reviews financial information presented on a consolidated basis for purposes of making operating decisions, assessing financial performance and allocating resources.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120" w:after="283"/>
        <w:rPr/>
      </w:pPr>
      <w:r>
        <w:rPr>
          <w:rFonts w:ascii="Times New Roman;sans-serif" w:hAnsi="Times New Roman;sans-serif"/>
          <w:b w:val="false"/>
          <w:color w:val="000000"/>
          <w:sz w:val="20"/>
        </w:rPr>
        <w:t xml:space="preserve">In accordance with ASC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revenue is recognized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1) Identify the contract with a customer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terms and conditions of revenue contracts and its customary business practices in identifying contracts with its customers. It is determined that 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2) Identify the performance obligations in the contract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 The Company’s performance obligations consist of (i) sale of lidar sensor kits and (ii) product development and validation services. Amounts billed to customers related to shipping and handling are classified as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3) Determine the transaction price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determined based on the consideration to which the Company expects to be entitled in exchange for transferring product or services to the customer. Variable consideration is included in the transaction price if the Company judges that it is probable that a significant future reversal of cumulative revenue under the contract will not occur. The Company does not have a material amount of variable consideration in its agreements with customers. None of the Company’s contracts contain a significant financing component. All taxes assessed by a governmental authority on a specific revenue-producing transaction collected by the Company from a customer are excluded from the transaction price. The Company’s general terms and conditions for its contracts do not contain a right of return that allows the customer to return products and receive a credit.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4) Allocate the transaction price to performance obligations in the contract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2021, 2020 and 2019 the Company did not have a material volume of contracts that required the allocation of transaction price to multiple performance obligations.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5) Recognize revenue when or as the Company satisfies a performance obligation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at the time the related performance obligation is satisfied by transferring the promised product or service to a customer. Revenue is recognized when control of products or services is transferred to customers, in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amount that reflects the consideration that the Company expects to receive in exchange for those products or services. The Company generates all of its revenue from contracts with customers and applies judgment in identifying and evaluating any terms and conditions in contracts which may impact revenue recognition. Revenue is recognized at a point in time when control of the goods is transferred to the customer, generally occurring upon shipment. Product sales to certain customers may require customer acceptance due to performance acceptance criteria that is considered more than a formality. For these product sales, revenue is recognized upon the expiration of the customer acceptance period. The obligation to provide services is generally satisfied over time, with the customer simultaneously receiving and consuming the benefits as the Company satisfies its performance obligations. For these service projects, the Company bills and recognizes revenue as the services are performed. For these arrangements, control is transferred to the customer as the Company’s inputs incurred to complete the project; therefore, revenue is recognized over the service period with the measure of progress using the input method based on labor costs incurred to total labor cost (cost-to-cost) as the services are provided. The Company did not have any revenue from services that were recognized over time in 2021.</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 The incremental cost of obtaining a contract for the years ended December 31, 2021 and 2020 was $2.2 million and $0.3 million, respectively. No commission plan was in place and no expense was recognized for 2019.</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Right of return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Company’s general terms and conditions for its contracts do not contain a right of return that allows the customer to return products and receive a credit, however it has in practice permitted returns of its sensor kits in limited circumstances. Allowances for sales returns, which reduce revenue, are estimated using historical experience and were immaterial as of December 31, 2021 and 2020. Actual returns in subsequent periods have been consistent with estimated amounts.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Additionally, as a practical expedient, the Company has not disclosed the value of unsatisfied performance obligations for contracts with an original expected length of one year or less. The deferred revenue balance represents the remaining performance obligations for contracts with an original duration of greater than one year. For the years ended December 31, 2021, 2020 and 2019, the Company recognized less than $0.1 million, $0.5 million and less than $0.1 million of revenue that was deferred as of December 31, 2020, 2019 and 2018 respectively. Deferred revenue was $0.2 million as of December 31, 2021, relating primarily to the development and validation services. All of the deferred revenue balance at December 31, 2021 is expected to be recognized in the year ending December 31, 2022.</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revenues by geographic area based on the location products were shipped to and services provided (in thousands):</w:t>
      </w:r>
    </w:p>
    <w:tbl>
      <w:tblPr>
        <w:tblW w:w="6732" w:type="dxa"/>
        <w:jc w:val="left"/>
        <w:tblInd w:w="0" w:type="dxa"/>
        <w:tblCellMar>
          <w:top w:w="28" w:type="dxa"/>
          <w:left w:w="28" w:type="dxa"/>
          <w:bottom w:w="28" w:type="dxa"/>
          <w:right w:w="28" w:type="dxa"/>
        </w:tblCellMar>
      </w:tblPr>
      <w:tblGrid>
        <w:gridCol w:w="1056"/>
        <w:gridCol w:w="925"/>
        <w:gridCol w:w="929"/>
        <w:gridCol w:w="211"/>
        <w:gridCol w:w="721"/>
        <w:gridCol w:w="109"/>
        <w:gridCol w:w="109"/>
        <w:gridCol w:w="109"/>
        <w:gridCol w:w="109"/>
        <w:gridCol w:w="211"/>
        <w:gridCol w:w="721"/>
        <w:gridCol w:w="109"/>
        <w:gridCol w:w="109"/>
        <w:gridCol w:w="109"/>
        <w:gridCol w:w="109"/>
        <w:gridCol w:w="211"/>
        <w:gridCol w:w="721"/>
        <w:gridCol w:w="154"/>
      </w:tblGrid>
      <w:tr>
        <w:trPr/>
        <w:tc>
          <w:tcPr>
            <w:tcW w:w="1056"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excluding 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the manufacturing cost of digital lidar sensors, which primarily consists of sensor components, personnel-related costs directly associated with the manufacturing, and amounts paid to our third-party contract manufacturer and vendors.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Expenditures incurred in the research and development of new products and enhancements to existing products are charged to expense as incurred. Research and development costs include, but are not limited to payroll and personnel expenses, laboratory supplies, prototype materials consumed during product development and the inventory materials consumed during pilot manufacturing runs, and consulting costs.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costs are charged to expense as incurred.</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Net loss per common share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follows the two-class method when computing net loss per common share. The two-class method determines net loss per common share for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attributable to common stockholders is computed by dividing the net loss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Company’s redeemable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 to common stockholders for the years ended December 31, 2021, 2020 and 2019.</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Comprehensive loss is comprised of net loss and other comprehensive income (loss). The Company’s foreign currency translation adjustment is the only component of other comprehensive loss that is excluded from the reported net loss for all periods presented.</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from the date of purchase of three months or less to be cash equivalents. Cash and cash equivalents consist of cash deposited with banks and a money market account.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certificates of deposit held by banks as security for outstanding letters of credit.</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and do not bear interest. The Company maintains an allowance for expected credit losses representing its best estimate of expected credit losses related to its existing accounts receivable and their net realizable value. The allowance is determined using a combination of factors including historical losses adjusted to take into account current market conditions and customers’ financial condition, the amount of receivables in dispute, and the current receivables aging and current payment patterns. The Company writes off accounts receivable against the allowance after all means of collection have been exhausted and the potential for recovery is considered remote.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allowance for expected credit losses were as follows (in thousands):</w:t>
      </w:r>
    </w:p>
    <w:tbl>
      <w:tblPr>
        <w:tblW w:w="9500" w:type="dxa"/>
        <w:jc w:val="left"/>
        <w:tblInd w:w="0" w:type="dxa"/>
        <w:tblCellMar>
          <w:top w:w="28" w:type="dxa"/>
          <w:left w:w="28" w:type="dxa"/>
          <w:bottom w:w="28" w:type="dxa"/>
          <w:right w:w="28" w:type="dxa"/>
        </w:tblCellMar>
      </w:tblPr>
      <w:tblGrid>
        <w:gridCol w:w="1560"/>
        <w:gridCol w:w="1368"/>
        <w:gridCol w:w="1376"/>
        <w:gridCol w:w="402"/>
        <w:gridCol w:w="888"/>
        <w:gridCol w:w="209"/>
        <w:gridCol w:w="109"/>
        <w:gridCol w:w="109"/>
        <w:gridCol w:w="109"/>
        <w:gridCol w:w="402"/>
        <w:gridCol w:w="888"/>
        <w:gridCol w:w="209"/>
        <w:gridCol w:w="109"/>
        <w:gridCol w:w="109"/>
        <w:gridCol w:w="109"/>
        <w:gridCol w:w="391"/>
        <w:gridCol w:w="865"/>
        <w:gridCol w:w="288"/>
      </w:tblGrid>
      <w:tr>
        <w:trPr/>
        <w:tc>
          <w:tcPr>
            <w:tcW w:w="1560"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Uncollectible accounts written off, net of recoveries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120" w:after="283"/>
        <w:rPr/>
      </w:pPr>
      <w:r>
        <w:rPr>
          <w:rFonts w:ascii="Times New Roman;sans-serif" w:hAnsi="Times New Roman;sans-serif"/>
          <w:b w:val="false"/>
          <w:color w:val="000000"/>
          <w:sz w:val="20"/>
        </w:rPr>
        <w:t xml:space="preserve">Inventory consists principally of raw materials, work-in-process, and finished goods and is stated at the lower of cost or estimated net realizable value. Costs are computed under the standard cost method, which approximates actual costs determined on the first-in, first-out basis. The Company charges cost of revenue for write-downs of inventories which are obsolete or in excess of anticipated demand based on purchase commitments, production needed to fulfil the warranty obligations, consideration of product marketability and product development plans, historical revenue and assumptions about future demand and market conditions. </w:t>
      </w:r>
      <w:r>
        <w:rPr>
          <w:rFonts w:ascii="Times New Roman;sans-serif" w:hAnsi="Times New Roman;sans-serif"/>
          <w:b w:val="false"/>
          <w:color w:val="000000"/>
          <w:sz w:val="20"/>
          <w:highlight w:val="white"/>
        </w:rPr>
        <w:t>The Company wrote down inventories of $0.8 million, $0.8 million</w:t>
      </w:r>
      <w:r>
        <w:rPr>
          <w:color w:val="000000"/>
        </w:rPr>
        <w:t xml:space="preserve"> </w:t>
      </w:r>
      <w:r>
        <w:rPr>
          <w:rFonts w:ascii="Times New Roman;sans-serif" w:hAnsi="Times New Roman;sans-serif"/>
          <w:b w:val="false"/>
          <w:color w:val="000000"/>
          <w:sz w:val="20"/>
        </w:rPr>
        <w:t xml:space="preserve">and $4.8 million during the years ended December 31, 2021, 2020 and 2019, respectively, included in cost of revenue.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Expenditures for repairs and maintenance are charged to expense as incurred. Upon disposition, the cost and related accumulated depreciation and amortization are removed from the accounts and resulting gain or loss is reflected in the consolidated statement of income. Depreciation is computed using the straight-line method over the estimated useful lives of the assets (see Note 5).</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evaluates events and changes in circumstances that could indicate carrying amounts of long-lived assets, including intangible assets, may not be recoverable. When such events or changes in circumstances occur, the Company assesses the recoverability of long-lived assets by determining whether the carrying value of such assets will be recovered through undiscounted expected future cash flows. If the total of the future undiscounted cash flows is less than the carrying amount of those assets, the Company records an impairment charge in the period in which such determination is made. If such assets are considered to be impaired, the impairment to be recognized is measured by the amount by which the carrying amount of the assets exceeds the fair value of the assets. There were no triggering events identified. The Company has not identified any such impairment losses to date.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tangible and identified intangible assets acquired in a business combination. Goodwill is not amortized but is evaluated at least annually for impairment or when a change in facts and circumstances indicate that the fair value of the goodwill may be below the carrying value.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 The Company has determined that it operates in a single operating segment and has a single reporting unit.</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Prior to performing the impairment test, the Company assesses qualitative factors to determine whether the existence of events or circumstances would indicate that it is more likely than not that the fair value of the reporting unit was less than the carrying amount. If after assessing the totality of events or circumstances, the Company were to determine that it is more likely than not that the fair value of the reporting unit is less than the carrying amount, then the Company would perform a quantitative impairment test.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quantitative impairment test involves comparing the fair value of the reporting unit to the carrying value. If the fair value of the reporting unit exceeds the carrying value of the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As of December 31, 2021, no impairment of goodwill has been identified.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primarily of developed technology, vendor relationship and customer relationships. Acquired intangible assets are initially recorded at the acquisition-date fair value. Intangible assets are amortized on a straight-line basis over their estimated useful lives, generally 3 to 8 years.</w:t>
      </w:r>
    </w:p>
    <w:p>
      <w:pPr>
        <w:pStyle w:val="TextBody"/>
        <w:spacing w:lineRule="auto" w:line="288" w:before="360" w:after="283"/>
        <w:rPr/>
      </w:pPr>
      <w:r>
        <w:rPr>
          <w:rFonts w:ascii="Times New Roman;sans-serif" w:hAnsi="Times New Roman;sans-serif"/>
          <w:b/>
          <w:i/>
          <w:color w:val="000000"/>
          <w:sz w:val="20"/>
        </w:rPr>
        <w:t>Fair Value of Financial Instruments</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Level I - Quoted prices for identical instruments in active markets.</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Level III - Instruments whose significant value drivers are unobservable.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Redeemable Convertible Preferred Stock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records redeemable convertible preferred stock at their respective fair values on the dates of issuance, net of issuance costs. The redeemable convertible preferred stock is recorded outside of permanent equity because while it was not mandatorily redeemable, in the event of certain events considered not solely within the Company’s control, such as a merger, acquisition or sale of all or substantially all of the Company’s assets (each, a “deemed liquidation event”), the redeemable convertible preferred stock would become redeemable at the option of the holders of such shares. The Company did not adjust the carrying values of the redeemable convertible preferred stock to the liquidation preferences of such shares because it was not probable that a deemed liquidation event would occur that would obligate the Company to pay the liquidation preferences to holders of shares of redeemable convertible preferred stock.</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Warrant liabilities consist of redeemable convertible preferred stock warrants and Private Placement warrants. The Company’s redeemable convertible preferred stock warrants were accounted for as a liability as the underlying redeemable convertible preferred stock were contingently redeemable and would obligate the Company to transfer assets to the holders at a future date upon occurrence of a deemed liquidation event.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are not redeemable for cash so long as they are held by the initial purchasers or their permitted transferees but may be redeemable for common stock if certain other conditions are met. If the Private Placement warrants are held by someone other than the initial purchasers or their permitted transferees, the Private Placement warrants are redeemable by the Company and exercisable by such holders subject to certain conditions, such as the reported closing price of our common stock equaling or exceeding $18.00 per share (as adjusted for stock splits, stock dividends, reorganizations, recapitalizations and the like) for any 20 trading days within a 30 trading-day period ending three business days before the Company sends the notice of redemption to the holders of Private Placement warrants. The Company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the Private Placement warrants and concluded that they do not meet the criteria to be classified within stockholders’ equity. The agreement governing the Private Placement warrants includes a provision,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This provision precludes the Company from classifying the Private Placement warrants in stockholders’ equity.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the redeemable convertible preferred stock warrants and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 The Company’s redeemable convertible preferred stock warrants were exercised in 2021 and no redeemable convertible preferred stock warrants were outstanding as of December 31, 2021.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primarily of cash, cash equivalents, and restricted cash, and accounts receivable. Cash, cash equivalents and restricted cash are deposited with federally insured commercial banks in the U.S. and UK, Hong Kong, China and European Union. At times, cash balances in the U.S. may be in excess of federal insurance limits. As of December 31, 2021 and 2020, the Company had cash, cash equivalents and restricted cash on deposit with financial institutions in US of $184.2 million and $12.5 million. As of December 31, 2021 and 2020, the Company also had cash on deposit with financial institutions in countries other than the US of approximately $0.5 million and $0.1 million, respectively, that was not federally insured.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generally does not require collateral or other security deposits for accounts receivable.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Company’s major customers representing 10% or more of total accounts receivable was as follows:</w:t>
      </w:r>
    </w:p>
    <w:tbl>
      <w:tblPr>
        <w:tblW w:w="3641" w:type="dxa"/>
        <w:jc w:val="left"/>
        <w:tblInd w:w="0" w:type="dxa"/>
        <w:tblCellMar>
          <w:top w:w="28" w:type="dxa"/>
          <w:left w:w="28" w:type="dxa"/>
          <w:bottom w:w="28" w:type="dxa"/>
          <w:right w:w="28" w:type="dxa"/>
        </w:tblCellMar>
      </w:tblPr>
      <w:tblGrid>
        <w:gridCol w:w="391"/>
        <w:gridCol w:w="344"/>
        <w:gridCol w:w="345"/>
        <w:gridCol w:w="244"/>
        <w:gridCol w:w="244"/>
        <w:gridCol w:w="607"/>
        <w:gridCol w:w="109"/>
        <w:gridCol w:w="109"/>
        <w:gridCol w:w="109"/>
        <w:gridCol w:w="231"/>
        <w:gridCol w:w="231"/>
        <w:gridCol w:w="677"/>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10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10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*Customer accounted for less than 10% of total accounts receivable in the period.</w:t>
      </w:r>
    </w:p>
    <w:p>
      <w:pPr>
        <w:pStyle w:val="TextBody"/>
        <w:spacing w:lineRule="auto" w:line="288" w:before="120" w:after="283"/>
        <w:rPr/>
      </w:pPr>
      <w:r>
        <w:rPr>
          <w:rFonts w:ascii="Times New Roman;sans-serif" w:hAnsi="Times New Roman;sans-serif"/>
          <w:b w:val="false"/>
          <w:color w:val="000000"/>
          <w:sz w:val="20"/>
          <w:highlight w:val="white"/>
        </w:rPr>
        <w:t xml:space="preserve">There were no customers that accounted for more than 10% of revenue during the year ended December 31, 2021. Revenue from customer D accounted for approximately 11% and 22% of total revenue during the year ended </w:t>
      </w:r>
      <w:r>
        <w:rPr>
          <w:rFonts w:ascii="Times New Roman;sans-serif" w:hAnsi="Times New Roman;sans-serif"/>
          <w:b w:val="false"/>
          <w:color w:val="000000"/>
          <w:sz w:val="20"/>
        </w:rPr>
        <w:t>December 31, 2020 and 2019</w:t>
      </w:r>
      <w:r>
        <w:rPr>
          <w:rFonts w:ascii="Times New Roman;sans-serif" w:hAnsi="Times New Roman;sans-serif"/>
          <w:b w:val="false"/>
          <w:color w:val="000000"/>
          <w:sz w:val="20"/>
          <w:highlight w:val="white"/>
        </w:rPr>
        <w: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Concentrations of supplier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One supplier accounted for approximately 20% of total purchases during the year ended December 31, 2021 and accounted for 55% of total accounts payable balance as of December 31, 2021. One supplier accounted for approximately 15% of total purchases during the year ended December 31, 2020 and there were no suppliers that accounted for more than 23% of total accounts payable balance as of December 31, 2020. One supplier accounted for approximately 12% of total purchases during the year ended December 31, 2019 and there were no suppliers that accounted for more than 10% of total accounts payable balance as of December 31, 2019.</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Deferred transaction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certain legal, accounting and other third-party fees that are directly related to the Company’s in-process equity financings, including the merger with Colonnade Acquisition Corp, until such financings are consummated. After consummation of the equity financing, these costs will be recorded as a reduction of the proceeds received as a result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of the equity financing. In the event that a planned equity financing does not occur or is significantly delayed, all related deferred offering costs are expensed immediately within the Company’s consolidated statements of operations and comprehensive loss. The Company capitalized $3.4 million of costs related to the merger with Colonnade Acquisition Corp. at December 31, 2020 (included in other non-current assets in the consolidated balance sheets). Upon the closing of the Merger the deferred transaction costs were recorded in the additional paid-in capital and there were no deferred transaction costs as of December 31, 2021.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recognizes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pStyle w:val="TextBody"/>
        <w:spacing w:lineRule="auto" w:line="288" w:before="60" w:after="283"/>
        <w:ind w:left="0" w:right="0" w:hanging="720"/>
        <w:rPr/>
      </w:pPr>
      <w:r>
        <w:rPr>
          <w:color w:val="000000"/>
        </w:rPr>
        <w:t>•</w:t>
      </w:r>
      <w:r>
        <w:rPr>
          <w:rFonts w:ascii="Times New Roman;sans-serif" w:hAnsi="Times New Roman;sans-serif"/>
          <w:b w:val="false"/>
          <w:i/>
          <w:color w:val="000000"/>
          <w:sz w:val="20"/>
        </w:rPr>
        <w:t>Common Stock Valuation</w:t>
      </w:r>
      <w:r>
        <w:rPr>
          <w:color w:val="000000"/>
        </w:rPr>
        <w:t xml:space="preserve"> – </w:t>
      </w:r>
      <w:r>
        <w:rPr>
          <w:rFonts w:ascii="Times New Roman;sans-serif" w:hAnsi="Times New Roman;sans-serif"/>
          <w:b w:val="false"/>
          <w:color w:val="000000"/>
          <w:sz w:val="20"/>
        </w:rPr>
        <w:t>The fair value of the shares of common stock underlying the Company’s stock-based awards issued after the Merger is based on the grant date closing fair market value of the Company’s common stock. Before closing of the Merger, the fair value of the shares of common stock underlying the Company’s stock-based awards was historically determined by management and approved by the Board of Directors. Because there was no public market for the Company’s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pStyle w:val="TextBody"/>
        <w:spacing w:lineRule="auto" w:line="288" w:before="60" w:after="283"/>
        <w:ind w:left="0" w:right="0" w:hanging="720"/>
        <w:rPr/>
      </w:pPr>
      <w:r>
        <w:rPr>
          <w:color w:val="000000"/>
        </w:rPr>
        <w:t>•</w:t>
      </w: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expected term represents the period that the Company’s stock-based awards are expected to be outstanding and is determined using the simplified method, which deems the term to be the average of the time to vesting and the contractual life of the options.</w:t>
      </w:r>
    </w:p>
    <w:p>
      <w:pPr>
        <w:pStyle w:val="TextBody"/>
        <w:spacing w:lineRule="auto" w:line="288" w:before="60" w:after="283"/>
        <w:ind w:left="0" w:right="0" w:hanging="720"/>
        <w:rPr/>
      </w:pPr>
      <w:r>
        <w:rPr>
          <w:color w:val="000000"/>
        </w:rPr>
        <w:t>•</w:t>
      </w: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expected volatility is based on the historical volatility for the period commensurate with the expected term of the awards for a peer group of comparable companies with publicly traded shares.</w:t>
      </w:r>
    </w:p>
    <w:p>
      <w:pPr>
        <w:pStyle w:val="TextBody"/>
        <w:spacing w:lineRule="auto" w:line="288" w:before="60" w:after="283"/>
        <w:ind w:left="0" w:right="0" w:hanging="720"/>
        <w:rPr/>
      </w:pPr>
      <w:r>
        <w:rPr>
          <w:color w:val="000000"/>
        </w:rPr>
        <w:t>•</w:t>
      </w:r>
      <w:r>
        <w:rPr>
          <w:rFonts w:ascii="Times New Roman;sans-serif" w:hAnsi="Times New Roman;sans-serif"/>
          <w:b w:val="false"/>
          <w:i/>
          <w:color w:val="000000"/>
          <w:sz w:val="20"/>
        </w:rPr>
        <w:t>Expected Dividends</w:t>
      </w:r>
      <w:r>
        <w:rPr>
          <w:color w:val="000000"/>
        </w:rPr>
        <w:t xml:space="preserve"> – </w:t>
      </w:r>
      <w:r>
        <w:rPr>
          <w:rFonts w:ascii="Times New Roman;sans-serif" w:hAnsi="Times New Roman;sans-serif"/>
          <w:b w:val="false"/>
          <w:color w:val="000000"/>
          <w:sz w:val="20"/>
        </w:rPr>
        <w:t>The Company does not currently pay cash dividends on its common stock and does not anticipate doing so in the foreseeable future. Accordingly, the expected dividend yield is 0%.</w:t>
      </w:r>
    </w:p>
    <w:p>
      <w:pPr>
        <w:pStyle w:val="TextBody"/>
        <w:spacing w:lineRule="auto" w:line="288" w:before="60" w:after="283"/>
        <w:ind w:left="0" w:right="0" w:hanging="720"/>
        <w:rPr/>
      </w:pPr>
      <w:r>
        <w:rPr>
          <w:color w:val="000000"/>
        </w:rPr>
        <w:t>•</w:t>
      </w:r>
      <w:r>
        <w:rPr>
          <w:rFonts w:ascii="Times New Roman;sans-serif" w:hAnsi="Times New Roman;sans-serif"/>
          <w:b w:val="false"/>
          <w:i/>
          <w:color w:val="000000"/>
          <w:sz w:val="20"/>
        </w:rPr>
        <w:t>Risk-Free Interest Rate </w:t>
      </w:r>
      <w:r>
        <w:rPr>
          <w:color w:val="000000"/>
        </w:rPr>
        <w:t xml:space="preserve">– </w:t>
      </w:r>
      <w:r>
        <w:rPr>
          <w:rFonts w:ascii="Times New Roman;sans-serif" w:hAnsi="Times New Roman;sans-serif"/>
          <w:b w:val="false"/>
          <w:color w:val="000000"/>
          <w:sz w:val="20"/>
        </w:rPr>
        <w:t>The risk-free interest rate is based on the U.S. Treasury yield for a term consistent with the expected life of the awards in effect at the time of grant.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values of the restricted stock awards and restricted stock units were determined based on the fair value of the Company’s common stock on the grant date. The Company recognizes stock-based compensation expense over the requisite service period. Forfeitures are accounted for as they occur. The Company’s policy for issuing stock upon stock option exercise is to issue new common stock.</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Employee loan notes for purchase of common stock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executives and employees of the Company exercised stock options early or purchased stock in exchange for promissory notes in the year ended December 31, 2020. These notes were secured by the underlying shares purchased (the notes were 50% recourse and 50% non-recourse) and the Company had the right to repurchase such unvested shares upon employee termination at the original issuance price. The Company accounted for the notes as non-recourse in their entirety and did not record the notes in the consolidated financial statements as the Company did not consider the recourse rights to be substantive. The half of the respective obligations under the promissory notes were forgiven and the remaining balance was repaid in 2021 (see Note 12).</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liabilities and assets are recognized for the expected future tax consequences of temporary differences between financial statement carrying amounts and the tax basis of assets and liabilities and net operating loss (NOL) and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tax credit carryforwards. Valuation allowances are established when necessary to reduce deferred tax assets to the amount expected to be realized. Due to its history of operating losses, the Company has recorded a full valuation allowance against its deferred tax assets as of December 31, 2021 and December 31,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the related appeals or litigation processes, if any. An uncertain tax position that meets a more likely than not standard based on its technical merit would then be evaluated under the measurement step to determine the largest tax benefit that the taxpayer more likely than not will realize. The Company classifies any liabilities for unrecognized tax benefits as current to the extent that the Company anticipates payment of cash within one year. Interest and penalties related to uncertain tax positions are recognized in the provision for income taxes.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February 2016, the FASB issued ASC 842, Leases, a new standard requiring lessees to recognize operating and finance lease liabilities on the balance sheet, as well as corresponding right-of-use (“ROU”) assets. This standard also made some changes to lessor accounting and aligns key aspects of the lessor accounting model with the revenue recognition standard. In addition, disclosures are required to enable users of financial statements to assess the amount, timing, and uncertainty of cash flows arising from leases. ASC 842 requires adoption using the modified retrospective approach, with the option of applying the requirements of the standard either i) retrospectively to each prior comparative reporting period presented, or ii) retrospectively at the beginning of the period of adoption. The new standard also eliminates the previous build-to-suit lease accounting guidance, which results in the derecognition of build-to-suit assets and liabilities that remained on the balance sheet as of the ASC 842 adoption date. The Company adopted ASC 842 on January 1, 2019 on a modified retrospective basis, reflecting an immaterial cumulative effect as an adjustment to retained earnings. The Company elected the permitted practical expedients not to reassess the following related to leases that commenced before the effective date of ASC 842: (i) whether any expired or existing contracts contain leases; (ii) the lease classification for any expired or existing leases; and (iii) initial direct costs for any existing leases. The Company also elected the practical expedient to use hindsight in determining lease term and assessment of impairment of right of use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new standard also provides certain accounting elections for an entity’s ongoing accounting. The Company elected the short-term lease recognition exemption for all leases that qualify. This means that, for those leases that qualify, the Company will not recognize ROU assets or lease liabilities for leases with an initial lease term of one year or less. The Company also elected to not separate lease and nonlease components for its building leases. The nonlease components are generally variable in nature and are expected to represent most of the Company’s variable lease costs. Variable costs are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expensed as incurred. The Company determines whether an arrangement is a lease, or contains a lease, at inception.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purpose of the adoption of ASC 842, the Company also performed an evaluation of its other contracts with customers and suppliers in accordance with ASC 842 and determined that, except for the leases described in Note 9, “Leases”, none of the Company’s contracts contain a lease.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to use the present value of cash flows when estimating the ECL. The credit-related losses are required to be recognized through earnings and non-credit related losses are reported in other comprehensive income. The Company adopted this ASU as of January 1, 2021, which did not have a material impact on its consolidated financial statements and related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 software. The Company adopted this ASU as of January 1, 2021, which did not have a material impact on its consolidated financial statements and related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FASB issued ASU No. 2019-12, Income Taxes. ASU 2019-12 simplifies the accounting for income taxes by removing certain exceptions to the general principles in Topic 740 and by improving consistent application of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other areas of Topic 740. The Company adopted this ASU as of January 1, 2021, which did not have a material impact on its consolidated financial statements and related disclosures.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referenced below were assessed and determined to be either not applicable or are not expected to have a material impact on the Company’s consolidated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is effective for the Company for annual periods beginning December 15, 2021. The Company is currently evaluating the impact of the adoption of this ASU on the Company’s consolidated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The Company is currently evaluating the impact of the adoption of this ASU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Note 3. Business Combination and Related Transactions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Sense Acquisition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the Company acquired Sense Photonics Inc. (“Sense”), a privately held lidar technology company for autonomous vehicles. The transaction has been accounted for as a business combination. The Company purchased all of the outstanding shares of the capital stock of Sense and settled all Sense debt for total consideration of $72.8 million comprised of 9,163,982 shares of the Company’s common stock having a fair value of $60.0 million, fully vested replacement equity awards having a fair value of $1.1 million, and a cash payment of $11.7 million to settle Sense pre-existing debt and transaction costs incurred by Sense in connection with the acquisition. The Company retained 1,573,427 shares of common stock with the aggregate fair value of $10.3 million to satisfy any necessary adjustments, including without limitation certain indemnification claims and net working capital shortfall (“Holdback Shares”). The Holdback Shares will be released, net of any shares necessary to satisfy all unsatisfied or disputed claims for indemnification and net working capital shortfall, and distributed to the Sense stockholders in 18 months from the acquisition date. The Holdback Shares are considered issued and outstanding from legal perspective and have the same economic and voting rights as other issued and outstanding shares of the Company’s common stock.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Transaction costs incurred by the Company in connection with the acquisition, including professional fees, were $1.5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fair value of identifiable assets acquired and liabilities assumed (in thousands):</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tbl>
      <w:tblPr>
        <w:tblW w:w="5691" w:type="dxa"/>
        <w:jc w:val="left"/>
        <w:tblInd w:w="0" w:type="dxa"/>
        <w:tblCellMar>
          <w:top w:w="28" w:type="dxa"/>
          <w:left w:w="28" w:type="dxa"/>
          <w:bottom w:w="28" w:type="dxa"/>
          <w:right w:w="28" w:type="dxa"/>
        </w:tblCellMar>
      </w:tblPr>
      <w:tblGrid>
        <w:gridCol w:w="1659"/>
        <w:gridCol w:w="1461"/>
        <w:gridCol w:w="1485"/>
        <w:gridCol w:w="211"/>
        <w:gridCol w:w="721"/>
        <w:gridCol w:w="154"/>
      </w:tblGrid>
      <w:tr>
        <w:trPr/>
        <w:tc>
          <w:tcPr>
            <w:tcW w:w="1659"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estimated useful life of 8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 - estimated useful life of 3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 estimated useful life of 3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assigned to developed technology was determined as of the acquisition date under the relief-from-royalty rate method using Level 3 inputs. Management applied significant judgement in estimating the fair value of the developed technology, which involved significant assumptions related to the revenue growth rates, the relief-from-royalty rate, the discount rate, and the economic life. The fair values assigned to the vendor relationship and customer relationships were determined using Level 3 inputs under the with-and-without method. These Level 3 inputs include revenue growth rates, discount rate and period to recreate the relationship.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the identifiable assets and assumed liabilities acquired and is primarily attributable to the assembled workforce and expected synergies at the time of the acquisition. Goodwill is not deductible for tax purposes.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Sense’s revenue and pretax loss for the period from the acquisition date of October 22, 2021 to December 31, 2021 was not material.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information presents the combined historical results of operations of the Company and Sense as if the business combination had been completed on January 1, 2020. The pro forma financial information includes amortization of fair value adjustments in the appropriate pro forma periods as though the companies were combined as of the beginning of 2020. These adjustments include: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 increase in amortization expense of $4.5 million and $3.7 million related to the fair value of acquired identifiable intangible assets in 2021 and 2020, respectively;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 decrease in expenses of $1.5 million related to acquisition transaction expenses in 2021;</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 increase in stock based compensation expense of $10.8 million and $8.7 million in 2021 and 2020, respectively, related to the stock options and restricted stock units issued to Sense employees.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unaudited pro forma results (in thousands, except per share data):</w:t>
      </w:r>
    </w:p>
    <w:tbl>
      <w:tblPr>
        <w:tblW w:w="3744" w:type="dxa"/>
        <w:jc w:val="left"/>
        <w:tblInd w:w="0" w:type="dxa"/>
        <w:tblCellMar>
          <w:top w:w="28" w:type="dxa"/>
          <w:left w:w="28" w:type="dxa"/>
          <w:bottom w:w="28" w:type="dxa"/>
          <w:right w:w="28" w:type="dxa"/>
        </w:tblCellMar>
      </w:tblPr>
      <w:tblGrid>
        <w:gridCol w:w="320"/>
        <w:gridCol w:w="282"/>
        <w:gridCol w:w="283"/>
        <w:gridCol w:w="109"/>
        <w:gridCol w:w="109"/>
        <w:gridCol w:w="109"/>
        <w:gridCol w:w="448"/>
        <w:gridCol w:w="452"/>
        <w:gridCol w:w="156"/>
        <w:gridCol w:w="121"/>
        <w:gridCol w:w="121"/>
        <w:gridCol w:w="121"/>
        <w:gridCol w:w="448"/>
        <w:gridCol w:w="452"/>
        <w:gridCol w:w="213"/>
      </w:tblGrid>
      <w:tr>
        <w:trPr/>
        <w:tc>
          <w:tcPr>
            <w:tcW w:w="32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(139,850)</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4. Fair Value of Financial Instruments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by level for the Company’s assets and liabilities that were measured at fair value on a recurring basis (in thousands):</w:t>
      </w:r>
    </w:p>
    <w:tbl>
      <w:tblPr>
        <w:tblW w:w="7125" w:type="dxa"/>
        <w:jc w:val="left"/>
        <w:tblInd w:w="0" w:type="dxa"/>
        <w:tblCellMar>
          <w:top w:w="28" w:type="dxa"/>
          <w:left w:w="28" w:type="dxa"/>
          <w:bottom w:w="28" w:type="dxa"/>
          <w:right w:w="28" w:type="dxa"/>
        </w:tblCellMar>
      </w:tblPr>
      <w:tblGrid>
        <w:gridCol w:w="775"/>
        <w:gridCol w:w="682"/>
        <w:gridCol w:w="688"/>
        <w:gridCol w:w="211"/>
        <w:gridCol w:w="826"/>
        <w:gridCol w:w="109"/>
        <w:gridCol w:w="109"/>
        <w:gridCol w:w="109"/>
        <w:gridCol w:w="109"/>
        <w:gridCol w:w="211"/>
        <w:gridCol w:w="406"/>
        <w:gridCol w:w="109"/>
        <w:gridCol w:w="109"/>
        <w:gridCol w:w="109"/>
        <w:gridCol w:w="109"/>
        <w:gridCol w:w="211"/>
        <w:gridCol w:w="616"/>
        <w:gridCol w:w="109"/>
        <w:gridCol w:w="109"/>
        <w:gridCol w:w="109"/>
        <w:gridCol w:w="109"/>
        <w:gridCol w:w="211"/>
        <w:gridCol w:w="826"/>
        <w:gridCol w:w="154"/>
      </w:tblGrid>
      <w:tr>
        <w:trPr/>
        <w:tc>
          <w:tcPr>
            <w:tcW w:w="77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020" w:type="dxa"/>
        <w:jc w:val="left"/>
        <w:tblInd w:w="0" w:type="dxa"/>
        <w:tblCellMar>
          <w:top w:w="28" w:type="dxa"/>
          <w:left w:w="28" w:type="dxa"/>
          <w:bottom w:w="28" w:type="dxa"/>
          <w:right w:w="28" w:type="dxa"/>
        </w:tblCellMar>
      </w:tblPr>
      <w:tblGrid>
        <w:gridCol w:w="775"/>
        <w:gridCol w:w="682"/>
        <w:gridCol w:w="688"/>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77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Money market funds are included within Level 1 of the fair value hierarchy because they are valued using quoted market prices.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the redeemable convertible preferred stock warrant, redeemable convertible preferred stock tranche and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8).</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Company’s Level 3 financial instruments (in thousands):</w:t>
      </w:r>
    </w:p>
    <w:tbl>
      <w:tblPr>
        <w:tblW w:w="10205" w:type="dxa"/>
        <w:jc w:val="left"/>
        <w:tblInd w:w="0" w:type="dxa"/>
        <w:tblCellMar>
          <w:top w:w="28" w:type="dxa"/>
          <w:left w:w="28" w:type="dxa"/>
          <w:bottom w:w="28" w:type="dxa"/>
          <w:right w:w="28" w:type="dxa"/>
        </w:tblCellMar>
      </w:tblPr>
      <w:tblGrid>
        <w:gridCol w:w="1913"/>
        <w:gridCol w:w="1402"/>
        <w:gridCol w:w="1407"/>
        <w:gridCol w:w="286"/>
        <w:gridCol w:w="652"/>
        <w:gridCol w:w="148"/>
        <w:gridCol w:w="109"/>
        <w:gridCol w:w="109"/>
        <w:gridCol w:w="109"/>
        <w:gridCol w:w="311"/>
        <w:gridCol w:w="600"/>
        <w:gridCol w:w="163"/>
        <w:gridCol w:w="109"/>
        <w:gridCol w:w="109"/>
        <w:gridCol w:w="109"/>
        <w:gridCol w:w="305"/>
        <w:gridCol w:w="957"/>
        <w:gridCol w:w="157"/>
        <w:gridCol w:w="109"/>
        <w:gridCol w:w="109"/>
        <w:gridCol w:w="109"/>
        <w:gridCol w:w="250"/>
        <w:gridCol w:w="482"/>
        <w:gridCol w:w="191"/>
      </w:tblGrid>
      <w:tr>
        <w:trPr/>
        <w:tc>
          <w:tcPr>
            <w:tcW w:w="1913"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Redeemable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Convertible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Preferred Stock</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Warrant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Convertible</w:t>
              <w:br/>
              <w:t>Preferred Stock</w:t>
              <w:br/>
              <w:t>Tranche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Placement Warrant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as of January 1, 2019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7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preferred stock warrant liability upon subsequent issuance of warrants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(expense), net</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Fair value as of December 31, 2019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of preferred stock warrant liability upon subsequent issuance of warrants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(expense), net</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(48,440)</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derivative liability upon conversion of convertible notes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redeemable convertible preferred stock tranche liability due to the issuance of Series B redeemable convertible preferred stock, included in other income (expense), net</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Fair value as of December 31, 2020</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 liability acquired as part of the Merger</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(expense), net</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preferred stock upon exercise of warrants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Fair value as of December 31, 2021</w:t>
            </w:r>
          </w:p>
        </w:tc>
        <w:tc>
          <w:tcPr>
            <w:tcW w:w="28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certain assets, including goodwill and other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Disclosure of Fair Values</w:t>
      </w:r>
    </w:p>
    <w:p>
      <w:pPr>
        <w:pStyle w:val="TextBody"/>
        <w:spacing w:lineRule="auto" w:line="288" w:before="120" w:after="283"/>
        <w:rPr/>
      </w:pPr>
      <w:r>
        <w:rPr>
          <w:rFonts w:ascii="Times New Roman;sans-serif" w:hAnsi="Times New Roman;sans-serif"/>
          <w:b w:val="false"/>
          <w:color w:val="000000"/>
          <w:sz w:val="20"/>
        </w:rPr>
        <w:t>Our financial instruments that are not re-measured at fair value includ</w:t>
      </w:r>
      <w:r>
        <w:rPr>
          <w:rFonts w:ascii="Times New Roman;sans-serif" w:hAnsi="Times New Roman;sans-serif"/>
          <w:b w:val="false"/>
          <w:color w:val="000000"/>
          <w:sz w:val="20"/>
          <w:highlight w:val="white"/>
        </w:rPr>
        <w:t xml:space="preserve">e accounts receivable, accounts payable, accrued and other current liabilities and short-term debt. The carrying values of these financial instruments approximate their fair </w:t>
      </w:r>
      <w:r>
        <w:rPr>
          <w:rFonts w:ascii="Times New Roman;sans-serif" w:hAnsi="Times New Roman;sans-serif"/>
          <w:b w:val="false"/>
          <w:color w:val="000000"/>
          <w:sz w:val="20"/>
        </w:rPr>
        <w:t>values.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5. Balance Sheet Components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consist of the following (in thousands):</w:t>
      </w:r>
    </w:p>
    <w:tbl>
      <w:tblPr>
        <w:tblW w:w="5259" w:type="dxa"/>
        <w:jc w:val="left"/>
        <w:tblInd w:w="0" w:type="dxa"/>
        <w:tblCellMar>
          <w:top w:w="28" w:type="dxa"/>
          <w:left w:w="28" w:type="dxa"/>
          <w:bottom w:w="28" w:type="dxa"/>
          <w:right w:w="28" w:type="dxa"/>
        </w:tblCellMar>
      </w:tblPr>
      <w:tblGrid>
        <w:gridCol w:w="976"/>
        <w:gridCol w:w="855"/>
        <w:gridCol w:w="869"/>
        <w:gridCol w:w="211"/>
        <w:gridCol w:w="826"/>
        <w:gridCol w:w="109"/>
        <w:gridCol w:w="109"/>
        <w:gridCol w:w="109"/>
        <w:gridCol w:w="109"/>
        <w:gridCol w:w="211"/>
        <w:gridCol w:w="721"/>
        <w:gridCol w:w="154"/>
      </w:tblGrid>
      <w:tr>
        <w:trPr/>
        <w:tc>
          <w:tcPr>
            <w:tcW w:w="976"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 maintains a cash sweep account which is included in money market funds as of December 31, 2021. Cash is invested in the short-term money market funds, which is a cash sweep for not invested cash that earns interest.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Inventory, consisting of material, direct and indirect labor, and manufacturing overhead, consists of the following (in thousands):</w:t>
      </w:r>
    </w:p>
    <w:tbl>
      <w:tblPr>
        <w:tblW w:w="3669" w:type="dxa"/>
        <w:jc w:val="left"/>
        <w:tblInd w:w="0" w:type="dxa"/>
        <w:tblCellMar>
          <w:top w:w="28" w:type="dxa"/>
          <w:left w:w="28" w:type="dxa"/>
          <w:bottom w:w="28" w:type="dxa"/>
          <w:right w:w="28" w:type="dxa"/>
        </w:tblCellMar>
      </w:tblPr>
      <w:tblGrid>
        <w:gridCol w:w="516"/>
        <w:gridCol w:w="453"/>
        <w:gridCol w:w="456"/>
        <w:gridCol w:w="211"/>
        <w:gridCol w:w="616"/>
        <w:gridCol w:w="109"/>
        <w:gridCol w:w="109"/>
        <w:gridCol w:w="109"/>
        <w:gridCol w:w="109"/>
        <w:gridCol w:w="211"/>
        <w:gridCol w:w="616"/>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$0.8 million, $0.8 million and $4.8 million of inventory write downs were charged to cost of revenue.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5558" w:type="dxa"/>
        <w:jc w:val="left"/>
        <w:tblInd w:w="0" w:type="dxa"/>
        <w:tblCellMar>
          <w:top w:w="28" w:type="dxa"/>
          <w:left w:w="28" w:type="dxa"/>
          <w:bottom w:w="28" w:type="dxa"/>
          <w:right w:w="28" w:type="dxa"/>
        </w:tblCellMar>
      </w:tblPr>
      <w:tblGrid>
        <w:gridCol w:w="1201"/>
        <w:gridCol w:w="1052"/>
        <w:gridCol w:w="1061"/>
        <w:gridCol w:w="211"/>
        <w:gridCol w:w="616"/>
        <w:gridCol w:w="109"/>
        <w:gridCol w:w="109"/>
        <w:gridCol w:w="109"/>
        <w:gridCol w:w="109"/>
        <w:gridCol w:w="211"/>
        <w:gridCol w:w="616"/>
        <w:gridCol w:w="154"/>
      </w:tblGrid>
      <w:tr>
        <w:trPr/>
        <w:tc>
          <w:tcPr>
            <w:tcW w:w="120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 from contract manufacturer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tbl>
      <w:tblPr>
        <w:tblW w:w="8033" w:type="dxa"/>
        <w:jc w:val="left"/>
        <w:tblInd w:w="0" w:type="dxa"/>
        <w:tblCellMar>
          <w:top w:w="28" w:type="dxa"/>
          <w:left w:w="28" w:type="dxa"/>
          <w:bottom w:w="28" w:type="dxa"/>
          <w:right w:w="28" w:type="dxa"/>
        </w:tblCellMar>
      </w:tblPr>
      <w:tblGrid>
        <w:gridCol w:w="1036"/>
        <w:gridCol w:w="911"/>
        <w:gridCol w:w="917"/>
        <w:gridCol w:w="939"/>
        <w:gridCol w:w="939"/>
        <w:gridCol w:w="942"/>
        <w:gridCol w:w="211"/>
        <w:gridCol w:w="721"/>
        <w:gridCol w:w="109"/>
        <w:gridCol w:w="109"/>
        <w:gridCol w:w="109"/>
        <w:gridCol w:w="109"/>
        <w:gridCol w:w="211"/>
        <w:gridCol w:w="616"/>
        <w:gridCol w:w="154"/>
      </w:tblGrid>
      <w:tr>
        <w:trPr/>
        <w:tc>
          <w:tcPr>
            <w:tcW w:w="103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64" w:type="dxa"/>
            <w:gridSpan w:val="3"/>
            <w:vMerge w:val="continue"/>
            <w:tcBorders/>
            <w:shd w:fill="auto" w:val="clear"/>
            <w:tcMar>
              <w:top w:w="0" w:type="dxa"/>
              <w:left w:w="0" w:type="dxa"/>
              <w:bottom w:w="0" w:type="dxa"/>
              <w:right w:w="0" w:type="dxa"/>
            </w:tcMar>
            <w:vAlign w:val="center"/>
          </w:tcPr>
          <w:p>
            <w:pPr>
              <w:pStyle w:val="Normal"/>
              <w:rPr/>
            </w:pPr>
            <w:r>
              <w:rPr/>
            </w:r>
          </w:p>
        </w:tc>
        <w:tc>
          <w:tcPr>
            <w:tcW w:w="2820"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and vehicle hardware</w:t>
            </w:r>
          </w:p>
        </w:tc>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2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28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Depreciation expense associated with property and equipment was $4.7 million, $3.7 million and $2.0 million in the years ended December 31, 2021, 2020 and 2019, respectively. As of December 31, 2021, the Company had tangible assets of $1.8 million held in Thailand and the remainder were in the U.S. As of December 31, 2020, the Company had tangible assets of $1.3 million held in Thailand and the remainder were in the U.S.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Goodwill and Acquired Intangible Assets,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goodwill activity (in thousands):</w:t>
      </w:r>
    </w:p>
    <w:tbl>
      <w:tblPr>
        <w:tblW w:w="2796" w:type="dxa"/>
        <w:jc w:val="left"/>
        <w:tblInd w:w="0" w:type="dxa"/>
        <w:tblCellMar>
          <w:top w:w="28" w:type="dxa"/>
          <w:left w:w="28" w:type="dxa"/>
          <w:bottom w:w="28" w:type="dxa"/>
          <w:right w:w="28" w:type="dxa"/>
        </w:tblCellMar>
      </w:tblPr>
      <w:tblGrid>
        <w:gridCol w:w="614"/>
        <w:gridCol w:w="540"/>
        <w:gridCol w:w="541"/>
        <w:gridCol w:w="211"/>
        <w:gridCol w:w="736"/>
        <w:gridCol w:w="154"/>
      </w:tblGrid>
      <w:tr>
        <w:trPr/>
        <w:tc>
          <w:tcPr>
            <w:tcW w:w="61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51,076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net consisted of the following (in thousands):</w:t>
      </w:r>
    </w:p>
    <w:tbl>
      <w:tblPr>
        <w:tblW w:w="7536" w:type="dxa"/>
        <w:jc w:val="left"/>
        <w:tblInd w:w="0" w:type="dxa"/>
        <w:tblCellMar>
          <w:top w:w="28" w:type="dxa"/>
          <w:left w:w="28" w:type="dxa"/>
          <w:bottom w:w="28" w:type="dxa"/>
          <w:right w:w="28" w:type="dxa"/>
        </w:tblCellMar>
      </w:tblPr>
      <w:tblGrid>
        <w:gridCol w:w="723"/>
        <w:gridCol w:w="634"/>
        <w:gridCol w:w="638"/>
        <w:gridCol w:w="549"/>
        <w:gridCol w:w="549"/>
        <w:gridCol w:w="551"/>
        <w:gridCol w:w="211"/>
        <w:gridCol w:w="736"/>
        <w:gridCol w:w="109"/>
        <w:gridCol w:w="109"/>
        <w:gridCol w:w="109"/>
        <w:gridCol w:w="109"/>
        <w:gridCol w:w="284"/>
        <w:gridCol w:w="649"/>
        <w:gridCol w:w="148"/>
        <w:gridCol w:w="109"/>
        <w:gridCol w:w="109"/>
        <w:gridCol w:w="109"/>
        <w:gridCol w:w="211"/>
        <w:gridCol w:w="736"/>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8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995" w:type="dxa"/>
            <w:gridSpan w:val="3"/>
            <w:vMerge w:val="continue"/>
            <w:tcBorders/>
            <w:shd w:fill="auto" w:val="clear"/>
            <w:tcMar>
              <w:top w:w="0" w:type="dxa"/>
              <w:left w:w="0" w:type="dxa"/>
              <w:bottom w:w="0" w:type="dxa"/>
              <w:right w:w="0" w:type="dxa"/>
            </w:tcMar>
            <w:vAlign w:val="center"/>
          </w:tcPr>
          <w:p>
            <w:pPr>
              <w:pStyle w:val="Normal"/>
              <w:rPr/>
            </w:pPr>
            <w:r>
              <w:rPr/>
            </w:r>
          </w:p>
        </w:tc>
        <w:tc>
          <w:tcPr>
            <w:tcW w:w="1649"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23,400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(748)</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22,652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Amortization expense associated with acquired intangible assets, net was $0.7 million in the year ended December 31, 2021. The Company did not have any intangible assets and amortization expense associated as of December 31, 2020 and in the year ended December 31, 2019.</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Accrued and Other Current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 of the following (in thousands):</w:t>
      </w:r>
    </w:p>
    <w:tbl>
      <w:tblPr>
        <w:tblW w:w="5829" w:type="dxa"/>
        <w:jc w:val="left"/>
        <w:tblInd w:w="0" w:type="dxa"/>
        <w:tblCellMar>
          <w:top w:w="28" w:type="dxa"/>
          <w:left w:w="28" w:type="dxa"/>
          <w:bottom w:w="28" w:type="dxa"/>
          <w:right w:w="28" w:type="dxa"/>
        </w:tblCellMar>
      </w:tblPr>
      <w:tblGrid>
        <w:gridCol w:w="1261"/>
        <w:gridCol w:w="1106"/>
        <w:gridCol w:w="1113"/>
        <w:gridCol w:w="211"/>
        <w:gridCol w:w="721"/>
        <w:gridCol w:w="109"/>
        <w:gridCol w:w="109"/>
        <w:gridCol w:w="109"/>
        <w:gridCol w:w="109"/>
        <w:gridCol w:w="211"/>
        <w:gridCol w:w="616"/>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Uninvoiced receipts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6. Convertible Notes Payable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2018 Convertible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period from August 2018 through April 2019, the Company issued convertible promissory notes to certain Investors (“2018 Investors”), with an aggregate principal amount of $40.3 million (“2018 Convertible Notes”). The Company received consideration of $40.0 million, net of debt issuance costs of $0.3 million. The 2018 Convertible Notes were payable anytime on or after two years from the respective issuance dates upon demand of the 2018 Investors holding at least 60% of the outstanding principal of the 2018 Convertible Notes or at the Company’s option with 10 days’ notice to the 2018 Investors, and carried paid in-kind interest of 5%. The notes and all accrued but unpaid interest were automatically convertible into shares of the Company’s common stock in the event of qualified financing (defined with respect to the 2018 Convertible Notes as a sale by the Company of shares of its capital stock for aggregate gross proceeds of at least $5 million) and convertible in the event of non-qualified financing (defined with respect to the 2018 Convertible Notes as a sale by the Company of shares of its capital stock for aggregate gross proceeds of less than $5 million) or change of control at the option of the majority of 2018 Investors at a conversion price equal to the lesser of (i) $400 million divided by the number of shares of the Company’s common stock outstanding immediately prior to the respective events, assuming conversion or exercise of all securities convertible into common stock and (ii) the price per share of its capital stock paid in the applicable transaction (qualified financing, non-qualified financing, or change of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2018 Convertible Notes were converted to common stock in April 2020 as part of Series B redeemable convertible preferred stock financing.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the Company recognized interest expense of $0.6 million and amortization of debt discount issuance costs, included in interest expense of $0.1 million related to the 2018 Convertible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3, 2020, $40.2 million of principal and $2.8 million of accrued interest of the 2018 Convertible Notes were converted to 3,005,762 shares of common stock at a conversion price of $14.33 per share. The Notes were converted to common stock outside of the original contract terms. The holders of 2018 Convertible Notes issued consents to amend the terms of the notes to provide for conversion to common stock before maturity, including a newly negotiated issuance price to affect the conversion in order to raise additional financing. The Company accounted for the transaction as a troubled debt restructuring as a result of satisfying the below criteria:</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The Company’s challenges associated with the financing efforts of its operations at the time of the convertible notes exchange.</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The holders of the convertible notes completed the exchange for a value lower than the face amount of the notes. As a result, the Company concluded a concession was granted to the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convertible notes exchange resulted in a gain of approximately $42.5 million, which resulted in a credit to additional paid-in capital as this transaction was with related parties.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2019 Convertible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period from September through November, 2019, the Company issued convertible promissory notes to certain Investors (“2019 Investors”), with an aggregate principal amount of $29.3 million (“2019 Convertible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received consideration of $29.2 million, net of debt issuance costs of $0.1 million. The 2019 Convertible Notes were to be payable anytime on or after September 18, 2021 upon demand by consent of the 2019 Investors holding at least 60% of the outstanding principal of the 2019 Convertible Notes or at the Company’s option with 10 days’ notice to the 2020 Investors, and carried interest at 5% per annum which in addition to the notes was payable at maturity. The 2019 Convertible Notes and all accrued but unpaid interest were automatically convertible into shares of the Company’s common stock in the event of qualified financing and convertible in the event of non-qualified financing (defined with respect to the 2019 Convertible Notes as a sale by the Company of shares of its capital stock for aggregate gross proceeds of less than $20 million) or change of control at the option of the majority of 2020 investors at a conversion price determined as the lesser of (i) a ratio of $300 million and the number of shares of the Company’s common stock outstanding immediately prior to the respective events, assuming conversion or exercise of all securities convertible into common stock and (ii) 85% of the price per share of its capital stock paid in the applicable transaction (qualified financing, non-qualified financing, or change of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2019 Convertible Notes contain embedded features that provide the lenders with multiple settlement alternatives. Certain of these settlement features provided the lenders a right to a fixed number of the Company’s shares upon conversion of the notes (the “conversion option”). Other settlement features provided the lenders the right or the obligation to receive cash or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variable number of shares upon the completion of a capital raising transaction, change of control or default of the Company (the “redemption features”).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conversion options of the convertible notes did not meet the requirements to be separately accounted for as a derivative liability. However, certain redemption features of the 2019 Convertible Notes met the requirements for separate accounting and were accounted for as a single, compound derivative instrument. The derivative instrument was recorded at fair value at inception and was subject to remeasurement to fair value at each balance sheet date, with any changes in fair value recognized in the statements of operations and comprehensive loss (see Note 4).</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3, 2020, $29.3 million of principal and $0.7 million of accrued interest of the 2019 Convertible Notes were converted to 4,196,178 shares of common stock at a conversion price of $7.17 per share. All of the 2019 Convertible Notes were converted to common stock in April 2020 as part of Series B redeemable convertible preferred stock financing. The Notes were converted to common stock outside of the original contract terms. The holders of 2019 Convertible Notes issued consents to amend the terms of the notes to provide for conversion to common stock before maturity, including a newly negotiated issuance price to affect the conversion in order to raise additional financing. The Company accounted for the transaction as a troubled debt restructuring as a result of satisfying the below criteria:</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The Company’s challenges associated with the financing efforts of its operations at the time of the convertible notes exchange.</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The holders of the convertible notes completed the exchange for a value lower than the face amount of the notes. As a result, the Company concluded a concession was granted to the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convertible notes exchange resulted in a gain of approximately $29.3 million, which resulted in a credit to additional paid-in capital as this transaction was with related parties. The outstanding derivative liability in the amount of $5.3 million as of the conversion date of 2019 Notes was extinguished and accounted for as a capital contribution to equity.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the Company recognized interest expense of $0.4 million and amortization of debt discount issuance costs, included in interest expense of $0.1 million in relation with the 2019 Convertible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7. Long-term Debt</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Runway Growth Loan Agreement</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becomes no longer attainable or ceases to fairly reflect the costs of the lender, in which case the applicable interest rate shall be Prime Rate plus 6.0%. In an event of default, annual interest is increased by 5.0% above the otherwise applicable rate. The loan’s annual effective interest rate was approximately 16.4% for each of the years ended December 31, 2021 and 2020.</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conjunction with the Runway Loan and Security Agreement, the Company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OTI amended the warrant issued to Runway Growth to increase the number of shares available to purchase to 53,023 shares of Series A Preferred Stock of OTI. The aggregate value of the warrants increased by $0.1 million after the warrant modification.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warrants were exercised on March 11, 2021 and the warrant liability was remeasured to fair value with the increase recognized as a loss of $0.6 million and $13.8 million for the years ended December 31, 2021 and 2020, respectively, within other income (expense), net in the consolidated statements of operations and comprehensive loss.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December 31, 2021 and 2020, the outstanding principal balance of the loan was nil and $7.0 million, respectively.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Promissory notes</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issued a $5.0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8. Series A and B Redeemable Convertible Preferred Stock Warrants and Tranche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27, 2018, in connection with the execution of the Runway Loan and Security Agreement, the Company issued a warrant to purchase 35,348 shares of Series A Preferred Stock of the Company at an exercise price of $11.3518 per share (the “Runway warrant”). On August 5, 2019, in connection with the second amendment to the Runway Loan and Security Agreement, the Company amended the warrant issued to Runway Growth to increase the number of shares available to purchase to 53,023 shares of Series A Preferred Stock of the Company at an exercise price of $11.3518 per share.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Runway warrant had a term expiring upon the earlier of 10-year anniversary from the issuance date and liquidation of the Company. The Runway warrant had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Runway warrant contained provisions for adjustment of the exercise price and number of shares issuable upon the exercise of warrants in the event of certain stock dividends, stock splits, reorganizations, reclassifications, and consolidations.</w:t>
      </w:r>
    </w:p>
    <w:p>
      <w:pPr>
        <w:pStyle w:val="TextBody"/>
        <w:spacing w:lineRule="auto" w:line="288" w:before="120" w:after="283"/>
        <w:rPr/>
      </w:pPr>
      <w:r>
        <w:rPr>
          <w:rFonts w:ascii="Times New Roman;sans-serif" w:hAnsi="Times New Roman;sans-serif"/>
          <w:b w:val="false"/>
          <w:color w:val="000000"/>
          <w:sz w:val="20"/>
        </w:rPr>
        <w:t xml:space="preserve">The fair value of the Runway warrant issued was recorded as of the date of initial issuance in the amount of $0.1 million. The subsequent issuance of warrants pursuant to the August 5, 2019 amendment to the Runway Loan and Security Agreement was recorded in the amount of $0.1 million. </w:t>
      </w:r>
      <w:r>
        <w:rPr>
          <w:rFonts w:ascii="Times New Roman;sans-serif" w:hAnsi="Times New Roman;sans-serif"/>
          <w:b w:val="false"/>
          <w:color w:val="000000"/>
          <w:sz w:val="20"/>
          <w:highlight w:val="white"/>
        </w:rPr>
        <w:t xml:space="preserve">The Runway warrant was exercised on March 11, 2021.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3, 2020, in connection with the closing of the Series B redeemable convertible preferred stock, the Company issued a warrant to purchase 4,513,993 shares of Series B redeemable convertible preferred stock of the Company at an exercise price of $0.3323 per share (the “Series B warrants”). The Series B warrants could be exercised prior to the earliest to occur of (i) the 10-year anniversary of the date of issuance, (ii) the consummation of a liquidation transaction, or (iii) the consummation of an initial public offering. These Series B warrants included a cashless exercise provision under which their holders could,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warrants in the event of certain stock dividends, stock splits, reorganizations, reclassifications, and consolidations.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Series B warrants were initially recognized as a liability at a fair value of $0.7 million. The Series B warrants were exercised on February 11, 2021 and the warrant liability was remeasured to fair value as of that date, resulting in a loss of $8.3 million for the year ended December 31, 2021, classified within other income (expense), net in the consolidated statements of operations and comprehensive loss.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Historically, value was assigned to each class of equity securities using an option pricing model method (“OPM”). In September 2020, the Company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the Company, assuming various outcomes. As the probability of a transaction with a special purpose acquisition company (“SPAC”) increased, the fair value of the redeemable convertible preferred stock warrant liability increased as of the date of the exercise.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redeemable convertible preferred stock warrants were valued using the following assumptions under the Black-Scholes option-pricing model:</w:t>
      </w:r>
    </w:p>
    <w:tbl>
      <w:tblPr>
        <w:tblW w:w="9907" w:type="dxa"/>
        <w:jc w:val="left"/>
        <w:tblInd w:w="0" w:type="dxa"/>
        <w:tblCellMar>
          <w:top w:w="28" w:type="dxa"/>
          <w:left w:w="28" w:type="dxa"/>
          <w:bottom w:w="28" w:type="dxa"/>
          <w:right w:w="28" w:type="dxa"/>
        </w:tblCellMar>
      </w:tblPr>
      <w:tblGrid>
        <w:gridCol w:w="667"/>
        <w:gridCol w:w="585"/>
        <w:gridCol w:w="592"/>
        <w:gridCol w:w="334"/>
        <w:gridCol w:w="811"/>
        <w:gridCol w:w="430"/>
        <w:gridCol w:w="109"/>
        <w:gridCol w:w="109"/>
        <w:gridCol w:w="109"/>
        <w:gridCol w:w="414"/>
        <w:gridCol w:w="1003"/>
        <w:gridCol w:w="532"/>
        <w:gridCol w:w="109"/>
        <w:gridCol w:w="109"/>
        <w:gridCol w:w="109"/>
        <w:gridCol w:w="232"/>
        <w:gridCol w:w="564"/>
        <w:gridCol w:w="299"/>
        <w:gridCol w:w="109"/>
        <w:gridCol w:w="109"/>
        <w:gridCol w:w="109"/>
        <w:gridCol w:w="211"/>
        <w:gridCol w:w="616"/>
        <w:gridCol w:w="271"/>
        <w:gridCol w:w="109"/>
        <w:gridCol w:w="109"/>
        <w:gridCol w:w="109"/>
        <w:gridCol w:w="211"/>
        <w:gridCol w:w="511"/>
        <w:gridCol w:w="316"/>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Issuance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Subsequent Issuance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11,</w:t>
              <w:br/>
              <w:t>2021</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(years)</w:t>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4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Series B Redeemable Convertible Preferred Stock Tranche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April, 2020 and May, 2020, the Company issued 62,505,102 shares of Series B redeemable convertible preferred stock at $0.3323 per share. For each share purchased, the purchaser had an option to purchase an additional share of Series B redeemable convertible preferred stock at $0.3323 per share, exercisable at any time prior to August 13, 2020 (the “Tranche Right”). The Company determined that the Tranche Right represented a freestanding obligation of the Company to issue additional shares of contingently redeemable shares if exercised by the holder. The freestanding redeemable convertible preferred stock tranche liability was initially recorded at fair value, with fair value changes recorded within other income (expense), net in the consolidated statements of operations and comprehensive loss.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July 2020, the Company issued 37,970,846 shares of Series B redeemable convertible preferred stock at $0.3323 per share for net proceeds of $12.5 million, less $0.1 million of stock issuance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August, 2020, upon the expiration of the Tranche Right, 25,286,587 shares of Series B redeemable convertible preferred stock were issued in accordance with the Tranche Right. The remaining Tranche Right expired, unexercised, resulting in a $1.6 million gain recorded within other income (expense), net in the consolidated statements of operations and comprehensive loss.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Private Placement Warrants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5 years from the completion of the Merger, or earlier upon redemption or liquidation. Each Private Placement warrant is exercisable for one Class A ordinary share at a price of $11.50 per share. On March 11, 2021, each outstanding Private Placement warrant automatically converted into a warrant to purchase one share of Ouster common stock pursuant to the Warrant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initially recognized as a liability at a fair value of $19.4 million and the Private Placement warrant liability was remeasured to fair value as of December 31, 2021, resulting in a gain of $11.8 million in the year ended December 31, 2021, classified within other income (expense), net in the condensed consolidated statements of operations and comprehensive loss.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valued using the following assumptions under the Black-Scholes option-pricing model:</w:t>
      </w:r>
    </w:p>
    <w:tbl>
      <w:tblPr>
        <w:tblW w:w="4683" w:type="dxa"/>
        <w:jc w:val="left"/>
        <w:tblInd w:w="0" w:type="dxa"/>
        <w:tblCellMar>
          <w:top w:w="28" w:type="dxa"/>
          <w:left w:w="28" w:type="dxa"/>
          <w:bottom w:w="28" w:type="dxa"/>
          <w:right w:w="28" w:type="dxa"/>
        </w:tblCellMar>
      </w:tblPr>
      <w:tblGrid>
        <w:gridCol w:w="765"/>
        <w:gridCol w:w="671"/>
        <w:gridCol w:w="679"/>
        <w:gridCol w:w="211"/>
        <w:gridCol w:w="616"/>
        <w:gridCol w:w="271"/>
        <w:gridCol w:w="109"/>
        <w:gridCol w:w="109"/>
        <w:gridCol w:w="109"/>
        <w:gridCol w:w="211"/>
        <w:gridCol w:w="616"/>
        <w:gridCol w:w="316"/>
      </w:tblGrid>
      <w:tr>
        <w:trPr/>
        <w:tc>
          <w:tcPr>
            <w:tcW w:w="765"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11,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 of warrant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(years)</w:t>
            </w:r>
          </w:p>
        </w:tc>
        <w:tc>
          <w:tcPr>
            <w:tcW w:w="10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350 Treat Building Lease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September 2017, the Company entered into a lease agreement (the “350 Treat Building Lease”) to lease approximately 26,125 square feet of office and warehouse space located in San Francisco, California for its corporate headquarters. Subsequently, in June 2018, the Company took possession of the 350 Treat Building Lease. This lease includes a free rent period and escalating rent payments and has a remaining lease term of 3.1 years that expires on January 31, 2023. The Company’s obligation to pay rent commenced in February 2018. The Company is obligated to make lease payments totaling approximately $7.4 million over the lease term, offset by $2.4 million of tenant improvement allowance. The lease further provides that the Company is obligated to pay to the landlord certain costs, including taxes and operating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entered into an amendment to the 350 Treat Building Lease agreement, whereby the parties agreed to extend the term of the lease for an additional four years and seven months and provide for an additional tenant improvement allowance. The total base lease payments for the extended period of 4.6 years equals $7.6 million . The Company recorded an adjustment of $5.5 million to the right-of-use asset and right-of-use operating lease liability associated with the 350 Treat Building Lease agreement upon the amendment.</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350 Treat Building Lease is considered to be an operating lease as it does not meet the criteria of a finance lease. As of December 31, 2021, the operating lease right-of-use asset and operating lease liability were $6.6 million and $8.3 million, respectively. As of December 31, 2020, the operating lease right-of-use asset and operating lease liability were $2.1 million and $3.1 million, respectively. The discount rate used to determine the lease liability was 3.74%.</w:t>
      </w:r>
    </w:p>
    <w:p>
      <w:pPr>
        <w:pStyle w:val="TextBody"/>
        <w:spacing w:lineRule="auto" w:line="288" w:before="360" w:after="283"/>
        <w:rPr/>
      </w:pPr>
      <w:r>
        <w:rPr>
          <w:rFonts w:ascii="Times New Roman;sans-serif" w:hAnsi="Times New Roman;sans-serif"/>
          <w:b w:val="false"/>
          <w:i/>
          <w:color w:val="000000"/>
          <w:sz w:val="20"/>
        </w:rPr>
        <w:t>2741 16</w:t>
      </w:r>
      <w:r>
        <w:rPr>
          <w:rFonts w:ascii="Times New Roman;sans-serif" w:hAnsi="Times New Roman;sans-serif"/>
          <w:b w:val="false"/>
          <w:i/>
          <w:color w:val="000000"/>
          <w:sz w:val="11"/>
        </w:rPr>
        <w:t>th</w:t>
      </w:r>
      <w:r>
        <w:rPr>
          <w:color w:val="000000"/>
        </w:rPr>
        <w:t> </w:t>
      </w:r>
      <w:r>
        <w:rPr>
          <w:rFonts w:ascii="Times New Roman;sans-serif" w:hAnsi="Times New Roman;sans-serif"/>
          <w:b w:val="false"/>
          <w:i/>
          <w:color w:val="000000"/>
          <w:sz w:val="20"/>
        </w:rPr>
        <w:t>Street Lease</w:t>
      </w:r>
    </w:p>
    <w:p>
      <w:pPr>
        <w:pStyle w:val="TextBody"/>
        <w:spacing w:lineRule="auto" w:line="288" w:before="120" w:after="283"/>
        <w:rPr/>
      </w:pPr>
      <w:r>
        <w:rPr>
          <w:rFonts w:ascii="Times New Roman;sans-serif" w:hAnsi="Times New Roman;sans-serif"/>
          <w:b w:val="false"/>
          <w:color w:val="000000"/>
          <w:sz w:val="20"/>
        </w:rPr>
        <w:t>In September 2017 the Company entered into a lease agreement (the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to lease approximately 20,032 square feet of office space and 25,000 of parking space located in San Francisco, California. Subsequently, in June 2019, the Company took possession of 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This lease includes a free rent period and escalating rent payments and has a remaining lease term of 3.1 years that expires on August 31, 2023. The Company’s obligation to pay rent commenced in September 2018. The Company is obligated to make lease payments totaling approximately $8.2 million over the lease term, offset by $4.6 million of tenant improvement allowance. The lease further provides that the Company is obligated to pay to the landlord certain costs related to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including taxes and operating expenses.</w:t>
      </w:r>
    </w:p>
    <w:p>
      <w:pPr>
        <w:pStyle w:val="TextBody"/>
        <w:spacing w:lineRule="auto" w:line="288" w:before="120" w:after="283"/>
        <w:rPr/>
      </w:pPr>
      <w:r>
        <w:rPr>
          <w:rFonts w:ascii="Times New Roman;sans-serif" w:hAnsi="Times New Roman;sans-serif"/>
          <w:b w:val="false"/>
          <w:color w:val="000000"/>
          <w:sz w:val="20"/>
        </w:rPr>
        <w:t>In May 2020, the Company entered into an amendment to 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agreement, whereby the parties agreed to extend the term of the lease for an additional four years, restructure the monthly rent payable under the lease and provide for an additional tenant improvement allowance. The total base lease payments for the extended period of 4.0 years equals $8.5 million and the increase in total base lease payments for the lease term provided for by the original agreement is $0.7 million. The Company recorded an adjustment of $6.2 million to the right-of-use asset and right-of-use operating lease liability associated with 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agreement upon the amendment.</w:t>
      </w:r>
    </w:p>
    <w:p>
      <w:pPr>
        <w:pStyle w:val="TextBody"/>
        <w:spacing w:lineRule="auto" w:line="288" w:before="120" w:after="283"/>
        <w:rPr/>
      </w:pPr>
      <w:r>
        <w:rPr>
          <w:rFonts w:ascii="Times New Roman;sans-serif" w:hAnsi="Times New Roman;sans-serif"/>
          <w:b w:val="false"/>
          <w:color w:val="000000"/>
          <w:sz w:val="20"/>
        </w:rPr>
        <w:t>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is considered to be an operating lease as it does not meet the criteria of a finance lease. As of December 31, 2021, the operating lease right-of-use asset and lease liability were $7.7 million (2020: $8.7 million) and $10.1 million (2020: $11.5 million), respectively. The discount rate used to determine the operating lease liability was 5.25%.</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Other operating real estate leases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2020 and 2021, the Company entered into three lease agreements for office spaces located outside of the US. The terms of those leases range from 2 to 3 years. The Company is obligated to make lease payments totaling approximately $1.0 for those leases over the respective lease terms.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 for the years ended December 31, 2021, 2020 and 2019 was $3.6 million, $2.9 million and $1.9 million, which consisted of $3.0 million, $2.6 million and $1.7 million of fixed lease expense and $0.6 million, $0.3 million and $0.2 million of variable lease expense, respectively. Cash paid for amounts included in the measurement of lease liabilities was $4.2 million, $3.5 million and $3.3 million for the years ended December 31, 2021, 2020 and 2019, respectively.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discount rate for leases:</w:t>
      </w:r>
    </w:p>
    <w:tbl>
      <w:tblPr>
        <w:tblW w:w="5963" w:type="dxa"/>
        <w:jc w:val="left"/>
        <w:tblInd w:w="0" w:type="dxa"/>
        <w:tblCellMar>
          <w:top w:w="28" w:type="dxa"/>
          <w:left w:w="28" w:type="dxa"/>
          <w:bottom w:w="28" w:type="dxa"/>
          <w:right w:w="28" w:type="dxa"/>
        </w:tblCellMar>
      </w:tblPr>
      <w:tblGrid>
        <w:gridCol w:w="1207"/>
        <w:gridCol w:w="1059"/>
        <w:gridCol w:w="1064"/>
        <w:gridCol w:w="255"/>
        <w:gridCol w:w="256"/>
        <w:gridCol w:w="607"/>
        <w:gridCol w:w="109"/>
        <w:gridCol w:w="109"/>
        <w:gridCol w:w="109"/>
        <w:gridCol w:w="255"/>
        <w:gridCol w:w="256"/>
        <w:gridCol w:w="677"/>
      </w:tblGrid>
      <w:tr>
        <w:trPr/>
        <w:tc>
          <w:tcPr>
            <w:tcW w:w="1207"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maturities of the operating lease liabilities as of December 31, 2021 were as follows (in thousands):</w:t>
      </w:r>
    </w:p>
    <w:tbl>
      <w:tblPr>
        <w:tblW w:w="4070" w:type="dxa"/>
        <w:jc w:val="left"/>
        <w:tblInd w:w="0" w:type="dxa"/>
        <w:tblCellMar>
          <w:top w:w="28" w:type="dxa"/>
          <w:left w:w="28" w:type="dxa"/>
          <w:bottom w:w="28" w:type="dxa"/>
          <w:right w:w="28" w:type="dxa"/>
        </w:tblCellMar>
      </w:tblPr>
      <w:tblGrid>
        <w:gridCol w:w="1081"/>
        <w:gridCol w:w="950"/>
        <w:gridCol w:w="953"/>
        <w:gridCol w:w="211"/>
        <w:gridCol w:w="721"/>
        <w:gridCol w:w="154"/>
      </w:tblGrid>
      <w:tr>
        <w:trPr/>
        <w:tc>
          <w:tcPr>
            <w:tcW w:w="108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and 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10. Commitments and Contingencies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spacing w:lineRule="auto" w:line="288" w:before="120" w:after="283"/>
        <w:rPr/>
      </w:pPr>
      <w:r>
        <w:rPr>
          <w:rFonts w:ascii="Times New Roman;sans-serif" w:hAnsi="Times New Roman;sans-serif"/>
          <w:b w:val="false"/>
          <w:color w:val="000000"/>
          <w:sz w:val="20"/>
        </w:rPr>
        <w:t>In connection with the 350 Treat Building Lease and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the Company obtained letters of credit from certain banks as required by the lease agreements. If the Company defaults under the terms of the lease, the lessor will be entitled to draw upon the letters of credit in the amount necessary to cure the default. The amounts covered by the letters of credit are collateralized by certificates of deposit, which are included in restricted cash on the consolidated balance sheets as of December 31, 2021 and 2020. The outstanding amount of the letters of credit are $2.0 million and $1.3 million as of December 31, 2021 and 2020, respectively.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Non-cancelable purchase commitments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non-cancelable purchase commitments to a third-party contract manufacturer for approximately $17.5 million and other vendors for approximately $12.3 million.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legal proceedings arising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June 10, 2021, we received a letter from the SEC notifying us of an investigation and document subpoena. The subpoena seeks documents regarding projected financial information in CLA’s Form S-4 registration statement filed on December 22, 2020. We are complying with the SEC’s requests to date. We are awaiting information from the SEC on whether there will be next steps, if any beyond current requests to date. Although we believe we are responding in an appropriate manner, there can be no assurance whether this SEC investigation shall conclude, whether the SEC may request production for additional documents and communications, or whether we may be involved in subsequent litigation. At this time, we are unable to estimate the probability or the amount of liability, if any, related to this matter.</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consolidated financial statements do not include a liability for any potential obligations under the indemnification agreements at December 31, 2021 and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11. Redeemable Convertible Preferred and Common Stock</w:t>
      </w:r>
    </w:p>
    <w:p>
      <w:pPr>
        <w:pStyle w:val="TextBody"/>
        <w:spacing w:lineRule="auto" w:line="288" w:before="120" w:after="283"/>
        <w:rPr/>
      </w:pPr>
      <w:r>
        <w:rPr>
          <w:rFonts w:ascii="Times New Roman;sans-serif" w:hAnsi="Times New Roman;sans-serif"/>
          <w:b w:val="false"/>
          <w:color w:val="000000"/>
          <w:sz w:val="20"/>
        </w:rPr>
        <w:t>The Company’s common stock and warrants trade on the New York Stock Exchange under the symbol “OUST” and “OUSTWS”, respectively. Pursuant to the terms of the Second Amended and Restated Certificate of Incorporation, the Co</w:t>
      </w:r>
      <w:r>
        <w:rPr>
          <w:rFonts w:ascii="Times New Roman;sans-serif" w:hAnsi="Times New Roman;sans-serif"/>
          <w:b w:val="false"/>
          <w:color w:val="000000"/>
          <w:sz w:val="20"/>
          <w:highlight w:val="white"/>
        </w:rPr>
        <w:t>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retroactively adjusted the shares issued and outstanding prior to March 11, 2021 to give effect to the exchange ratio established in the Merger Agreement to determine the number of shares of common stock into which they were converted.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Series Seed Financing and conversion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April 2016, the Company issued 1,887,253 shares of Series Seed redeemable convertible preferred stock at $1.02 per share for net proceeds of $1.8 million, net of $0.1 million stock issuance costs. In April 2016, the Company issued 44,256 shares to an investor upon conversion of a note having a balance of principal and interest of $45,000. In May 2016, the Company issued 563,725 shares of Series Seed redeemable convertible preferred stock at $1.02 per share for net proceeds of $0.6 million. In July 2016, the Company issued 445,942 shares of Series Seed redeemable convertible preferred stock at $1.02 per share for net proceeds of $0.5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April 2020, in order to induce the closing of the Series B Financing, the holders exercised the embedded conversion feature and all the outstanding Series Seed redeemable convertible preferred stock shares were converted to 2,941,176 shares of the Company’s common stock.</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Series A Financing and conversion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October 2017, the Company issued 1,324,511 shares of Series A Preferred Stock at $11.3158 per share for net proceeds of $14.8 million, net of $0.2 million of stock issuance costs. In October 2017, the Company issued 1,253,556 shares of Series A Preferred Stock upon conversion of multiple notes having a principal and interest balance of $4.6 million. In December, 2018, the Company issued 715,712 shares of Series A Preferred Stock at $11.3158 per share for net proceeds of $8.1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April 2020, in order to induce the closing of the Series B Financing, the holders exercised the embedded conversion feature and all of the outstanding Series A redeemable convertible preferred stock shares were converted to 3,293,779 shares of the Company’s common stock.</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Series B Financing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the Company issued 45,185,071 shares of Series B redeemable convertible preferred stock at $0.3323 per share for gross proceeds of $15.1 million, less $0.1 million of stock issuance costs. In May 2020, the Company issued 17,320,031 shares of Series B redeemable convertible preferred stock at $0.3323 per share for gross proceeds of $5.8 million, less $0.1 million of stock issuance costs. In July 2020, the Company issued 37,970,846 shares of Series B redeemable convertible preferred stock at $0.3323 per share for gross proceeds of $12.5 million, less $0.1 million of stock issuance costs. In August 2020, the Company issued 25,286,587 shares of Series B redeemable convertible preferred stock at $0.3323 per share for gross proceeds of $8.4 million, less $0.1 million of stock issuance costs.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December 31, 2021, the Company does not have any redeemable convertible preferred stock outstanding.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as of December 31, 2020, consisted of the following (in thousands, except share and per share data):</w:t>
      </w:r>
    </w:p>
    <w:tbl>
      <w:tblPr>
        <w:tblW w:w="7993" w:type="dxa"/>
        <w:jc w:val="left"/>
        <w:tblInd w:w="0" w:type="dxa"/>
        <w:tblCellMar>
          <w:top w:w="28" w:type="dxa"/>
          <w:left w:w="28" w:type="dxa"/>
          <w:bottom w:w="28" w:type="dxa"/>
          <w:right w:w="28" w:type="dxa"/>
        </w:tblCellMar>
      </w:tblPr>
      <w:tblGrid>
        <w:gridCol w:w="281"/>
        <w:gridCol w:w="248"/>
        <w:gridCol w:w="250"/>
        <w:gridCol w:w="221"/>
        <w:gridCol w:w="535"/>
        <w:gridCol w:w="114"/>
        <w:gridCol w:w="109"/>
        <w:gridCol w:w="109"/>
        <w:gridCol w:w="109"/>
        <w:gridCol w:w="593"/>
        <w:gridCol w:w="593"/>
        <w:gridCol w:w="306"/>
        <w:gridCol w:w="109"/>
        <w:gridCol w:w="109"/>
        <w:gridCol w:w="109"/>
        <w:gridCol w:w="540"/>
        <w:gridCol w:w="541"/>
        <w:gridCol w:w="336"/>
        <w:gridCol w:w="109"/>
        <w:gridCol w:w="109"/>
        <w:gridCol w:w="109"/>
        <w:gridCol w:w="211"/>
        <w:gridCol w:w="721"/>
        <w:gridCol w:w="109"/>
        <w:gridCol w:w="109"/>
        <w:gridCol w:w="109"/>
        <w:gridCol w:w="109"/>
        <w:gridCol w:w="211"/>
        <w:gridCol w:w="721"/>
        <w:gridCol w:w="154"/>
      </w:tblGrid>
      <w:tr>
        <w:trPr/>
        <w:tc>
          <w:tcPr>
            <w:tcW w:w="28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Series</w:t>
            </w:r>
          </w:p>
        </w:tc>
        <w:tc>
          <w:tcPr>
            <w:tcW w:w="721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79" w:type="dxa"/>
            <w:gridSpan w:val="3"/>
            <w:vMerge w:val="continue"/>
            <w:tcBorders/>
            <w:shd w:fill="auto" w:val="clear"/>
            <w:tcMar>
              <w:top w:w="0" w:type="dxa"/>
              <w:left w:w="0" w:type="dxa"/>
              <w:bottom w:w="0" w:type="dxa"/>
              <w:right w:w="0" w:type="dxa"/>
            </w:tcMar>
            <w:vAlign w:val="center"/>
          </w:tcPr>
          <w:p>
            <w:pPr>
              <w:pStyle w:val="Normal"/>
              <w:rPr/>
            </w:pPr>
            <w:r>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Issue Price</w:t>
              <w:br/>
              <w:t>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Authorized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Issued and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r>
      <w:tr>
        <w:trPr/>
        <w:tc>
          <w:tcPr>
            <w:tcW w:w="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131,411,372 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88,434,754 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significant features of the Company’s redeemable convertible preferred stock were as follows: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Dividend provisions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Seed, Series A and Series B preferred stockholders were entitled to receive dividends prior and in preference to any dividends on the common stock, at a rate of $0.0612, $0.6789 and $0.019938 per share, respectively, per annum on a non-cumulative basis, when and if declared by the board of directors, subject to the prior rights of the preferred stockholders. After payment of such dividend, any additional dividends were to be distributed among the holders of the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preferred stock and common stock pro rata based on the number of shares of common stock then held by each holder (assuming conversion of all shares of preferred stock into common stock).</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Liquidation preference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event of liquidation, dissolution or winding up of the Company, merger or a reduction of capital through the sale or lease of all or substantial part of the business of the Company, before any distribution or payment could be made to the holders of common stock, the holders of Series Seed, Series A and Series B redeemable convertible preferred stock were entitled to receive $1.02, $11.3518 and $0.3323 per share (subject to adjustment in the event of any share dividend, share split, combination, or other recapitalization), respectively, plus any declared but unpaid dividends on such shares. If the assets and funds were insufficient for such distribution, they were to receive a pro rata distribution, based on the relative preferred stock ownership and in proportion to the preferential amount each such holder is otherwise entitled. If the assets and funds were in excess of amounts distributed to the preferred stockholders, the remaining assets and funds were to be distributed pro rata to the holders of the common stock. If the holders of the redeemable convertible preferred stock would receive a greater distribution if they converted to common stock, then such conversion would have been assumed prior to distribution.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Conversion rights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holders of Series Seed, Series A and Series B redeemable convertible preferred stock had a right to convert their stock into not assessable shares of common stock at a conversion rate equal to their respective liquidation preferences divided by a conversion price of $1.02, $11.3518 and $0.3323, respectively, which would be adjusted for any stock splits, stock dividends, combination, subdivisions, recapitalization or similar transactions.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Shares of Series B redeemable convertible preferred stock were automatically be converted into shares of common stock upon the earlier of (a) the closing of the sale of shares of common stock to the public at a minimum price of $1.41 per share, subject to appropriate adjustment in the event of any stock splits, stock dividends, combinations, subdivisions, recapitalization or similar transactions with respect to common stock, in a firm-commitment underwritten public offering pursuant to an effective registration statement under the Securities Act of 1933, as amended, resulting in at least $75.0 million of gross cash proceeds to the Company or (b)(i) upon vote or written consent of a majority of the then outstanding shares of the Series Seed redeemable convertible preferred stock, voting as a separate series on an as-converted basis or (ii) upon vote or written consent of the majority of the then outstanding shares of the Series B redeemable convertible preferred stock, voting as a separate series on an as-converted basis, respectively.</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Redemption rights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redeemable convertible preferred stock is recorded in mezzanine equity because while it is not currently redeemable, it may become redeemable at the option of the preferred stockholders upon the occurrence of certain deemed liquidation events that are considered not solely within the Company’s control for an amount equal to the shares respective liquidation preference plus declared and unpaid dividends.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Each holder of redeemable convertible preferred stock shall be entitled to the number of votes equal to the number of shares of common stock into which such redeemable convertible preferred stock could then be converted and, with respect to such vote, holders of redeemable convertible preferred stock are entitled to vote together with the holders of common stock as a single class on all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12. Stock-based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has three equity incentive plans, the 2015 Stock Plan (the “2015 Plan”), the 2021 Incentive Award Plan (the “2021 Plan”) and the Sense 2017 Equity Incentive Plan (the “Sense Plan” and together the “Plans”).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Plans provide for the grant of stock options, stock appreciation rights, restricted stock awards restricted stock units, performance stock unit awards and other forms of equity compensation (collectively, “equity awards”). In addition, the 2021 Plan provides for the grant of performance bonus awards. All awards within the Plans may be granted to employees, including officers, as well as directors and consultants, within the limits defined in the Plans.</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Options under the Plans will be exercisable at such times and as specified in the Award Agreement (as defined in the Plans) provided that the term of an option or stock appreciation will not exceed ten years. Options granted under the Plans may be Incentive Stock Options (ISOs) or Non-statutory Stock Options, as determined by the Administrator (as defined in the Plans)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Options granted generally vest over four years and vest at a rate of 25% upon the first anniversary of the issuance date and 1/36th per month thereafter. The Company accounts for forfeitures as they occur.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exercise price of stock options granted before the Merger were determined based on the fair value of stock at the date of grant obtained by the Company on a contemporaneous basis from an independent valuation firm. The valuation firm used a PWERM to estimate the aggregate enterprise value of the Company at each valuation date. The PWERM involves applying appropriate risk adjusted discount rates to future values for the enterprise assuming various possible scenarios. The projections used in connection with these valuations were based on the Company’s expected operating performance over the forecast period. Share value is based on the probability-weighted present value of expected future returns to the equity investor considering each of the likely future scenarios available to the enterprise, and the rights and preferences of each share class.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2021 Incentive Award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2021, the Board of Directors approved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granted an option to purchase 1,614,492 shares of Company common stock, 807,246 restricted stock units and 807,246 performance stock units to a senior advisor serving on the Company’s board of directors as chair. The option would vest over five years starting from the first anniversary from the senior advisor’s employment start date and at a rate of 20% per annum, subject to his continued employment with the Company and provided that option grant will only be exercisable in the event that the closing trading price per share of the Company stock equals or exceeds 130% of the exercise price per share of the option for 30 consecutive trading days. The restricted stock units would vest over five years starting from the first anniversary from the senior advisor’s employment start date and at a rate of 20% per annum, subject to his continued employment with the Company. The performance stock units would vest over four years based on achieving increases in the Company’s stock price from the date of grant ranging from 150%, to earn 25% of the performance stock units, to 300% to earn the entire award of performance stock units. Each performance stock unit constituted the right to receive one share of Company common stock upon vesting. The senior advisor resigned in June 2021 and the option to purchase 1,614,492 shares of Company common stock, all restricted stock unit awards granted and all performance stock unit awards granted were forfeited.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also granted 152,628 restricted stock units to several members of the board of directors subject to standard terms of these awards.</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2015 Stock Plan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2015, the Company established its 2015 Stock Plan. As of March 11, 2021, the effective time of the Merger, the Company no longer grants equity awards pursuant to the 2015 Plan, but it continues to govern the terms of outstanding stock options that were granted prior to that date.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Stock Options Assumed from Acquisition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(“Effective Time”), the Company closed the acquisition of Sense pursuant to the Agreement and Plan of Merger and Plan of Reorganization (“Sense Agreement”). Pursuant to the Sense Agreement, upon the completion of the transaction, the Company assumed the Sense 2017 Equity Incentive Plan (the “Sense Plan”). In addition, pursuant to the Sense Agreement, at the Effective Time, each outstanding option to purchase Sense common stock and each award of time-based RSUs in respect of shares of Sense common stock held by Sense employees, in each case, that was outstanding as of immediately prior to the Effective Time was automatically adjusted by the Exchange Ratio (as defined in the Sense Agreement) and converted into an equity award of the same type covering shares of the Company’s common stock, on the same terms and conditions, (including, if applicable, any continuing vesting requirements) under the applicable Sense plan and award agreement in effect immediately prior to the Effective Time (the “Assumed Awards”).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acquisition, 823,114 stock options and 4,490,980 RSUs were assumed.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Promissory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October 12, 2020, the Company issued $1.1 million partial recourse promissory notes to certain executives and employees. The promissory notes carried 0.38% annual cash interest and were due on earliest of 9th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$0.5 million under each of their respective notes. Additional compensation expense of $0.5 million was recognized in general and administrative expenses in the year ended December 31, 2021.</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Early Exercises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those shares issued in connection with early cash exercises, there were 1,501,976 and 6,212,254 unvested shares outstanding as of December 31, 2021 and 2020, respectively, and approximately $0.3 million and $0.6 million of related liabilities at respective dates. The number of options early exercised for the years ended December 31, 2021 and 2020 were nil and 9,507,478, respectively.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for all stock options in the statements of operations and comprehensive loss as follows (in thousands):</w:t>
      </w:r>
    </w:p>
    <w:tbl>
      <w:tblPr>
        <w:tblW w:w="6461" w:type="dxa"/>
        <w:jc w:val="left"/>
        <w:tblInd w:w="0" w:type="dxa"/>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721"/>
        <w:gridCol w:w="109"/>
        <w:gridCol w:w="109"/>
        <w:gridCol w:w="109"/>
        <w:gridCol w:w="109"/>
        <w:gridCol w:w="211"/>
        <w:gridCol w:w="616"/>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years ended December 31, 2021, 2020 and 2019 is as follows:</w:t>
      </w:r>
    </w:p>
    <w:tbl>
      <w:tblPr>
        <w:tblW w:w="10205" w:type="dxa"/>
        <w:jc w:val="left"/>
        <w:tblInd w:w="0" w:type="dxa"/>
        <w:tblCellMar>
          <w:top w:w="28" w:type="dxa"/>
          <w:left w:w="28" w:type="dxa"/>
          <w:bottom w:w="28" w:type="dxa"/>
          <w:right w:w="28" w:type="dxa"/>
        </w:tblCellMar>
      </w:tblPr>
      <w:tblGrid>
        <w:gridCol w:w="1260"/>
        <w:gridCol w:w="1111"/>
        <w:gridCol w:w="1113"/>
        <w:gridCol w:w="109"/>
        <w:gridCol w:w="109"/>
        <w:gridCol w:w="109"/>
        <w:gridCol w:w="568"/>
        <w:gridCol w:w="572"/>
        <w:gridCol w:w="336"/>
        <w:gridCol w:w="109"/>
        <w:gridCol w:w="109"/>
        <w:gridCol w:w="109"/>
        <w:gridCol w:w="323"/>
        <w:gridCol w:w="782"/>
        <w:gridCol w:w="167"/>
        <w:gridCol w:w="109"/>
        <w:gridCol w:w="109"/>
        <w:gridCol w:w="109"/>
        <w:gridCol w:w="490"/>
        <w:gridCol w:w="490"/>
        <w:gridCol w:w="491"/>
        <w:gridCol w:w="109"/>
        <w:gridCol w:w="109"/>
        <w:gridCol w:w="109"/>
        <w:gridCol w:w="211"/>
        <w:gridCol w:w="826"/>
        <w:gridCol w:w="157"/>
      </w:tblGrid>
      <w:tr>
        <w:trPr/>
        <w:tc>
          <w:tcPr>
            <w:tcW w:w="126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Underlying</w:t>
              <w:br/>
              <w:t>Outstanding</w:t>
              <w:b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 rage Exercise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w:t>
              <w:b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Outstanding—January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977,513 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913,090 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(282,413)</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1,599,645 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3,020</w:t>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37,663,242 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363,941 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(12,221,364)</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(1,309,020)</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25,732,503 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245,746 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assumed through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823,114 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645,796 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(2,155,348)</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(916,969)</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24,129,096 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24,129,096 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9,332,369 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stock options outstanding and exercisable at December 31, 2021.</w:t>
      </w:r>
    </w:p>
    <w:tbl>
      <w:tblPr>
        <w:tblW w:w="8138" w:type="dxa"/>
        <w:jc w:val="left"/>
        <w:tblInd w:w="0" w:type="dxa"/>
        <w:tblCellMar>
          <w:top w:w="28" w:type="dxa"/>
          <w:left w:w="28" w:type="dxa"/>
          <w:bottom w:w="28" w:type="dxa"/>
          <w:right w:w="28" w:type="dxa"/>
        </w:tblCellMar>
      </w:tblPr>
      <w:tblGrid>
        <w:gridCol w:w="582"/>
        <w:gridCol w:w="514"/>
        <w:gridCol w:w="326"/>
        <w:gridCol w:w="109"/>
        <w:gridCol w:w="109"/>
        <w:gridCol w:w="109"/>
        <w:gridCol w:w="330"/>
        <w:gridCol w:w="330"/>
        <w:gridCol w:w="331"/>
        <w:gridCol w:w="109"/>
        <w:gridCol w:w="109"/>
        <w:gridCol w:w="109"/>
        <w:gridCol w:w="211"/>
        <w:gridCol w:w="616"/>
        <w:gridCol w:w="109"/>
        <w:gridCol w:w="109"/>
        <w:gridCol w:w="109"/>
        <w:gridCol w:w="109"/>
        <w:gridCol w:w="488"/>
        <w:gridCol w:w="488"/>
        <w:gridCol w:w="311"/>
        <w:gridCol w:w="109"/>
        <w:gridCol w:w="109"/>
        <w:gridCol w:w="109"/>
        <w:gridCol w:w="330"/>
        <w:gridCol w:w="330"/>
        <w:gridCol w:w="331"/>
        <w:gridCol w:w="109"/>
        <w:gridCol w:w="109"/>
        <w:gridCol w:w="109"/>
        <w:gridCol w:w="211"/>
        <w:gridCol w:w="511"/>
        <w:gridCol w:w="154"/>
      </w:tblGrid>
      <w:tr>
        <w:trPr/>
        <w:tc>
          <w:tcPr>
            <w:tcW w:w="58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Exercisable</w:t>
            </w:r>
          </w:p>
        </w:tc>
      </w:tr>
      <w:tr>
        <w:trPr/>
        <w:tc>
          <w:tcPr>
            <w:tcW w:w="14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5,548,717 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3,492,915 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9,602,898 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3,138,238 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7,524,114 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2,194,532 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39,927 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766,989 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466,757 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645,797 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24,129,096 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9,332,369 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granted during the years ended December 31, 2021, 2020 and 2019 was $5.90, $1.10 and $4.39, respectively.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assumed during the year ended December 31, 2021 was $3.11.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approximately $26.4 million of unamortized stock-based compensation expense related to unvested stock options that is expected to be recognized over a weighted average period of 1.60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 and purchases of shares was $0.5 million, $0.4 million and $0.1 million for years ended December 31, 2021, 2020 and 2019, respectively.</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assumptions in the Black-Scholes option-pricing models used to determine the fair value of stock options granted during the years ended December 31, 2021, 2020 and 2019 were as follows:</w:t>
      </w:r>
    </w:p>
    <w:tbl>
      <w:tblPr>
        <w:tblW w:w="6159" w:type="dxa"/>
        <w:jc w:val="left"/>
        <w:tblInd w:w="0" w:type="dxa"/>
        <w:tblCellMar>
          <w:top w:w="28" w:type="dxa"/>
          <w:left w:w="28" w:type="dxa"/>
          <w:bottom w:w="28" w:type="dxa"/>
          <w:right w:w="28" w:type="dxa"/>
        </w:tblCellMar>
      </w:tblPr>
      <w:tblGrid>
        <w:gridCol w:w="755"/>
        <w:gridCol w:w="663"/>
        <w:gridCol w:w="666"/>
        <w:gridCol w:w="209"/>
        <w:gridCol w:w="209"/>
        <w:gridCol w:w="211"/>
        <w:gridCol w:w="132"/>
        <w:gridCol w:w="132"/>
        <w:gridCol w:w="132"/>
        <w:gridCol w:w="434"/>
        <w:gridCol w:w="434"/>
        <w:gridCol w:w="437"/>
        <w:gridCol w:w="132"/>
        <w:gridCol w:w="132"/>
        <w:gridCol w:w="132"/>
        <w:gridCol w:w="392"/>
        <w:gridCol w:w="392"/>
        <w:gridCol w:w="565"/>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5"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5.0 - 6.1</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0.3 - 1.5%</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- 2.4%</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57.4% - 63.3%</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55.3% - 58.0%</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assumptions in the Black-Scholes option-pricing models used to determine the fair value of stock options assumed during the year ended December 31, 2021 were as follows:</w:t>
      </w:r>
    </w:p>
    <w:tbl>
      <w:tblPr>
        <w:tblW w:w="4123" w:type="dxa"/>
        <w:jc w:val="left"/>
        <w:tblInd w:w="0" w:type="dxa"/>
        <w:tblCellMar>
          <w:top w:w="28" w:type="dxa"/>
          <w:left w:w="28" w:type="dxa"/>
          <w:bottom w:w="28" w:type="dxa"/>
          <w:right w:w="28" w:type="dxa"/>
        </w:tblCellMar>
      </w:tblPr>
      <w:tblGrid>
        <w:gridCol w:w="755"/>
        <w:gridCol w:w="663"/>
        <w:gridCol w:w="666"/>
        <w:gridCol w:w="597"/>
        <w:gridCol w:w="597"/>
        <w:gridCol w:w="845"/>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3.1 - 5.6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0.8% - 1.3%</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44.1% - 48.6%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 (“RSA”)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RSAs activity under the Plan is as follows:</w:t>
      </w:r>
    </w:p>
    <w:tbl>
      <w:tblPr>
        <w:tblW w:w="5781" w:type="dxa"/>
        <w:jc w:val="left"/>
        <w:tblInd w:w="0" w:type="dxa"/>
        <w:tblCellMar>
          <w:top w:w="28" w:type="dxa"/>
          <w:left w:w="28" w:type="dxa"/>
          <w:bottom w:w="28" w:type="dxa"/>
          <w:right w:w="28" w:type="dxa"/>
        </w:tblCellMar>
      </w:tblPr>
      <w:tblGrid>
        <w:gridCol w:w="945"/>
        <w:gridCol w:w="831"/>
        <w:gridCol w:w="833"/>
        <w:gridCol w:w="523"/>
        <w:gridCol w:w="527"/>
        <w:gridCol w:w="296"/>
        <w:gridCol w:w="109"/>
        <w:gridCol w:w="109"/>
        <w:gridCol w:w="109"/>
        <w:gridCol w:w="361"/>
        <w:gridCol w:w="875"/>
        <w:gridCol w:w="263"/>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 Date Fair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(per share)</w:t>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1, 2020</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34,865 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1,617,264 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 during the year</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(105,921)</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during the year</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(1,505,454)</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 December 31, 2020</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 during the year</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during the year</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 December 31, 2021</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17,466 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RSAs vested during the years ended December 31, 2021, 2020 and 2019 was less than $0.1 million, $1.1 million and $0.1 million, respectively.</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(“RSU”)</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under the Plan is as follows:</w:t>
      </w:r>
    </w:p>
    <w:tbl>
      <w:tblPr>
        <w:tblW w:w="5708" w:type="dxa"/>
        <w:jc w:val="left"/>
        <w:tblInd w:w="0" w:type="dxa"/>
        <w:tblCellMar>
          <w:top w:w="28" w:type="dxa"/>
          <w:left w:w="28" w:type="dxa"/>
          <w:bottom w:w="28" w:type="dxa"/>
          <w:right w:w="28" w:type="dxa"/>
        </w:tblCellMar>
      </w:tblPr>
      <w:tblGrid>
        <w:gridCol w:w="945"/>
        <w:gridCol w:w="831"/>
        <w:gridCol w:w="834"/>
        <w:gridCol w:w="488"/>
        <w:gridCol w:w="488"/>
        <w:gridCol w:w="296"/>
        <w:gridCol w:w="109"/>
        <w:gridCol w:w="109"/>
        <w:gridCol w:w="109"/>
        <w:gridCol w:w="361"/>
        <w:gridCol w:w="875"/>
        <w:gridCol w:w="263"/>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 Date Fair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(per share)</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through acquisition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4,490,980 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5,224,504 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Canceled during the year</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(552,072)</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during the year</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(509,786)</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 December 31, 2021</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8,653,626 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total compensation expense related to unvested RSUs granted to employees, but not yet recognized, was $61.0 million, with a weighted-average remaining vesting period of 3.5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13. Employee benefit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2018, the Company adopted a defined contribution retirement savings plan under Section 401(k) of the Internal Revenue Code. This plan covers substantially all employees who meet minimum age and service requirements and allows participants to defer a portion of their annual compensation on a pre-tax basis. The Company at its discretion offers matching contributions of up to 4% of each employee’s annual compensation. The Company provided matching contributions of $1.0 million, $0.7 million and $0.5 million to the plan during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14. Net Loss Per Common Share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 attributable to common stockholders (in thousands, except share and per share data):</w:t>
      </w:r>
    </w:p>
    <w:tbl>
      <w:tblPr>
        <w:tblW w:w="9581" w:type="dxa"/>
        <w:jc w:val="left"/>
        <w:tblInd w:w="0" w:type="dxa"/>
        <w:tblCellMar>
          <w:top w:w="28" w:type="dxa"/>
          <w:left w:w="28" w:type="dxa"/>
          <w:bottom w:w="28" w:type="dxa"/>
          <w:right w:w="28" w:type="dxa"/>
        </w:tblCellMar>
      </w:tblPr>
      <w:tblGrid>
        <w:gridCol w:w="1893"/>
        <w:gridCol w:w="1670"/>
        <w:gridCol w:w="1687"/>
        <w:gridCol w:w="264"/>
        <w:gridCol w:w="922"/>
        <w:gridCol w:w="109"/>
        <w:gridCol w:w="109"/>
        <w:gridCol w:w="109"/>
        <w:gridCol w:w="109"/>
        <w:gridCol w:w="211"/>
        <w:gridCol w:w="901"/>
        <w:gridCol w:w="109"/>
        <w:gridCol w:w="109"/>
        <w:gridCol w:w="109"/>
        <w:gridCol w:w="109"/>
        <w:gridCol w:w="211"/>
        <w:gridCol w:w="796"/>
        <w:gridCol w:w="154"/>
      </w:tblGrid>
      <w:tr>
        <w:trPr/>
        <w:tc>
          <w:tcPr>
            <w:tcW w:w="1893"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w:t>
            </w:r>
          </w:p>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133,917,571 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17,858,976 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7,390,456 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share-basic and diluted</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9855" w:type="dxa"/>
        <w:jc w:val="left"/>
        <w:tblInd w:w="0" w:type="dxa"/>
        <w:tblCellMar>
          <w:top w:w="28" w:type="dxa"/>
          <w:left w:w="28" w:type="dxa"/>
          <w:bottom w:w="28" w:type="dxa"/>
          <w:right w:w="28" w:type="dxa"/>
        </w:tblCellMar>
      </w:tblPr>
      <w:tblGrid>
        <w:gridCol w:w="1919"/>
        <w:gridCol w:w="1683"/>
        <w:gridCol w:w="1693"/>
        <w:gridCol w:w="540"/>
        <w:gridCol w:w="541"/>
        <w:gridCol w:w="156"/>
        <w:gridCol w:w="132"/>
        <w:gridCol w:w="132"/>
        <w:gridCol w:w="132"/>
        <w:gridCol w:w="592"/>
        <w:gridCol w:w="594"/>
        <w:gridCol w:w="156"/>
        <w:gridCol w:w="132"/>
        <w:gridCol w:w="132"/>
        <w:gridCol w:w="132"/>
        <w:gridCol w:w="488"/>
        <w:gridCol w:w="488"/>
        <w:gridCol w:w="213"/>
      </w:tblGrid>
      <w:tr>
        <w:trPr/>
        <w:tc>
          <w:tcPr>
            <w:tcW w:w="1919"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88,434,754 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4,384,348 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22,675,729 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25,732,503 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1,599,645 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RSA</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10,106,993 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common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2,043,288 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6,212,254 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early exercised options subject to nonrecourse notes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2,151,100 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warrants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15,999,900 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50,843,376 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127,121,148 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6,177,127 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for the years ended December 31, 2021, 2020 and 2019 are as follows (in thousands):</w:t>
      </w:r>
    </w:p>
    <w:tbl>
      <w:tblPr>
        <w:tblW w:w="5038" w:type="dxa"/>
        <w:jc w:val="left"/>
        <w:tblInd w:w="0" w:type="dxa"/>
        <w:tblCellMar>
          <w:top w:w="28" w:type="dxa"/>
          <w:left w:w="28" w:type="dxa"/>
          <w:bottom w:w="28" w:type="dxa"/>
          <w:right w:w="28" w:type="dxa"/>
        </w:tblCellMar>
      </w:tblPr>
      <w:tblGrid>
        <w:gridCol w:w="321"/>
        <w:gridCol w:w="282"/>
        <w:gridCol w:w="283"/>
        <w:gridCol w:w="211"/>
        <w:gridCol w:w="796"/>
        <w:gridCol w:w="109"/>
        <w:gridCol w:w="109"/>
        <w:gridCol w:w="109"/>
        <w:gridCol w:w="109"/>
        <w:gridCol w:w="211"/>
        <w:gridCol w:w="901"/>
        <w:gridCol w:w="109"/>
        <w:gridCol w:w="109"/>
        <w:gridCol w:w="109"/>
        <w:gridCol w:w="109"/>
        <w:gridCol w:w="211"/>
        <w:gridCol w:w="796"/>
        <w:gridCol w:w="154"/>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are as follows (in thousands):</w:t>
      </w:r>
    </w:p>
    <w:tbl>
      <w:tblPr>
        <w:tblW w:w="6162" w:type="dxa"/>
        <w:jc w:val="left"/>
        <w:tblInd w:w="0" w:type="dxa"/>
        <w:tblCellMar>
          <w:top w:w="28" w:type="dxa"/>
          <w:left w:w="28" w:type="dxa"/>
          <w:bottom w:w="28" w:type="dxa"/>
          <w:right w:w="28" w:type="dxa"/>
        </w:tblCellMar>
      </w:tblPr>
      <w:tblGrid>
        <w:gridCol w:w="1062"/>
        <w:gridCol w:w="935"/>
        <w:gridCol w:w="943"/>
        <w:gridCol w:w="211"/>
        <w:gridCol w:w="691"/>
        <w:gridCol w:w="109"/>
        <w:gridCol w:w="109"/>
        <w:gridCol w:w="109"/>
        <w:gridCol w:w="109"/>
        <w:gridCol w:w="211"/>
        <w:gridCol w:w="466"/>
        <w:gridCol w:w="109"/>
        <w:gridCol w:w="109"/>
        <w:gridCol w:w="109"/>
        <w:gridCol w:w="109"/>
        <w:gridCol w:w="211"/>
        <w:gridCol w:w="406"/>
        <w:gridCol w:w="154"/>
      </w:tblGrid>
      <w:tr>
        <w:trPr/>
        <w:tc>
          <w:tcPr>
            <w:tcW w:w="106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(benefit)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in current years relates to the release of valuation allowance as a result of the recording of a deferred tax liability from an acquisition during the year.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statutory rate U.S. federal rate and the Company’s effective tax rate is as follows:</w:t>
      </w:r>
    </w:p>
    <w:tbl>
      <w:tblPr>
        <w:tblW w:w="8561" w:type="dxa"/>
        <w:jc w:val="left"/>
        <w:tblInd w:w="0" w:type="dxa"/>
        <w:tblCellMar>
          <w:top w:w="28" w:type="dxa"/>
          <w:left w:w="28" w:type="dxa"/>
          <w:bottom w:w="28" w:type="dxa"/>
          <w:right w:w="28" w:type="dxa"/>
        </w:tblCellMar>
      </w:tblPr>
      <w:tblGrid>
        <w:gridCol w:w="1631"/>
        <w:gridCol w:w="1439"/>
        <w:gridCol w:w="1444"/>
        <w:gridCol w:w="211"/>
        <w:gridCol w:w="796"/>
        <w:gridCol w:w="109"/>
        <w:gridCol w:w="109"/>
        <w:gridCol w:w="109"/>
        <w:gridCol w:w="109"/>
        <w:gridCol w:w="211"/>
        <w:gridCol w:w="796"/>
        <w:gridCol w:w="109"/>
        <w:gridCol w:w="109"/>
        <w:gridCol w:w="109"/>
        <w:gridCol w:w="109"/>
        <w:gridCol w:w="211"/>
        <w:gridCol w:w="796"/>
        <w:gridCol w:w="154"/>
      </w:tblGrid>
      <w:tr>
        <w:trPr/>
        <w:tc>
          <w:tcPr>
            <w:tcW w:w="1631"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changes - warrants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cancellation of indebtedness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tax (benefit)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for federal and state income taxes are as follows (in thousands):</w:t>
      </w:r>
    </w:p>
    <w:tbl>
      <w:tblPr>
        <w:tblW w:w="5349" w:type="dxa"/>
        <w:jc w:val="left"/>
        <w:tblInd w:w="0" w:type="dxa"/>
        <w:tblCellMar>
          <w:top w:w="28" w:type="dxa"/>
          <w:left w:w="28" w:type="dxa"/>
          <w:bottom w:w="28" w:type="dxa"/>
          <w:right w:w="28" w:type="dxa"/>
        </w:tblCellMar>
      </w:tblPr>
      <w:tblGrid>
        <w:gridCol w:w="1050"/>
        <w:gridCol w:w="921"/>
        <w:gridCol w:w="924"/>
        <w:gridCol w:w="211"/>
        <w:gridCol w:w="721"/>
        <w:gridCol w:w="109"/>
        <w:gridCol w:w="109"/>
        <w:gridCol w:w="109"/>
        <w:gridCol w:w="109"/>
        <w:gridCol w:w="211"/>
        <w:gridCol w:w="721"/>
        <w:gridCol w:w="154"/>
      </w:tblGrid>
      <w:tr>
        <w:trPr/>
        <w:tc>
          <w:tcPr>
            <w:tcW w:w="105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property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full valuation allowance of $47.4 million and $19.4 million for the years ended December 31, 2021 and 2020, respectively, against its net deferred tax assets. 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2021. Accordingly, the Company has recorded a full valuation allowance on its deferred tax assets.</w:t>
      </w:r>
    </w:p>
    <w:p>
      <w:pPr>
        <w:pStyle w:val="TextBody"/>
        <w:spacing w:lineRule="auto" w:line="288" w:before="120" w:after="283"/>
        <w:rPr/>
      </w:pPr>
      <w:r>
        <w:rPr>
          <w:rFonts w:ascii="Times New Roman;sans-serif" w:hAnsi="Times New Roman;sans-serif"/>
          <w:b w:val="false"/>
          <w:color w:val="000000"/>
          <w:sz w:val="20"/>
        </w:rPr>
        <w:t xml:space="preserve">The valuation allowance on the Company’s net deferred taxes </w:t>
      </w:r>
      <w:r>
        <w:rPr>
          <w:rFonts w:ascii="Times New Roman;sans-serif" w:hAnsi="Times New Roman;sans-serif"/>
          <w:b w:val="false"/>
          <w:color w:val="000000"/>
          <w:sz w:val="20"/>
          <w:highlight w:val="white"/>
        </w:rPr>
        <w:t>increased b</w:t>
      </w:r>
      <w:r>
        <w:rPr>
          <w:rFonts w:ascii="Times New Roman;sans-serif" w:hAnsi="Times New Roman;sans-serif"/>
          <w:b w:val="false"/>
          <w:color w:val="000000"/>
          <w:sz w:val="20"/>
        </w:rPr>
        <w:t>y $28.0 million and decreased by $6.8 million during the years ended December 31, 2021 and 2020, respectively. The increase in valuation allowance is primarily attributed to the generation of net operating losses and credit in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Company had federal net operating loss carryforwards and state net operating loss carryforwards of approximately $49.5 million and $70.0 million, respectively. As of December 31, 2020, the federal net operating loss carryforward begins expiring in 2035 through 2040, and the state net operating loss carryforward begins expiring in 2035 through 2040. As of December 31, 2020, the amount of federal net operating loss that does not expire is $49.5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federal net operating loss carryforwards and state net operating loss carryforwards of approximately $224.4 million and $146.8 million, respectively. As of December 31, 2021, federal net operating loss carryforwards generated after December 31, 2017 will be carried forward indefinitely and the state net operating loss carryforward begins expiring in 2035 through 2040. As of December 31, 2021, the amount of federal net operating loss that does not expire is $215.9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federal and state research and development credit carryforwards of approximately $4.0 million and $2.30 million, respectively. As of December 31, 2020, the Company had federal and state research and development credit carryforwards of approximately $2.1 million and less than $0.1 million, respectively. As of December 31, 2021 and 2020 the federal credits will expire starting in 2035 and 2038, respectively, if not utilized and state credits carryforward indefinitely.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Such ownership change could result in the limitation and /or expiration of the net operating loss and tax credit carryforwards before utilization, which could result in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increased future tax liabilities. While the Company has experienced ownership shifts, there has been no limitation or loss of tax attributes as of December 31, 2021.</w:t>
      </w:r>
    </w:p>
    <w:p>
      <w:pPr>
        <w:pStyle w:val="TextBody"/>
        <w:spacing w:lineRule="auto" w:line="288" w:before="120" w:after="283"/>
        <w:rPr/>
      </w:pPr>
      <w:r>
        <w:rPr>
          <w:rFonts w:ascii="Times New Roman;sans-serif" w:hAnsi="Times New Roman;sans-serif"/>
          <w:b w:val="false"/>
          <w:color w:val="000000"/>
          <w:sz w:val="20"/>
        </w:rPr>
        <w:t xml:space="preserve">ASC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As of December 31, 2021 and 2020 the Company has reviewed the positive and negative evidence relating to the realizability of the deferred tax assets and has concluded that the deferred tax assets are more likely than not to not be realized.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CARES Act includes provisions relating to refundable payroll tax credits, deferment of employer’s social security payments, net operating loss carry back periods, alternative minimum tax credit refunds, modifications to the net interest deduction limitations and technical corrections to tax depreciation methods for qualified improvement property. This new legislation did not impact the current year provision. The Company will continue to monitor the possible impacts in the future periods.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June 29, 2020, Governor Gavin Newsom signed California Assembly Bill 85 (AB 85) into law. The legislation suspends the California net operating loss deductions for 2021, 2022, and 2023 for certain taxpayers and imposes a limitation of certain California Tax Credits for 2021, 2022, and 2023. The legislation disallows the use of California net operating loss deductions if the taxpayer recognizes business income and its adjusted gross income is greater than $1.0 million. The carryover periods for net operating loss deductions disallowed by this provision will be extended. Additionally, any business credit will only offset a maximum of $5.0 million of California tax. As a result of the legislation, the available California net operating losses were unable to be utilized to offset taxable income in 2021. The Company utilized California R&amp;D credits to reduce its taxable income to minimum tax. The Company will continue to monitor the possible California net operating loss and credit limitations in future periods.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balance of gross unrecognized tax benefits as of December 31, 2021 and 2020 was $18.5 million and $1.0 million, respectively. Out of the total unrecognized tax benefits, $0.1 million at December 31, 2021, if recognized, would reduce our effective tax rate in the period of recognition. The Company does not expect its unrecognized tax benefits to change significantly over the next 12 months. The Company recognizes interest and penalties accrued on any unrecognized tax benefits as a component of income tax expense. As of December 31, 2021 and 2020, the Company has not accrued interest and penalties related to uncertain tax positions. The following table sets forth the change in the uncertain tax positions for the years ended December 31, 2021 and 2020:</w:t>
      </w:r>
    </w:p>
    <w:tbl>
      <w:tblPr>
        <w:tblW w:w="6371" w:type="dxa"/>
        <w:jc w:val="left"/>
        <w:tblInd w:w="0" w:type="dxa"/>
        <w:tblCellMar>
          <w:top w:w="28" w:type="dxa"/>
          <w:left w:w="28" w:type="dxa"/>
          <w:bottom w:w="28" w:type="dxa"/>
          <w:right w:w="28" w:type="dxa"/>
        </w:tblCellMar>
      </w:tblPr>
      <w:tblGrid>
        <w:gridCol w:w="1108"/>
        <w:gridCol w:w="974"/>
        <w:gridCol w:w="977"/>
        <w:gridCol w:w="211"/>
        <w:gridCol w:w="721"/>
        <w:gridCol w:w="109"/>
        <w:gridCol w:w="109"/>
        <w:gridCol w:w="109"/>
        <w:gridCol w:w="109"/>
        <w:gridCol w:w="211"/>
        <w:gridCol w:w="466"/>
        <w:gridCol w:w="109"/>
        <w:gridCol w:w="109"/>
        <w:gridCol w:w="109"/>
        <w:gridCol w:w="109"/>
        <w:gridCol w:w="211"/>
        <w:gridCol w:w="466"/>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Decreases:</w:t>
            </w:r>
          </w:p>
        </w:tc>
        <w:tc>
          <w:tcPr>
            <w:tcW w:w="1041" w:type="dxa"/>
            <w:gridSpan w:val="3"/>
            <w:tcBorders/>
            <w:shd w:fill="FFFFFF" w:val="clear"/>
            <w:tcMar>
              <w:top w:w="0" w:type="dxa"/>
              <w:left w:w="0" w:type="dxa"/>
              <w:bottom w:w="0" w:type="dxa"/>
              <w:right w:w="0" w:type="dxa"/>
            </w:tcMar>
            <w:vAlign w:val="center"/>
          </w:tcPr>
          <w:p>
            <w:pPr>
              <w:pStyle w:val="TableContents"/>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For current year’s tax 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For prior years’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Increases:</w:t>
            </w:r>
          </w:p>
        </w:tc>
        <w:tc>
          <w:tcPr>
            <w:tcW w:w="1041" w:type="dxa"/>
            <w:gridSpan w:val="3"/>
            <w:tcBorders/>
            <w:shd w:fill="CCEEFF" w:val="clear"/>
            <w:tcMar>
              <w:top w:w="0" w:type="dxa"/>
              <w:left w:w="0" w:type="dxa"/>
              <w:bottom w:w="0" w:type="dxa"/>
              <w:right w:w="0" w:type="dxa"/>
            </w:tcMar>
            <w:vAlign w:val="center"/>
          </w:tcPr>
          <w:p>
            <w:pPr>
              <w:pStyle w:val="TableContents"/>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For current year’s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For prior years’ tax 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for Federal, California, and other US states, as well as miscellaneous foreign jurisdictions. In the normal course of business, the Company is subject to examination by taxing authorities. The Company has not been audited by the Internal Revenue Service or any state income or franchise tax agency. As of December 31, 2021, its federal returns for the years ended December 31, 2016 through the current period and the state returns for the years ended December 31, 2016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16. Related Party Transactions</w:t>
      </w:r>
    </w:p>
    <w:p>
      <w:pPr>
        <w:pStyle w:val="TextBody"/>
        <w:spacing w:lineRule="auto" w:line="288" w:before="120" w:after="283"/>
        <w:rPr/>
      </w:pPr>
      <w:r>
        <w:rPr>
          <w:rFonts w:ascii="Times New Roman;sans-serif" w:hAnsi="Times New Roman;sans-serif"/>
          <w:b w:val="false"/>
          <w:color w:val="000000"/>
          <w:sz w:val="20"/>
        </w:rPr>
        <w:t xml:space="preserve">See </w:t>
      </w:r>
      <w:r>
        <w:rPr>
          <w:rFonts w:ascii="Times New Roman;sans-serif" w:hAnsi="Times New Roman;sans-serif"/>
          <w:b/>
          <w:color w:val="000000"/>
          <w:sz w:val="20"/>
        </w:rPr>
        <w:t>Note 7</w:t>
      </w:r>
      <w:r>
        <w:rPr>
          <w:rFonts w:ascii="Times New Roman;sans-serif" w:hAnsi="Times New Roman;sans-serif"/>
          <w:b w:val="false"/>
          <w:color w:val="000000"/>
          <w:sz w:val="20"/>
        </w:rPr>
        <w:t>, Long-term Debt for details of promissory notes issued by the Company to certain investors of the Company (or an affiliate thereof).</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pPr>
      <w:r>
        <w:rPr>
          <w:rFonts w:ascii="Times New Roman;sans-serif" w:hAnsi="Times New Roman;sans-serif"/>
          <w:b w:val="false"/>
          <w:color w:val="000000"/>
          <w:sz w:val="20"/>
        </w:rPr>
        <w:t>See</w:t>
      </w:r>
      <w:r>
        <w:rPr>
          <w:color w:val="000000"/>
        </w:rPr>
        <w:t xml:space="preserve"> </w:t>
      </w:r>
      <w:r>
        <w:rPr>
          <w:rFonts w:ascii="Times New Roman;sans-serif" w:hAnsi="Times New Roman;sans-serif"/>
          <w:b/>
          <w:color w:val="000000"/>
          <w:sz w:val="20"/>
        </w:rPr>
        <w:t>Note 12</w:t>
      </w:r>
      <w:r>
        <w:rPr>
          <w:rFonts w:ascii="Times New Roman;sans-serif" w:hAnsi="Times New Roman;sans-serif"/>
          <w:b w:val="false"/>
          <w:color w:val="000000"/>
          <w:sz w:val="20"/>
        </w:rPr>
        <w:t>, Stock-based compensation for details of partial recourse promissory notes issued by the Company to certain executives and employees.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17. Subsequent Events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through February 28, 2022, the date these consolidated financial statements were available to be issued and has determined that no subsequent events require disclosure in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9 was previously reported in the Company’s Current Report on Form 8-K/A that was filed with the Securities and Exchange Commission on March 15,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Limitations on Effectiveness of Disclosure, 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as of the end of the period covered by this Annual Report on Form 10-K,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December 31, 2021 due to the material weaknesses in our internal control over financial reporting described below.</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Material Weaknesses and Remediation Measures Taken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have taken several measures to design and implement control to improve our internal controls over financial reporting and continue to make progress towards establishing an effective Internal controls framework to remediate the foregoing material weaknesses. Our efforts included the following: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Recruiting additional personnel with appropriate internal controls, accounting knowledge and experience commensurate with our accounting and reporting requirements, in addition to engaging and utilizing third party consultants and specialists.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Enhancing entity level controls (ELCs) including increasing Board and Audit Committee oversight, expanding senior management review of financial and business performance, creating an internal audit function and charter, and providing code of conduct trainings.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Strengthening IT governance and designing IT general controls including restricted user access to our internal systems for financial reporting, change management, program development and computer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Designing additional controls for financial close and reporting including review of accounting policies, Journal entry review controls, Review of significant or non-routine transactions, period end close procedures, financial statement preparation, review, and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 report of management’s assessment regarding internal control over financial reporting (as defined in Rules 13a-15(f) and 15d-15(f) under the Exchange Act) (“ICFR”), or an attestation report of our independent registered public accounting firm, as allowed by the SEC for reverse acquisitions between an issuer and a private operating company when it is not reasonably possible to conduct an assessment of the private operating company’s ICFR in the period between the consummation date of the reverse acquisition and the date of management’s assessment of ICFR (pursuant to Section 215.02 of the SEC Division of Corporation Finance’s Regulation S-K Compliance &amp; Disclosure Interpretations).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taking actions to remediate the material weaknesses relating to our internal control over financial reporting. Other than described above, 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9C. Disclosure Regarding Foreign Jurisdictions that Prevent Inspections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executive officers and members of our board of directors (ages as of the date of this Annual Report on Form 10-K):</w:t>
      </w:r>
    </w:p>
    <w:tbl>
      <w:tblPr>
        <w:tblW w:w="7180" w:type="dxa"/>
        <w:jc w:val="left"/>
        <w:tblInd w:w="0" w:type="dxa"/>
        <w:tblCellMar>
          <w:top w:w="28" w:type="dxa"/>
          <w:left w:w="28" w:type="dxa"/>
          <w:bottom w:w="28" w:type="dxa"/>
          <w:right w:w="28" w:type="dxa"/>
        </w:tblCellMar>
      </w:tblPr>
      <w:tblGrid>
        <w:gridCol w:w="687"/>
        <w:gridCol w:w="605"/>
        <w:gridCol w:w="613"/>
        <w:gridCol w:w="109"/>
        <w:gridCol w:w="109"/>
        <w:gridCol w:w="109"/>
        <w:gridCol w:w="145"/>
        <w:gridCol w:w="145"/>
        <w:gridCol w:w="146"/>
        <w:gridCol w:w="109"/>
        <w:gridCol w:w="109"/>
        <w:gridCol w:w="109"/>
        <w:gridCol w:w="1222"/>
        <w:gridCol w:w="1222"/>
        <w:gridCol w:w="1741"/>
      </w:tblGrid>
      <w:tr>
        <w:trPr/>
        <w:tc>
          <w:tcPr>
            <w:tcW w:w="687"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Co-Founder and Chief Executive Officer</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Frichtl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and Chief Technology Officer</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Brunelle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Darien Spencer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of Global Operations</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Dolinko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Dickerman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of Field Operations</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Heystee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Chair of the Board</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Jorge del Calvo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Emmanuel Hernandez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Sundari Mitra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Rådström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Remy W. Trafelet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120" w:after="283"/>
        <w:rPr/>
      </w:pPr>
      <w:r>
        <w:rPr>
          <w:rFonts w:ascii="Times New Roman;sans-serif" w:hAnsi="Times New Roman;sans-serif"/>
          <w:b/>
          <w:i/>
          <w:color w:val="000000"/>
          <w:sz w:val="20"/>
        </w:rPr>
        <w:t xml:space="preserve">Angus Pacala. </w:t>
      </w:r>
      <w:r>
        <w:rPr>
          <w:rFonts w:ascii="Times New Roman;sans-serif" w:hAnsi="Times New Roman;sans-serif"/>
          <w:b w:val="false"/>
          <w:color w:val="000000"/>
          <w:sz w:val="20"/>
        </w:rPr>
        <w:t>Angus Pacala co-founded Ouster in June 2015 and has been serving as our Chief Executive Officer and director since 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of directors due to his extensive technical background and his history as Ouster’s co-founder.</w:t>
      </w:r>
    </w:p>
    <w:p>
      <w:pPr>
        <w:pStyle w:val="TextBody"/>
        <w:spacing w:lineRule="auto" w:line="288" w:before="120" w:after="283"/>
        <w:rPr/>
      </w:pPr>
      <w:r>
        <w:rPr>
          <w:rFonts w:ascii="Times New Roman;sans-serif" w:hAnsi="Times New Roman;sans-serif"/>
          <w:b/>
          <w:i/>
          <w:color w:val="000000"/>
          <w:sz w:val="20"/>
        </w:rPr>
        <w:t xml:space="preserve">Mark Frichtl. </w:t>
      </w:r>
      <w:r>
        <w:rPr>
          <w:rFonts w:ascii="Times New Roman;sans-serif" w:hAnsi="Times New Roman;sans-serif"/>
          <w:b w:val="false"/>
          <w:color w:val="000000"/>
          <w:sz w:val="20"/>
        </w:rPr>
        <w:t>March Frichtl co-founded Ouster in June 2015 and has been serving as our Chief Technology Officer since then. 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w:t>
      </w:r>
    </w:p>
    <w:p>
      <w:pPr>
        <w:pStyle w:val="TextBody"/>
        <w:spacing w:lineRule="auto" w:line="288" w:before="120" w:after="283"/>
        <w:rPr/>
      </w:pPr>
      <w:r>
        <w:rPr>
          <w:rFonts w:ascii="Times New Roman;sans-serif" w:hAnsi="Times New Roman;sans-serif"/>
          <w:b/>
          <w:i/>
          <w:color w:val="000000"/>
          <w:sz w:val="20"/>
        </w:rPr>
        <w:t xml:space="preserve">Anna Brunelle. </w:t>
      </w:r>
      <w:r>
        <w:rPr>
          <w:rFonts w:ascii="Times New Roman;sans-serif" w:hAnsi="Times New Roman;sans-serif"/>
          <w:b w:val="false"/>
          <w:color w:val="000000"/>
          <w:sz w:val="20"/>
        </w:rPr>
        <w:t>Anna Brunelle has been serving as our Chief Financial Officer since August 2020.</w:t>
      </w:r>
      <w:r>
        <w:rPr>
          <w:color w:val="000000"/>
        </w:rPr>
        <w:t xml:space="preserve"> </w:t>
      </w:r>
      <w:r>
        <w:rPr>
          <w:rFonts w:ascii="Times New Roman;sans-serif" w:hAnsi="Times New Roman;sans-serif"/>
          <w:b w:val="false"/>
          <w:color w:val="000000"/>
          <w:sz w:val="20"/>
        </w:rPr>
        <w:t>Previously, Ms. Brunelle was Chief Financial Officer at Kinestral Technologies, a private electrochromic technology company, from April 2018 to May 2020. Previously, Ms. Brunelle provided financial consulting services to companies in a variety of industries from October 2017 to April 2018. Prior to this appointment, Ms. Brunelle was Chief Financial Officer and Interim Chief Operating Officer at Soylent, a private nutrition company, from March 2016 to October 2017. Ms. Brunelle was also Chief Financial Officer and Interim Chief Operating Officer at GlobalLogic from June 2014 to April 2015. Ms. Brunelle held various leadership roles of increasing responsibility at Tivo, Inc. from April 2005 to September 2013, including as Chief Financial Officer starting in 2008. Ms. Brunelle began her career at Deloitte &amp; Touche, LLP from August 1996 to March 1999. Ms. Brunelle holds a Bachelor of Science degree in business administration with a concentration in accounting from the California Polytechnic State University.</w:t>
      </w:r>
    </w:p>
    <w:p>
      <w:pPr>
        <w:pStyle w:val="TextBody"/>
        <w:spacing w:lineRule="auto" w:line="288" w:before="120" w:after="283"/>
        <w:rPr/>
      </w:pPr>
      <w:r>
        <w:rPr>
          <w:rFonts w:ascii="Times New Roman;sans-serif" w:hAnsi="Times New Roman;sans-serif"/>
          <w:b/>
          <w:i/>
          <w:color w:val="000000"/>
          <w:sz w:val="20"/>
        </w:rPr>
        <w:t>Darien Spencer.</w:t>
      </w:r>
      <w:r>
        <w:rPr>
          <w:color w:val="000000"/>
        </w:rPr>
        <w:t xml:space="preserve"> </w:t>
      </w:r>
      <w:r>
        <w:rPr>
          <w:rFonts w:ascii="Times New Roman;sans-serif" w:hAnsi="Times New Roman;sans-serif"/>
          <w:b w:val="false"/>
          <w:color w:val="000000"/>
          <w:sz w:val="20"/>
        </w:rPr>
        <w:t>Darien Spencer has been serving as our Executive Vice President of Global Operations since July 2017. Previously, Mr. Spencer was Executive Vice President of Operations and Chief Procurement Officer at Enphase Energy, an energy technology company, from August 2013 to April 2017. Prior to this appointment, Mr. Spencer was General Manager of Business Units and Automation at Jabil Circuit, a product solutions company, from August 2012 to August 2013,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w:t>
      </w:r>
    </w:p>
    <w:p>
      <w:pPr>
        <w:pStyle w:val="TextBody"/>
        <w:spacing w:lineRule="auto" w:line="288" w:before="120" w:after="283"/>
        <w:rPr/>
      </w:pPr>
      <w:r>
        <w:rPr>
          <w:rFonts w:ascii="Times New Roman;sans-serif" w:hAnsi="Times New Roman;sans-serif"/>
          <w:b/>
          <w:i/>
          <w:color w:val="000000"/>
          <w:sz w:val="20"/>
        </w:rPr>
        <w:t>Adam Dolinko.</w:t>
      </w:r>
      <w:r>
        <w:rPr>
          <w:color w:val="000000"/>
        </w:rPr>
        <w:t xml:space="preserve"> </w:t>
      </w:r>
      <w:r>
        <w:rPr>
          <w:rFonts w:ascii="Times New Roman;sans-serif" w:hAnsi="Times New Roman;sans-serif"/>
          <w:b w:val="false"/>
          <w:color w:val="000000"/>
          <w:sz w:val="20"/>
        </w:rPr>
        <w:t xml:space="preserve">Adam Dolinko has been serving as our General Counsel since December 2021. Previously, Mr. Dolinko served as a Senior Executive and General Counsel at CSR plc, a dual listed NASDAQ and London Stock Exchange-FTSE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pPr>
      <w:r>
        <w:rPr>
          <w:rFonts w:ascii="Times New Roman;sans-serif" w:hAnsi="Times New Roman;sans-serif"/>
          <w:b w:val="false"/>
          <w:color w:val="000000"/>
          <w:sz w:val="20"/>
        </w:rPr>
        <w:t>250 company focused on the automobile, mobile, and IoT sectors with wireless, connectivity, imaging, location, and audio semiconductor and software solutions.</w:t>
      </w:r>
      <w:r>
        <w:rPr>
          <w:color w:val="000000"/>
        </w:rPr>
        <w:t xml:space="preserve"> </w:t>
      </w:r>
      <w:r>
        <w:rPr>
          <w:rFonts w:ascii="Times New Roman;sans-serif" w:hAnsi="Times New Roman;sans-serif"/>
          <w:b w:val="false"/>
          <w:color w:val="000000"/>
          <w:sz w:val="20"/>
        </w:rPr>
        <w:t>Mr. Dolinko served as Executive Vice President, General Counsel &amp; Corporate Development at SiRF Technology (NASDAQ: SIRF), a B2B GPS and connectivity company focused on the automobile and mobile sectors.</w:t>
      </w:r>
      <w:r>
        <w:rPr>
          <w:color w:val="000000"/>
        </w:rPr>
        <w:t xml:space="preserve"> </w:t>
      </w:r>
      <w:r>
        <w:rPr>
          <w:rFonts w:ascii="Times New Roman;sans-serif" w:hAnsi="Times New Roman;sans-serif"/>
          <w:b w:val="false"/>
          <w:color w:val="000000"/>
          <w:sz w:val="20"/>
        </w:rPr>
        <w:t>He has served as the Executive Vice President and General Counsel of private companies, from January 2021 until December 2021 at Inxeption, at NextJuris, from February 2018 to January 2021, and Essential Products from March 2017 to February 2018.</w:t>
      </w:r>
      <w:r>
        <w:rPr>
          <w:color w:val="000000"/>
        </w:rPr>
        <w:t xml:space="preserve"> </w:t>
      </w:r>
      <w:r>
        <w:rPr>
          <w:rFonts w:ascii="Times New Roman;sans-serif" w:hAnsi="Times New Roman;sans-serif"/>
          <w:b w:val="false"/>
          <w:color w:val="000000"/>
          <w:sz w:val="20"/>
        </w:rPr>
        <w:t>Prior to becoming a General Counsel, he had been a Corporate and Securities Partner at the law firm of Wilson Sonsini Goodrich &amp; Rosati, P.C.</w:t>
      </w:r>
      <w:r>
        <w:rPr>
          <w:color w:val="000000"/>
        </w:rPr>
        <w:t xml:space="preserve"> </w:t>
      </w:r>
      <w:r>
        <w:rPr>
          <w:rFonts w:ascii="Times New Roman;sans-serif" w:hAnsi="Times New Roman;sans-serif"/>
          <w:b w:val="false"/>
          <w:color w:val="000000"/>
          <w:sz w:val="20"/>
        </w:rPr>
        <w:t xml:space="preserve">Mr. Dolinko holds a Bachelor’s degree from UCLA and J.D. from the USC School of Law. </w:t>
      </w:r>
    </w:p>
    <w:p>
      <w:pPr>
        <w:pStyle w:val="TextBody"/>
        <w:spacing w:lineRule="auto" w:line="288" w:before="120" w:after="283"/>
        <w:rPr/>
      </w:pPr>
      <w:r>
        <w:rPr>
          <w:rFonts w:ascii="Times New Roman;sans-serif" w:hAnsi="Times New Roman;sans-serif"/>
          <w:b/>
          <w:i/>
          <w:color w:val="000000"/>
          <w:sz w:val="20"/>
        </w:rPr>
        <w:t>Nathan Dickerman.</w:t>
      </w:r>
      <w:r>
        <w:rPr>
          <w:color w:val="000000"/>
        </w:rPr>
        <w:t xml:space="preserve"> </w:t>
      </w:r>
      <w:r>
        <w:rPr>
          <w:rFonts w:ascii="Times New Roman;sans-serif" w:hAnsi="Times New Roman;sans-serif"/>
          <w:b w:val="false"/>
          <w:color w:val="000000"/>
          <w:sz w:val="20"/>
        </w:rPr>
        <w:t>Nathan Dickerman has been serving as our President of Field Operations since April 2021. Previously, Mr. Dickerman was the Chief Commercial Officer at Planet Labs, a satellite data company, from July 2018 to April 2021. Prior to this appointment, Mr. Dickerman served as Vice President of Worldwide Sales at AppDirect, a software company, from June 2017 to July 2018, Senior Director of Manufacturing Software Sales for North America at Autodesk, a software company, from February 2012 to May 2017, and Vice President of Software Sales at PTC, a software company, from August 2006 to February 2012. Mr. Dickerman holds a Bachelor of Science degree in Economics and a Masters of Business Administration with a concentration in marketing management from Santa Clara University.</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Non-Employee Directors</w:t>
      </w:r>
    </w:p>
    <w:p>
      <w:pPr>
        <w:pStyle w:val="TextBody"/>
        <w:spacing w:lineRule="auto" w:line="288" w:before="120" w:after="283"/>
        <w:rPr/>
      </w:pPr>
      <w:r>
        <w:rPr>
          <w:rFonts w:ascii="Times New Roman;sans-serif" w:hAnsi="Times New Roman;sans-serif"/>
          <w:b/>
          <w:i/>
          <w:color w:val="000000"/>
          <w:sz w:val="20"/>
        </w:rPr>
        <w:t xml:space="preserve">Susan Heystee. </w:t>
      </w:r>
      <w:r>
        <w:rPr>
          <w:rFonts w:ascii="Times New Roman;sans-serif" w:hAnsi="Times New Roman;sans-serif"/>
          <w:b w:val="false"/>
          <w:color w:val="000000"/>
          <w:sz w:val="20"/>
        </w:rPr>
        <w:t>Susan Heystee has been serving as a member of our board of directors since September 2018 and as chair our board of directors since August 2021. She previously served as our Interim Chief Revenue Officer from January 2021 to July 2021. Previously, Ms. Heystee was Senior Vice President of Global Automotive Business at Verizon Connect from January 2017 to June 2018. Previously,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since May 2021. Ms. Heystee holds Bachelors degrees in mathematics and business from the University of Waterloo and an executive M.B.A. to Advanced Management Program Certificate from Harvard Business School. We believe that Ms. Heystee is qualified to serve as a member of our board of directors due to her extensive experience in the technology sector and knowledge of market driven strategies.</w:t>
      </w:r>
    </w:p>
    <w:p>
      <w:pPr>
        <w:pStyle w:val="TextBody"/>
        <w:spacing w:lineRule="auto" w:line="288" w:before="120" w:after="283"/>
        <w:rPr/>
      </w:pPr>
      <w:r>
        <w:rPr>
          <w:rFonts w:ascii="Times New Roman;sans-serif" w:hAnsi="Times New Roman;sans-serif"/>
          <w:b/>
          <w:i/>
          <w:color w:val="000000"/>
          <w:sz w:val="20"/>
        </w:rPr>
        <w:t>Jorge del Calvo.</w:t>
      </w:r>
      <w:r>
        <w:rPr>
          <w:color w:val="000000"/>
        </w:rPr>
        <w:t xml:space="preserve"> </w:t>
      </w:r>
      <w:r>
        <w:rPr>
          <w:rFonts w:ascii="Times New Roman;sans-serif" w:hAnsi="Times New Roman;sans-serif"/>
          <w:b w:val="false"/>
          <w:color w:val="000000"/>
          <w:sz w:val="20"/>
        </w:rPr>
        <w:t>Jorge del Calvo has served on our board of directors since the consummation of the Business Combination. Mr. del Calvo was a partner at Pillsbury Winthrop Shaw Pittman, LLP, a global law firm, from 1990 through January 31, 2022, and previously served as a member of its Managing Board and as Chair of its Finance Committee. He also serves on the board of a private foundation. Mr. del Calvo has a B.A. in History from Stanford University, an M.A. in History from UCLA, an M.P.P. in Public Policy from the John F. Kennedy School of Government at Harvard University, and a J.D. from Harvard Law School. We believe Mr. del Calvo is qualified to serve as a member of our board of directors due to his extensive experience representing public and private technology companies and advising their boards and committees, as well as his knowledge of business, legal and governance issues faced by public companies.</w:t>
      </w:r>
    </w:p>
    <w:p>
      <w:pPr>
        <w:pStyle w:val="TextBody"/>
        <w:spacing w:lineRule="auto" w:line="288" w:before="120" w:after="283"/>
        <w:rPr/>
      </w:pPr>
      <w:r>
        <w:rPr>
          <w:rFonts w:ascii="Times New Roman;sans-serif" w:hAnsi="Times New Roman;sans-serif"/>
          <w:b/>
          <w:i/>
          <w:color w:val="000000"/>
          <w:sz w:val="20"/>
        </w:rPr>
        <w:t>Emmanuel Hernandez.</w:t>
      </w:r>
      <w:r>
        <w:rPr>
          <w:color w:val="000000"/>
        </w:rPr>
        <w:t xml:space="preserve"> </w:t>
      </w:r>
      <w:r>
        <w:rPr>
          <w:rFonts w:ascii="Times New Roman;sans-serif" w:hAnsi="Times New Roman;sans-serif"/>
          <w:b w:val="false"/>
          <w:color w:val="000000"/>
          <w:sz w:val="20"/>
        </w:rPr>
        <w:t>Emmanuel Hernandez has been serving on our board of directors since the consummation of the Business Combination. Mr. Hernandez has served as a director of Rodgers Silicon Valley Acquisition Corp. from December 2020 to July 2021, of Enovix Corporation (including as Chair of the Audit Committee), since July 2021, of BrainChip, Inc. (including its Audit &amp; Governance Committee and Remuneration &amp; Nomination Committee) since June 2017, of Aruba Networks, Inc. since 2006, and of ON Semiconductor Corp (including its Audit Committee and Corporate Governance and Nominating Committee) since November 2002. Previously, Mr. Hernandez served as a director and member of the Audit Committee of SunEdison, Inc. from May 2009 to December 2017 and as a director of EnStorage, Inc. from June 2009 to December 2017. Mr. Hernandez was also an operating Partner at Khosla Ventures, a venture capital firm, from May 2010 to January 2013. Prior to joining Khosla Ventures, Mr. Hernandez served as the Chief Financial Officer of SunPower Corporation from April 2005 to November 2008. Prior to April 2005, Mr. Hernandez served for more than 11 years as the Executive Vice President of Finance and Administration and Chief Financial Officer for Cypress Semiconductor, having joined that company in 1993 as its Corporate Controller. Prior to these engagements, Mr. Hernandez held various financial positions with National Semiconductor Corporation from 1976 through 1993. Furthermore, Mr. Hernandez has served as a director of The Manny &amp; Cecile Hernandez Charitable Foundation since 2013. Mr. Hernandez holds a Bachelor of Science degree in Commerce from the University of Nueva Caceres and an M.B.A. from Golden Gate University. We believe that Mr. Hernandez is qualified to serve as a member of our board of directors due to his experience as a director and financial officer for multiple public technology companies and his over 40 years of finance and operations experience in high tech businesses.</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pPr>
      <w:r>
        <w:rPr>
          <w:rFonts w:ascii="Times New Roman;sans-serif" w:hAnsi="Times New Roman;sans-serif"/>
          <w:b/>
          <w:i/>
          <w:color w:val="000000"/>
          <w:sz w:val="20"/>
        </w:rPr>
        <w:t>Sundari Mitra.</w:t>
      </w:r>
      <w:r>
        <w:rPr>
          <w:color w:val="000000"/>
        </w:rPr>
        <w:t xml:space="preserve"> </w:t>
      </w:r>
      <w:r>
        <w:rPr>
          <w:rFonts w:ascii="Times New Roman;sans-serif" w:hAnsi="Times New Roman;sans-serif"/>
          <w:b w:val="false"/>
          <w:color w:val="000000"/>
          <w:sz w:val="20"/>
        </w:rPr>
        <w:t>Sundari Mitra has been serving as a member of our board of directors since the consummation of the Business Combination. Ms. Mitra has served as Corporate Vice President of Intel Corporation since September 2018. Previously, Ms. Mitra was the Chief Executive Officer and a director at NetSpeed Systems from December 2011 to September 2018. Prior to this appointment, Ms. Mitra was Executive Vice President of Engineering at Mosys, Inc. from June 2009 to August 2011. Before Mosys, Ms. Mitra founded and served as Chief Executive Officer of Prism Circuits from its inception in February 2006 until Mosys, Inc.’s acquisition of Prism Circuits in June 2009. Prior to founding Prism Circuits, Ms. Mitra served as a Director of Engineering at Sun Microsystems, Inc. from June 2002 to August 2004. Ms. Mitra holds a Master of Science degree in Electrical Engineering from the University of Illinois and a Bachelor of Science degree in Electrical Engineering from Baroda University in India. We believe that Ms. Mitra is qualified to serve as a member of our board of directors due to her experience in the technology background and technical background in engineering.</w:t>
      </w:r>
    </w:p>
    <w:p>
      <w:pPr>
        <w:pStyle w:val="TextBody"/>
        <w:spacing w:lineRule="auto" w:line="288" w:before="120" w:after="283"/>
        <w:rPr/>
      </w:pPr>
      <w:r>
        <w:rPr>
          <w:rFonts w:ascii="Times New Roman;sans-serif" w:hAnsi="Times New Roman;sans-serif"/>
          <w:b/>
          <w:i/>
          <w:color w:val="000000"/>
          <w:sz w:val="20"/>
        </w:rPr>
        <w:t xml:space="preserve">Karin Rådström. </w:t>
      </w:r>
      <w:r>
        <w:rPr>
          <w:rFonts w:ascii="Times New Roman;sans-serif" w:hAnsi="Times New Roman;sans-serif"/>
          <w:b w:val="false"/>
          <w:color w:val="000000"/>
          <w:sz w:val="20"/>
        </w:rPr>
        <w:t>Karin Rådström has been serving as a member of our board of directors since October 2021. Ms. Rådström has served as Chief Executive Officer of Mercedes-Benz Trucks and a member of the Board of Management of Daimler Truck AG, Germany, both truck manufacturers since February 2021 and as a member of the Supervisory Board of Piab AB, Sweden, a manufacturer of vacuum pumps, since June 2019. From March 2019 to January 2021, Ms. Rådström served as Head of Sales and Marketing and as a member of the Executive Board of Scania CV AB (“Scania”), a commercial vehicle manufacturer. She previously served as Senior Vice President, Head of Buses and Coaches of Scania from November 2016 to February 2019 and as Director of Pre-Sales and Marketing Communication of Scania East Africa Ltd. from October 2014 to December 2015. Ms. Rådström brings significant sales and marketing experience at large commercial vehicle manufacturers to the Company’s Board and her broad knowledge on technological transformation in the automotive industry is expected to be beneficial to Ouster’s Board.</w:t>
      </w:r>
    </w:p>
    <w:p>
      <w:pPr>
        <w:pStyle w:val="TextBody"/>
        <w:spacing w:lineRule="auto" w:line="288" w:before="120" w:after="283"/>
        <w:rPr/>
      </w:pPr>
      <w:r>
        <w:rPr>
          <w:rFonts w:ascii="Times New Roman;sans-serif" w:hAnsi="Times New Roman;sans-serif"/>
          <w:b/>
          <w:i/>
          <w:color w:val="000000"/>
          <w:sz w:val="20"/>
        </w:rPr>
        <w:t>Remy W. Trafelet.</w:t>
      </w:r>
      <w:r>
        <w:rPr>
          <w:color w:val="000000"/>
        </w:rPr>
        <w:t xml:space="preserve"> </w:t>
      </w:r>
      <w:r>
        <w:rPr>
          <w:rFonts w:ascii="Times New Roman;sans-serif" w:hAnsi="Times New Roman;sans-serif"/>
          <w:b w:val="false"/>
          <w:color w:val="000000"/>
          <w:sz w:val="20"/>
        </w:rPr>
        <w:t>Remy W. Trafelet has been serving as a member of our board of directors since the consummation of the Business Combination after serving as the Chief Executive Officer and a director of CLA since its inception. Mr. Trafelet is President and Chief Executive Officer of Trafelet &amp; Company, LLC, a private investment firm that invests across a broad range of asset classes and industries, including financial services, energy, technology and agriculture. Mr. Trafelet began his career in 1992 as an analyst at Fidelity Management and Research Company where he became a portfolio manager at age 25. In 2000, Mr. Trafelet formed Trafelet Delta Funds, which managed several long/short equity portfolios. The firm grew to over $5.5 billion in assets under management with offices in New York and London. In 2009, Mr. Trafelet spun off the firm’s London operations to Habrok Capital Management, a global long/short equity hedge fund. Mr. Trafelet is the Founder and Chairman of Hazeltree Fund Services, a FinTech company providing treasury solutions to more than 200 financial institutions with over $2.0 trillion of assets under advisory. From 2016 to 2019, Mr. Trafelet served as President and Chief Executive Officer of Alico Inc. (NASDAQ: ALCO), an agribusiness holding company. During his tenure, Mr. Trafelet implemented a corporate restructuring and operating efficiency program, which improved the company’s return on capital employed. Mr. Trafelet is a Trustee and Chairman of the Investment Committee for the Boys’ Club of New York and also serves as a member of the board for the Children’s Scholarship Fund. He is a former Trustee and Chairman of the Investment Committee of Phillips Exeter Academy. Mr. Trafelet is also a former Trustee for The Eaglebrook School, and a board member of the Atlantic Salmon Federation. Mr. Trafelet graduated from Phillips Exeter Academy and earned an A.B. from Dartmouth College, where he graduated with honors and was named a Presidential Scholar. Mr. Trafelet is a Chartered Financial Analyst. We believe Mr. Trafelet is well qualified to sit on our board due to his extensive and successful capital markets, investment and valuation experience.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executive officers or directors.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Governance Documents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good corporate governance is important to ensure that Ouster is managed for the long-term benefit of our stockholders. Our Nominating and Corporate Governance Committee will periodically review and reassess our Governance Guidelines, other governance documents and overall governance structure. Complete copies of our current committee charters, our Corporate Governance Guidelines and our Code of Business Conduct and Ethics are available on our website under the “Governance” section at https://investors.ouster.com/, or by writing to our Secretary at our offices at 350 Treat Avenue, San Francisco, CA 94110.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2021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2021 other than two Form 4s reporting seven late transactions for Susan Heystee, one Form 4 reporting four late transactions for Jorge del Calvo, one Form 4 reporting four late transactions for Emmanuel Hernandez, one Form 4 reporting one late transaction for Karin Rådström, one Form 4 reporting four late transactions for Sundari Mitra, one Form 4 reporting four late transactions for Remy Trafelet, and one Form 4 reporting one late transaction for Nathan Dickerman which were inadvertently late due to administrative error.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Board Composition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current authorized number of directors is seven. Our Certificate of Incorporation and Bylaws provide that the authorized number of directors may be changed only by resolution of our board of directors. Our board of directors is divided into three classes of directors, with staggered terms of three years each and holding office until his or her successor is duly elected and qualified, or until his or her earlier death, resignation or removal. The term of one class expires at each annual meeting of the stockholders; thus, directors typically stand for election after three years, unless they are filling an unexpired term. Any additional directorships resulting from an increase in the number of directors will be distributed among the three classes so that, as nearly as possible, each class will consist of one-third of the directors.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Emmanuel Hernandez, Susan Heystee and Remy W. Trafelet, with Emmanuel Hernandez serving as the chair of the committee. Our board of directors has determined that each of these individuals meets the independence requirements of the Sarbanes-Oxley Act, Rule 10A-3 under the Exchange Act and the applicable listing standards of the NYSE. Each member of our audit committee meets the requirements for financial literacy under the applicable NYSE rules. In arriving at this determination, the board has examined each audit committee member’s scope of experience and the nature of their prior or current employment.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Emmanuel Hernandez qualifies as an audit committee financial expert within the meaning of SEC regulations and meets the financial sophistication requirements of the NYSE rules. In making this determination, our board of directors considered Emmanuel Hernandez’s formal education and previous and current experience in financial and accounting roles. Both our independent registered public accounting firm and management periodically meet privately with our audit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audit committee’s responsibilities include, among other things: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appointing, compensating, retaining, evaluating, terminating and overseeing our independent registered public accounting firm;</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discussing with our independent registered public accounting firm their independence from management;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with our independent registered public accounting firm the scope and results of their audit;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pre-approving all audit and permissible non-audit services to be performed by our independent registered public accounting firm;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overseeing the financial reporting process and discussing with management and our independent registered public accounting firm the interim and annual financial statements that we file with the SEC;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reviewing and monitoring our accounting principles, accounting policies, financial and accounting controls and compliance with legal and regulatory requirements;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establishing procedures for the confidential anonymous submission of concerns regarding questionable accounting, internal controls or auditing matters.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consists of Susan Heystee, Jorge del Calvo and Emmanuel Hernandez, with Susan Heystee serving as the chair of the committee. Susan Heystee, Jorge del Calvo and Emmanuel Hernandez are non-employee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directors, as defined in Rule 16b-3 promulgated under the Exchange Act. Our board of directors has determined that Susan Heystee, Jorge del Calvo and Emmanuel Hernandez are “independent” as defined under the applicable NYSE listing standards, including the standards specific to members of a compensation committee. The compensation committee’s responsibilities include, among other things: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and approving corporate goals and objectives relevant to the compensation of our Chief Executive Officer, evaluating the performance of our Chief Executive Officer in light of these goals and objectives and setting or making recommendations to our board of directors regarding the compensation of our Chief Executive Officer;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and setting or making recommendations to our board of directors regarding the compensation of our other executive officers;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making recommendations to our board of directors regarding the compensation of our directors;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and approving or making recommendations to our board of directors regarding our incentive compensation and equity-based plans and arrangements;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appointing and overseeing any compensation consultants.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the composition and functioning of our compensation committee meets the requirements for independence under the current NYSE listing standards.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Jorge del Calvo, Sundari Mitra and Karin Rådström, with Jorge del Calvo serving as the chair of the committee. Our board of directors has determined that each of these individuals is “independent” as defined under the applicable listing standards of the NYSE and SEC rules and regulations.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committee’s responsibilities include, among other things: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identifying individuals qualified to become members of our board of directors, consistent with criteria approved by our board of directors;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recommending to our board of directors the nominees for election to our board of directors at annual meetings of our stockholders;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overseeing an evaluation of our board of directors and its committees;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developing and recommending to our board of directors a set of corporate governance guidelines.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believe that the composition and functioning of our nominating and corporate governance committee meets the requirements for independence under the current NYSE listing standards.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from time to time establish other committees.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Code of Ethics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a code of ethics that applies to all of our executive officers, directors and employees, including our principal executive officer, principal financial officer, principal accounting officer or controller or persons performing similar functions. The code of ethics are available on our website, www.ouster.com. We intend to make any legally required disclosures regarding amendments to, or waivers of, provisions of our code of ethics on our website rather than by filing a Current Report on Form 8-K. We granted no waivers under our code of ethics in 2021. The information contained on our website is not incorporated by reference into this Annual Report on Form 10</w:t>
        <w:noBreakHyphen/>
        <w:t>K.</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Role of the Board in Risk Oversight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The Compensation Committee is responsible for overseeing the management of risks relating to our executive compensation plans and arrangements. The Audit Committee is responsible for overseeing the management of financial and cybersecurity risks. The Nominating and Corporate Governance Committee is responsible for overseeing the management of risks associated with the independence of our board of directors and other corporate governance matters.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Compensation Discussion and Analysis (“CD&amp;A”) set forth below, we provide an overview and analysis of the compensation awarded to or earned by our named executive officers identified in the Summary Compensation Table below during fiscal 2021, including the elements of our compensation program for named executive officers, material compensation decisions made under that program for fiscal 2021 and the material factors considered in making those decisions. Our named executive officers for the year ended December 31, 2021, which consist of our principal executive officer, our principal financial officer and our three most other highly compensated executive officers for fiscal year 2021 (collectively, the “named executive officers”) are: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Angus Pacala, who serves as Chief Executive Officer and is our principal executive officer;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Anna Brunelle, who serves as Chief Financial Officer and is our principal financial officer;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Darien Spencer, who serves as Executive Vice President of Global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Nathan Dickerman, who serves as President of Field Operations; and</w:t>
      </w:r>
    </w:p>
    <w:p>
      <w:pPr>
        <w:pStyle w:val="TextBody"/>
        <w:spacing w:lineRule="auto" w:line="288" w:before="60" w:after="200"/>
        <w:ind w:left="0" w:right="0" w:hanging="360"/>
        <w:rPr/>
      </w:pPr>
      <w:r>
        <w:rPr>
          <w:color w:val="000000"/>
        </w:rPr>
        <w:t>•</w:t>
      </w:r>
      <w:r>
        <w:rPr>
          <w:rFonts w:ascii="Times New Roman;sans-serif" w:hAnsi="Times New Roman;sans-serif"/>
          <w:b w:val="false"/>
          <w:color w:val="000000"/>
          <w:sz w:val="20"/>
        </w:rPr>
        <w:t xml:space="preserve">Adam Dolinko, who serves as General Counsel.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also describes the actions and decisions of the compensation committee of our board of directors as it relates to fiscal 2021 compensation decisions that were made on and following March 11, 2021, the date the business combination among Ouster, Inc. (“Old Ouster”), Colonnade Acquisition Corp. and Beam Merger Sub Inc. (the “Business Combination”) was completed. This section also describes the actions and decisions of the board of directors of Old Ouster as it relates to fiscal 2021 compensation decisions that were made prior to March 11, 2021.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Details of our Compensation Program</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Compensation Philosophy, Objectives and Rewards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has been designed to attract, motivate and retain results-oriented talent deemed essential to ensure our success. The program seeks to align executive compensation with our short-and long-term objectives, business strategy and financial performance. Our compensation objectives are designed to support these goals by: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Tying realized compensation with the success of Ouster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Rewarding individual contribution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Providing future oriented incentives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Striking an appropriate balance between internal equity and external competitiveness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works with Pay Governance, the compensation committee’s compensation consultant, to formalize our compensation philosophy and implement compensation arrangements that reflect that philosophy.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Determination of Compensation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fiscal 2021, Old Ouster’s board of directors made compensation decisions with respect to our named executive officers prior to March 11, 2021 and our compensation committee made compensation decisions with respect to our named executive officers on and after March 11, 2021. In each case the board of directors and compensation committee took into account recommendations from Pay Governance, its compensation consultant, and, other than with respect to his own compensation, our chief executive officer.</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Role of Compensation Consultant in Determining Executive Compensation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When making compensation decisions in fiscal 2021, Old Ouster’s board of directors and our compensation committee considered advice and data provided by Pay Governance and reviewed compensation data from the public filings for the following companies:</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tbl>
      <w:tblPr>
        <w:tblW w:w="4858" w:type="dxa"/>
        <w:jc w:val="left"/>
        <w:tblInd w:w="0" w:type="dxa"/>
        <w:tblCellMar>
          <w:top w:w="28" w:type="dxa"/>
          <w:left w:w="28" w:type="dxa"/>
          <w:bottom w:w="28" w:type="dxa"/>
          <w:right w:w="28" w:type="dxa"/>
        </w:tblCellMar>
      </w:tblPr>
      <w:tblGrid>
        <w:gridCol w:w="825"/>
        <w:gridCol w:w="725"/>
        <w:gridCol w:w="729"/>
        <w:gridCol w:w="754"/>
        <w:gridCol w:w="754"/>
        <w:gridCol w:w="1071"/>
      </w:tblGrid>
      <w:tr>
        <w:trPr/>
        <w:tc>
          <w:tcPr>
            <w:tcW w:w="8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Chargepoint Holdings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Luminar Technologies,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SiTime Corporation</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Romeo Power,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Aeva Technologies,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Lidar,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AEye,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PDF Solutions,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Canoo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FuelCell Energy,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EOS Energy</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Veritone,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Fisker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ShotSpotter,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QuantumScape Corporation</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Kopin Corporation</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 Galactic Holdings, Inc.</w:t>
            </w:r>
          </w:p>
        </w:tc>
      </w:tr>
      <w:tr>
        <w:trPr/>
        <w:tc>
          <w:tcPr>
            <w:tcW w:w="2279"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908 Devices Inc.</w:t>
            </w:r>
          </w:p>
        </w:tc>
        <w:tc>
          <w:tcPr>
            <w:tcW w:w="2579"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Atomera Incorporated</w:t>
            </w:r>
          </w:p>
        </w:tc>
      </w:tr>
      <w:tr>
        <w:trPr/>
        <w:tc>
          <w:tcPr>
            <w:tcW w:w="2279" w:type="dxa"/>
            <w:gridSpan w:val="3"/>
            <w:tcBorders>
              <w:top w:val="single" w:sz="8" w:space="0" w:color="000000"/>
              <w:left w:val="single" w:sz="8" w:space="0" w:color="000000"/>
              <w:bottom w:val="single" w:sz="8"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XL Fleet Corp.</w:t>
            </w:r>
          </w:p>
        </w:tc>
        <w:tc>
          <w:tcPr>
            <w:tcW w:w="2579"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reviewed our named executive officer compensation against this peer group to ensure that our named executive officer compensation is competitive and sufficient to recruit and retain our named executive officers. While the compensation committee considered this data in evaluating named executive officer compensation, we did not seek to benchmark our named executive officer compensation to any particular level.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expects to periodically review and update this peer group and to utilize Pay Governance for benchmarking and peer group analysis in determining and developing compensation packages for our named executive officers.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Role of Executive Officers in Determining Executive Compensation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technology officer, each of whom is our co-founder, made recommendations to the Old Ouster board of directors and to our compensation committee to assist in determining fiscal 2021 compensation levels, other than with respect to his own compensation. While the Old Ouster board of directors and our compensation committee utilized this information, the ultimate decisions regarding fiscal 2021 executive compensation were made by the Old Ouster board of directors and our compensation committee as applicable.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Elements of Our Executive Compensation Program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our executive compensation program consisted of the following elements, each established as part of our program in order to achieve the compensation objective specified below:</w:t>
      </w:r>
    </w:p>
    <w:tbl>
      <w:tblPr>
        <w:tblW w:w="10205" w:type="dxa"/>
        <w:jc w:val="left"/>
        <w:tblInd w:w="0" w:type="dxa"/>
        <w:tblCellMar>
          <w:top w:w="28" w:type="dxa"/>
          <w:left w:w="28" w:type="dxa"/>
          <w:bottom w:w="28" w:type="dxa"/>
          <w:right w:w="28" w:type="dxa"/>
        </w:tblCellMar>
      </w:tblPr>
      <w:tblGrid>
        <w:gridCol w:w="1090"/>
        <w:gridCol w:w="960"/>
        <w:gridCol w:w="961"/>
        <w:gridCol w:w="2102"/>
        <w:gridCol w:w="2102"/>
        <w:gridCol w:w="2990"/>
      </w:tblGrid>
      <w:tr>
        <w:trPr/>
        <w:tc>
          <w:tcPr>
            <w:tcW w:w="109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r>
      <w:tr>
        <w:trPr/>
        <w:tc>
          <w:tcPr>
            <w:tcW w:w="30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Compensation Element</w:t>
            </w:r>
          </w:p>
        </w:tc>
        <w:tc>
          <w:tcPr>
            <w:tcW w:w="71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Compensation Objectives Designed to be Achieved and Key Features</w:t>
            </w:r>
          </w:p>
        </w:tc>
      </w:tr>
      <w:tr>
        <w:trPr/>
        <w:tc>
          <w:tcPr>
            <w:tcW w:w="3011"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Base Salary</w:t>
            </w:r>
          </w:p>
        </w:tc>
        <w:tc>
          <w:tcPr>
            <w:tcW w:w="7194"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Base salary attracts and retains talented executives, recognizes individual roles and responsibilities and provides stable income</w:t>
            </w:r>
          </w:p>
        </w:tc>
      </w:tr>
      <w:tr>
        <w:trPr/>
        <w:tc>
          <w:tcPr>
            <w:tcW w:w="3011"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Cash-Based Incentive Compensation</w:t>
            </w:r>
          </w:p>
        </w:tc>
        <w:tc>
          <w:tcPr>
            <w:tcW w:w="7194"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Directly ties pay to key financial metric, which we believe will lead to sustained value for all stakeholders over the long term.</w:t>
            </w:r>
          </w:p>
        </w:tc>
      </w:tr>
      <w:tr>
        <w:trPr/>
        <w:tc>
          <w:tcPr>
            <w:tcW w:w="3011"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w:t>
            </w:r>
          </w:p>
        </w:tc>
        <w:tc>
          <w:tcPr>
            <w:tcW w:w="7194"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provided in the form of stock options and restricted stock units, reinforces the importance of a long-term, ownership orientation, creates alignment with our stockholders, and promotes retention. Equity-based compensation is the most significant portion of compensation for our executives.</w:t>
            </w:r>
          </w:p>
        </w:tc>
      </w:tr>
      <w:tr>
        <w:trPr/>
        <w:tc>
          <w:tcPr>
            <w:tcW w:w="3011"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Benefits Potentially Payable upon Termination of Employment or Change in Control</w:t>
            </w:r>
          </w:p>
        </w:tc>
        <w:tc>
          <w:tcPr>
            <w:tcW w:w="7194" w:type="dxa"/>
            <w:gridSpan w:val="3"/>
            <w:tcBorders>
              <w:top w:val="single" w:sz="8" w:space="0" w:color="000000"/>
              <w:left w:val="single" w:sz="8" w:space="0" w:color="000000"/>
              <w:right w:val="single" w:sz="8"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Provides our executives security to focus on executing our strategies.</w:t>
            </w:r>
          </w:p>
        </w:tc>
      </w:tr>
      <w:tr>
        <w:trPr/>
        <w:tc>
          <w:tcPr>
            <w:tcW w:w="3011" w:type="dxa"/>
            <w:gridSpan w:val="3"/>
            <w:tcBorders>
              <w:top w:val="single" w:sz="8" w:space="0" w:color="000000"/>
              <w:left w:val="single" w:sz="8" w:space="0" w:color="000000"/>
              <w:bottom w:val="single" w:sz="8"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Health and Welfare Benefits</w:t>
            </w:r>
          </w:p>
        </w:tc>
        <w:tc>
          <w:tcPr>
            <w:tcW w:w="7194" w:type="dxa"/>
            <w:gridSpan w:val="3"/>
            <w:tcBorders>
              <w:top w:val="single" w:sz="8" w:space="0" w:color="000000"/>
              <w:left w:val="single" w:sz="8" w:space="0" w:color="000000"/>
              <w:bottom w:val="single" w:sz="8" w:space="0" w:color="000000"/>
              <w:right w:val="single" w:sz="8" w:space="0" w:color="000000"/>
            </w:tcBorders>
            <w:shd w:fill="auto" w:val="clear"/>
            <w:tcMar>
              <w:top w:w="30" w:type="dxa"/>
              <w:left w:w="75" w:type="dxa"/>
              <w:bottom w:w="3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Rounds out a competitive compensation package and aids in retaining our executives.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and we do not expect to have, formal policies relating to the allocation of total compensation among the various elements of our compensation program.</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Base Salaries</w:t>
      </w:r>
    </w:p>
    <w:p>
      <w:pPr>
        <w:pStyle w:val="TextBody"/>
        <w:spacing w:lineRule="auto" w:line="288" w:before="120" w:after="283"/>
        <w:rPr/>
      </w:pPr>
      <w:r>
        <w:rPr>
          <w:rFonts w:ascii="Times New Roman;sans-serif" w:hAnsi="Times New Roman;sans-serif"/>
          <w:b w:val="false"/>
          <w:color w:val="000000"/>
          <w:sz w:val="20"/>
        </w:rPr>
        <w:t>The base salaries of our named executive officers are an important part of their total compensation package, and are intended to reflect their respective positions, duties and responsibilities. Base salary is a visible and stable fixed component of our compensation program. Base salaries for our named executive officers were initially established through arms-length negotiation at the time an executive was hired. Our compensation committee reviews the annual base salaries of each of our named executive officers periodically, referring to the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percentile of similar positions at our peer group of companies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or, if no similar positions are included in our peer group of companies, general market surveys when adjusting annual base salaries.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base salaries of our named executive officers for fiscal 2021: </w:t>
      </w:r>
    </w:p>
    <w:p>
      <w:pPr>
        <w:pStyle w:val="TextBody"/>
        <w:spacing w:lineRule="auto" w:line="288" w:before="360" w:after="283"/>
        <w:rPr/>
      </w:pPr>
      <w:r>
        <w:rPr>
          <w:color w:val="000000"/>
        </w:rPr>
        <w:t>    </w:t>
      </w:r>
      <w:r>
        <w:rPr>
          <w:rFonts w:ascii="Times New Roman;sans-serif" w:hAnsi="Times New Roman;sans-serif"/>
          <w:b/>
          <w:color w:val="000000"/>
          <w:sz w:val="20"/>
          <w:u w:val="single"/>
        </w:rPr>
        <w:t>Named Executive Officer</w:t>
      </w:r>
      <w:r>
        <w:rPr>
          <w:color w:val="000000"/>
        </w:rPr>
        <w:t xml:space="preserve"> </w:t>
      </w:r>
      <w:r>
        <w:rPr>
          <w:rFonts w:ascii="Times New Roman;sans-serif" w:hAnsi="Times New Roman;sans-serif"/>
          <w:b/>
          <w:color w:val="000000"/>
          <w:sz w:val="20"/>
          <w:u w:val="single"/>
        </w:rPr>
        <w:t>Fiscal 2021 Base Salary</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Angus Pacala............................................................$180,000</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Anna Brunelle...........................................................$325,000</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Darien Spencer..........................................................$310,000</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Nathan Dickerman....................................................$325,000</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Adam Dolinko..........................................................$325,000</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Cash-Based Incentive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consider annual cash incentive bonuses to be an important component of our total compensation program and provides incentives necessary to retain and motivate named executive officers other than our chief executive officer, for whom historically we have relied on equity compensation, and our president of field operations, who participates in a sales incentive compensation plan. Other than our chief executive officer and president of field operations, each named executive officer is eligible to receive an annual performance-based cash bonus based on a specified target annual bonus award amount, expressed as a percentage of the named executive officer’s base salary. Our president of field operations participates in a sales incentive plan that provides him the opportunity to earn up to 100% of his annual base salary. In fiscal 2021, our named executive officers participated in our annual cash incentive bonus program at the following target percentages of base salary:</w:t>
      </w:r>
    </w:p>
    <w:p>
      <w:pPr>
        <w:pStyle w:val="TextBody"/>
        <w:spacing w:lineRule="auto" w:line="288" w:before="360" w:after="283"/>
        <w:rPr/>
      </w:pPr>
      <w:r>
        <w:rPr>
          <w:color w:val="000000"/>
        </w:rPr>
        <w:t>    </w:t>
      </w:r>
      <w:r>
        <w:rPr>
          <w:rFonts w:ascii="Times New Roman;sans-serif" w:hAnsi="Times New Roman;sans-serif"/>
          <w:b/>
          <w:color w:val="000000"/>
          <w:sz w:val="20"/>
          <w:u w:val="single"/>
        </w:rPr>
        <w:t>Named Executive Officer</w:t>
      </w:r>
      <w:r>
        <w:rPr>
          <w:color w:val="000000"/>
        </w:rPr>
        <w:t xml:space="preserve"> </w:t>
      </w:r>
      <w:r>
        <w:rPr>
          <w:rFonts w:ascii="Times New Roman;sans-serif" w:hAnsi="Times New Roman;sans-serif"/>
          <w:b/>
          <w:color w:val="000000"/>
          <w:sz w:val="20"/>
          <w:u w:val="single"/>
        </w:rPr>
        <w:t>Target Percentage</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Anna Brunelle...........................................................31.00%</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Darien Spencer..........................................................30.00%</w:t>
      </w:r>
    </w:p>
    <w:p>
      <w:pPr>
        <w:pStyle w:val="TextBody"/>
        <w:spacing w:lineRule="auto" w:line="288" w:before="60" w:after="283"/>
        <w:rPr>
          <w:color w:val="000000"/>
        </w:rPr>
      </w:pPr>
      <w:r>
        <w:rPr>
          <w:color w:val="000000"/>
        </w:rPr>
        <w:t>    </w:t>
      </w:r>
      <w:r>
        <w:rPr>
          <w:rFonts w:ascii="Times New Roman;sans-serif" w:hAnsi="Times New Roman;sans-serif"/>
          <w:b w:val="false"/>
          <w:color w:val="000000"/>
          <w:sz w:val="20"/>
        </w:rPr>
        <w:t>Nathan Dickerman..................................................100.00%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Mr. Dolinko commenced employment with us in December 2021 and his target annual bonus opportunity was established at 30% of his base salary commencing in 2022. Mr. Dolinko did not participate in our annual cash incentive bonus program for 2021. For 2022, we have adopted a similar annual performance-based cash bonus program for Ms. Brunelle and Messrs. Spencer and Dolinko and a similar sales incentive compensation plan for Mr. Dickerman.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2021, our annual cash incentive bonus program provided Ms. Brunelle and Mr. Spencer an opportunity to earn their full target bonus opportunity based on the achievement of annual gross revenue of $34 million. The formula for determining the amount of an executive’s target bonus opportunity earned was as follows:</w:t>
      </w:r>
    </w:p>
    <w:p>
      <w:pPr>
        <w:pStyle w:val="TextBody"/>
        <w:spacing w:lineRule="auto" w:line="288" w:before="120" w:after="283"/>
        <w:rPr>
          <w:color w:val="000000"/>
        </w:rPr>
      </w:pPr>
      <w:r>
        <w:rPr>
          <w:color w:val="000000"/>
        </w:rPr>
        <w:t>    </w:t>
      </w:r>
      <w:r>
        <w:rPr>
          <w:rFonts w:ascii="Times New Roman;sans-serif" w:hAnsi="Times New Roman;sans-serif"/>
          <w:b w:val="false"/>
          <w:color w:val="000000"/>
          <w:sz w:val="20"/>
        </w:rPr>
        <w:t>(actual revenue - $26 million) / $8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 bonus would be payable to our named executive officers in the event actual revenue was less than $26 million, and bonuses were capped at 100% of each named executive officer’s target bonus opportunity.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early 2022, our compensation committee determined that our actual revenue for 2021 was $33.48 million, or 93.5% of target, and Ms. Brunelle and Mr. Spencer earned $94,194 and $86,949, respectively, for their 2021 performance-based cash bonuses.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Mr. Dickerman participated in a sales incentive compensation plan that was targeted at 100% of his annual base salary, and included a guaranteed minimum amount of $81,250 for fiscal quarter 2, the quarter Mr. Dickerman commenced employment with us. Mr. Dickerman’s sales incentive opportunity was 40% based on the achievement of quarterly bookings quotas and 60% based on the achievement of quarterly revenue quotas. In addition, Mr. Dickerman had the opportunity to earn up to an additional $150,000 based on the achievement of strategic objectives. The quarterly revenue quotas for fiscal quarters 2, 3 and 4 were $7.8 million, $9.2 million and $10.5 million, respectively. The bookings goals and strategic objectives are intended to be difficult to achieve and require above what we believe to be average performance to meet the goal or objective at target. However, because each of the bookings goals and strategic objectives is related to our business strategy and is highly confidential, we do not publicly disclose them, as we believe their disclosure would provide our competitors, customers and other third-parties with significant insights regarding our confidential business strategies that could cause us substantial harm.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early 2022, our compensation committee determined the following achievement under Mr. Dickerman’s sales incentive compensation plan:</w:t>
      </w:r>
    </w:p>
    <w:tbl>
      <w:tblPr>
        <w:tblW w:w="3449" w:type="dxa"/>
        <w:jc w:val="left"/>
        <w:tblInd w:w="0" w:type="dxa"/>
        <w:tblCellMar>
          <w:top w:w="28" w:type="dxa"/>
          <w:left w:w="28" w:type="dxa"/>
          <w:bottom w:w="28" w:type="dxa"/>
          <w:right w:w="28" w:type="dxa"/>
        </w:tblCellMar>
      </w:tblPr>
      <w:tblGrid>
        <w:gridCol w:w="608"/>
        <w:gridCol w:w="535"/>
        <w:gridCol w:w="536"/>
        <w:gridCol w:w="314"/>
        <w:gridCol w:w="314"/>
        <w:gridCol w:w="316"/>
        <w:gridCol w:w="240"/>
        <w:gridCol w:w="240"/>
        <w:gridCol w:w="34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679"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Category</w:t>
            </w:r>
          </w:p>
        </w:tc>
        <w:tc>
          <w:tcPr>
            <w:tcW w:w="1770" w:type="dxa"/>
            <w:gridSpan w:val="6"/>
            <w:tcBorders>
              <w:top w:val="single" w:sz="8" w:space="0" w:color="000000"/>
              <w:left w:val="single" w:sz="8" w:space="0" w:color="000000"/>
              <w:right w:val="single" w:sz="8"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1679"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rPr/>
            </w:pPr>
            <w:r>
              <w:rPr/>
            </w:r>
          </w:p>
        </w:tc>
        <w:tc>
          <w:tcPr>
            <w:tcW w:w="9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2021</w:t>
            </w:r>
          </w:p>
        </w:tc>
        <w:tc>
          <w:tcPr>
            <w:tcW w:w="82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7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Bookings Goal</w:t>
            </w:r>
          </w:p>
        </w:tc>
        <w:tc>
          <w:tcPr>
            <w:tcW w:w="9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826"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$57,103</w:t>
            </w:r>
          </w:p>
        </w:tc>
      </w:tr>
      <w:tr>
        <w:trPr/>
        <w:tc>
          <w:tcPr>
            <w:tcW w:w="167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Goal</w:t>
            </w:r>
          </w:p>
        </w:tc>
        <w:tc>
          <w:tcPr>
            <w:tcW w:w="9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826"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$91,665</w:t>
            </w:r>
          </w:p>
        </w:tc>
      </w:tr>
      <w:tr>
        <w:trPr/>
        <w:tc>
          <w:tcPr>
            <w:tcW w:w="167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Guaranteed Minimum</w:t>
            </w:r>
          </w:p>
        </w:tc>
        <w:tc>
          <w:tcPr>
            <w:tcW w:w="9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26"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$81,250</w:t>
            </w:r>
          </w:p>
        </w:tc>
      </w:tr>
      <w:tr>
        <w:trPr/>
        <w:tc>
          <w:tcPr>
            <w:tcW w:w="167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Objectives</w:t>
            </w:r>
          </w:p>
        </w:tc>
        <w:tc>
          <w:tcPr>
            <w:tcW w:w="944"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$25,697</w:t>
            </w:r>
          </w:p>
        </w:tc>
      </w:tr>
      <w:tr>
        <w:trPr/>
        <w:tc>
          <w:tcPr>
            <w:tcW w:w="16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left w:val="single" w:sz="4" w:space="0" w:color="000000"/>
              <w:bottom w:val="single" w:sz="4" w:space="0" w:color="000000"/>
              <w:right w:val="single" w:sz="4" w:space="0" w:color="000000"/>
            </w:tcBorders>
            <w:shd w:fill="FFFFFF" w:val="clear"/>
            <w:tcMar>
              <w:top w:w="30" w:type="dxa"/>
              <w:bottom w:w="30" w:type="dxa"/>
              <w:right w:w="75"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$255,715</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2022, we have adopted a similar annual performance-based cash bonus program for Ms. Brunelle and Messrs. Spencer and Dolinko and a similar sales incentive compensation plan for Mr. Dickerman.</w:t>
      </w:r>
    </w:p>
    <w:p>
      <w:pPr>
        <w:pStyle w:val="TextBody"/>
        <w:spacing w:lineRule="auto" w:line="288" w:before="120" w:after="283"/>
        <w:rPr/>
      </w:pPr>
      <w:r>
        <w:rPr>
          <w:rFonts w:ascii="Times New Roman;sans-serif" w:hAnsi="Times New Roman;sans-serif"/>
          <w:b w:val="false"/>
          <w:color w:val="000000"/>
          <w:sz w:val="20"/>
          <w:highlight w:val="white"/>
        </w:rPr>
        <w:t xml:space="preserve">In late 2020, Old Ouster’s board of directors approved a special one-time merit bonus opportunity for Ms. Brunelle and Mr. </w:t>
      </w:r>
      <w:r>
        <w:rPr>
          <w:rFonts w:ascii="Times New Roman;sans-serif" w:hAnsi="Times New Roman;sans-serif"/>
          <w:b w:val="false"/>
          <w:color w:val="000000"/>
          <w:sz w:val="20"/>
        </w:rPr>
        <w:t>Spencer that paid them $150,000 and $75,000, respectively, in the event of the completion of an equity financing, or series of equity financings, providing net proceeds to Old Ouster of at least $50 million or the closing of a change in control, in each case, prior to June 30, 2021. Each of Ms. Brunelle and Mr. Spencer earned the merit bonus upon the closing of our Business Combination.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formal cash incentive programs, our compensation committee may approve discretionary bonuses to be paid to our named executive officers from time to time, when it determines it to be appropriate to reward performance or incentivize future results.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Equity-Based Compensation</w:t>
      </w:r>
    </w:p>
    <w:p>
      <w:pPr>
        <w:pStyle w:val="TextBody"/>
        <w:spacing w:lineRule="auto" w:line="288" w:before="120" w:after="283"/>
        <w:rPr/>
      </w:pPr>
      <w:r>
        <w:rPr>
          <w:rFonts w:ascii="Times New Roman;sans-serif" w:hAnsi="Times New Roman;sans-serif"/>
          <w:b w:val="false"/>
          <w:color w:val="000000"/>
          <w:sz w:val="20"/>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shareholders. We do not currently have any formal policy for determining the number of equity-based awards to grant to named executive officers, though our compensation committee does reference the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percentiles of our peer group of companies when approving annual equity awards.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2021, we did not make an equity grant to Mr. Pacala in light of significant options that were granted to him in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our Business Combination, our compensation committee accelerated the vesting of 50% and 25%, respectively, of the shares of restricted stock held by Ms. Brunelle and Mr. Spencer in light of their significant efforts towards the completion of the Business Combination. Also, in light of their efforts towards our Business Combination, our compensation committee awarded Ms. Brunelle and Mr. Spencer 136,480 and 109,679 restricted stock units, respectively. Each award vests as to 25% of the number of restricted stock units on March 15, 2022 and as to 1/16th of the number of restricted stock units on each quarterly anniversary thereafter, subject to continued service to us.</w:t>
      </w:r>
    </w:p>
    <w:p>
      <w:pPr>
        <w:pStyle w:val="TextBody"/>
        <w:spacing w:lineRule="auto" w:line="288" w:before="120" w:after="283"/>
        <w:rPr/>
      </w:pPr>
      <w:r>
        <w:rPr>
          <w:rFonts w:ascii="Times New Roman;sans-serif" w:hAnsi="Times New Roman;sans-serif"/>
          <w:b w:val="false"/>
          <w:color w:val="000000"/>
          <w:sz w:val="20"/>
        </w:rPr>
        <w:t>In connection with Mr. Dickerman’s commencement of employment with us, in May 2021, our compensation committee granted Mr. Dickerman an option to purchase 645,797 shares of our common stock and 645,797 restricted stock units. The option vests as to 25% of the shares underlying the option on the first anniversary of his commencement of employment with us, April 12, 2021, and as to 1/48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shares underlying the option on each monthly anniversary thereafter, subject to continued service to us through the vesting date. The restricted stock unit award vests as to 25% of the restricted stock units on the first anniversary of June 11, 2021 and as to 1/16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restricted stock units on each quarterly anniversary thereafter, subject to continued service to us through the vesting date. The size of Mr. Dickerman’s equity award was determined by the compensation committee in consultation with Pay Governance and Mr. Pacala and as the result of arms-length negotiations with Mr. Dickerman.</w:t>
      </w:r>
    </w:p>
    <w:p>
      <w:pPr>
        <w:pStyle w:val="TextBody"/>
        <w:spacing w:lineRule="auto" w:line="288" w:before="120" w:after="283"/>
        <w:rPr/>
      </w:pPr>
      <w:r>
        <w:rPr>
          <w:rFonts w:ascii="Times New Roman;sans-serif" w:hAnsi="Times New Roman;sans-serif"/>
          <w:b w:val="false"/>
          <w:color w:val="000000"/>
          <w:sz w:val="20"/>
        </w:rPr>
        <w:t>In connection with Mr. Dolinko’s commencement of employment with us, in December 2021, our compensation committee granted Mr. Dolinko 608,696 restricted stock units. The restricted stock unit award vests as to 25% of the restricted stock units on the first anniversary of December 11, 2021 and as to 1/16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restricted stock units on each quarterly anniversary thereafter, subject to continued service to us through the vesting date. The size of Mr. Dolinko’s equity award was determined by the compensation committee in consultation with Pay Governance and Mr. Pacala, and as the result of arms-length negotiations with Mr. Dolinko.</w:t>
      </w: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Retirement Savings and Health and Welfare Benefits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Perquisites and Other Personal Benefits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determine perquisites on a case-by-case basis and will provide a perquisite to a named executive officer when we believe it is necessary to attract or retain the named executive officer. Ouster did not provide any perquisites or personal benefits to our named executive officers not otherwise made available to other employees in 2021, except that we forgave the 50% of the principal and interest due on promissory notes held by Ms. Brunelle and Mr. Spencer.</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Employment and Severance Arrangements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Old Ouster previously entered into an employment offer letter agreements with Messrs. Pacala and Spencer, and Ms. Brunelle. We entered into employment agreements with Messrs. Dickerman and Dolinko in connection with their commencement of employment with us. These agreements set forth the terms and conditions of employment of each named executive officer, including initial base salary, target bonus opportunity (if any), and initial equity grants and employee benefits eligibility. The offer letters entered into with Messrs. Pacala and Spencer do not provide for severance or other payments in connection with a termination of employment or change in control of the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Ms. Brunelle’s offer letter provides that in the event her employment with us is terminated by us without cause or she resigns for good reason prior to a change of control (each as defined in her offer letter), subject to the execution a general release of claims, Ms. Brunelle is entitled to a severance payment equal to the sum of: (i) six months of her then current annual base salary and (ii) any earned and accrued bonus (or any portion thereof), payable in a lump sum.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in the event Ms. Brunelle remains continuously employed by us through the closing of a change in control, the vesting and exercisability of her unvested option shall accelerate in respect of 50% of the unvested shares subject to the option. In the event her employment with the Company is terminated by us without cause or she resigns for good reason (each, as defined below), in each case within the ninety-day period immediately before or twelve-month period immediately following the closing of a change in control, subject to the execution of a general release of claims, then the vesting and exercisability of her options granted in May 2020 shall accelerate in respect of 100% of the unvested shares subject to the option.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event Ms. Brunelle’s employment with us is terminated by us without cause or she resigns for good reason in each case within the twelve month period immediately following the closing of a change of control, subject to the execution of a general release of claims, Ms. Brunelle is entitled to a severance payment equal to the sum of: (i) twelve months of her then current annual base salary; (ii) any earned and accrued bonus; and (iii) an amount equal to twelve months of health insurance premiums, payable in a lump sum.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Mr. Dickerman’s employment agreement, in the event we terminate his employment with us without cause or he resigns for good reason more than 90 days prior to a change in control, then, subject to the execution of a general release of claims, Mr. Dickerman is entitled to receive a severance payment equal to six months’ base salary and COBRA reimbursement for six months. In the event we terminate his employment with us without cause or he resigns for good reason within the period beginning 90 days prior to a change in control and ending on the first anniversary of the change in control, then, subject to the execution of a general release of claims and in lieu of the foregoing severance benefits, Mr. Dickerman is entitled to receive 12 months base salary, 12 months COBRA reimbursement and full vesting acceleration of his outstanding equity awards.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Mr. Dolinko’s employment agreement, in the event we terminate his employment with us without cause or he resigns for good reason within the period beginning 90 days prior to a change in control and anytime after a change in control, then, subject to the execution of a general release of claims, Mr. Dolinko is entitled to the full vesting acceleration of his outstanding equity awards.</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Tax Considerations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general matter, our compensation committee reviews and considers the various tax and accounting implications of compensation programs we utilize.</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COMPENSATION OF OUR NAMED EXECUTIVE OFFICERS</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2021 Summary Compensation Table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contains information about the compensation earned by each of our named executive officers during our most recently completed fiscal year ended December 31, 2021. </w:t>
      </w:r>
    </w:p>
    <w:tbl>
      <w:tblPr>
        <w:tblW w:w="10371" w:type="dxa"/>
        <w:jc w:val="left"/>
        <w:tblInd w:w="0" w:type="dxa"/>
        <w:tblCellMar>
          <w:top w:w="28" w:type="dxa"/>
          <w:left w:w="28" w:type="dxa"/>
          <w:bottom w:w="28" w:type="dxa"/>
          <w:right w:w="28" w:type="dxa"/>
        </w:tblCellMar>
      </w:tblPr>
      <w:tblGrid>
        <w:gridCol w:w="294"/>
        <w:gridCol w:w="258"/>
        <w:gridCol w:w="259"/>
        <w:gridCol w:w="109"/>
        <w:gridCol w:w="109"/>
        <w:gridCol w:w="109"/>
        <w:gridCol w:w="160"/>
        <w:gridCol w:w="160"/>
        <w:gridCol w:w="161"/>
        <w:gridCol w:w="109"/>
        <w:gridCol w:w="109"/>
        <w:gridCol w:w="109"/>
        <w:gridCol w:w="284"/>
        <w:gridCol w:w="206"/>
        <w:gridCol w:w="201"/>
        <w:gridCol w:w="109"/>
        <w:gridCol w:w="109"/>
        <w:gridCol w:w="109"/>
        <w:gridCol w:w="206"/>
        <w:gridCol w:w="200"/>
        <w:gridCol w:w="201"/>
        <w:gridCol w:w="109"/>
        <w:gridCol w:w="109"/>
        <w:gridCol w:w="109"/>
        <w:gridCol w:w="305"/>
        <w:gridCol w:w="260"/>
        <w:gridCol w:w="261"/>
        <w:gridCol w:w="109"/>
        <w:gridCol w:w="109"/>
        <w:gridCol w:w="109"/>
        <w:gridCol w:w="435"/>
        <w:gridCol w:w="240"/>
        <w:gridCol w:w="241"/>
        <w:gridCol w:w="109"/>
        <w:gridCol w:w="109"/>
        <w:gridCol w:w="109"/>
        <w:gridCol w:w="410"/>
        <w:gridCol w:w="410"/>
        <w:gridCol w:w="411"/>
        <w:gridCol w:w="109"/>
        <w:gridCol w:w="109"/>
        <w:gridCol w:w="109"/>
        <w:gridCol w:w="410"/>
        <w:gridCol w:w="410"/>
        <w:gridCol w:w="411"/>
        <w:gridCol w:w="109"/>
        <w:gridCol w:w="109"/>
        <w:gridCol w:w="109"/>
        <w:gridCol w:w="279"/>
        <w:gridCol w:w="279"/>
        <w:gridCol w:w="403"/>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319" w:before="0" w:after="0"/>
              <w:jc w:val="center"/>
              <w:rPr/>
            </w:pPr>
            <w:r>
              <w:rPr>
                <w:color w:val="000000"/>
              </w:rPr>
              <w:t> </w:t>
            </w:r>
            <w:r>
              <w:rPr>
                <w:rFonts w:ascii="Times New Roman;sans-serif" w:hAnsi="Times New Roman;sans-serif"/>
                <w:b/>
                <w:color w:val="000000"/>
                <w:sz w:val="18"/>
              </w:rPr>
              <w:t>Name and Principal</w:t>
              <w:b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Non-Equity Incentive Plan Compensation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319" w:before="0" w:after="0"/>
              <w:jc w:val="center"/>
              <w:rPr/>
            </w:pPr>
            <w:r>
              <w:rPr>
                <w:rFonts w:ascii="Times New Roman;sans-serif" w:hAnsi="Times New Roman;sans-serif"/>
                <w:b/>
                <w:color w:val="000000"/>
                <w:sz w:val="18"/>
              </w:rPr>
              <w:t>All Other</w:t>
              <w:br/>
              <w:t>Compensation ($)(3)</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Angus Pacala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125,029</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12,840,820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12,913,888</w:t>
            </w:r>
          </w:p>
        </w:tc>
      </w:tr>
      <w:tr>
        <w:trPr/>
        <w:tc>
          <w:tcPr>
            <w:tcW w:w="811" w:type="dxa"/>
            <w:gridSpan w:val="3"/>
            <w:tcBorders/>
            <w:shd w:fill="FFFFFF" w:val="clear"/>
            <w:tcMar>
              <w:top w:w="0" w:type="dxa"/>
              <w:left w:w="0" w:type="dxa"/>
              <w:bottom w:w="0" w:type="dxa"/>
              <w:right w:w="0" w:type="dxa"/>
            </w:tcMar>
            <w:vAlign w:val="center"/>
          </w:tcPr>
          <w:p>
            <w:pPr>
              <w:pStyle w:val="TableContents"/>
              <w:spacing w:before="0" w:after="0"/>
              <w:ind w:left="0" w:right="0" w:hanging="240"/>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124,800</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highlight w:val="cyan"/>
              </w:rPr>
            </w:pPr>
            <w:r>
              <w:rPr>
                <w:rFonts w:ascii="Times New Roman;sans-serif" w:hAnsi="Times New Roman;sans-serif"/>
                <w:b w:val="false"/>
                <w:color w:val="000000"/>
                <w:sz w:val="18"/>
                <w:highlight w:val="cyan"/>
              </w:rPr>
              <w:t>Anna Brunelle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323,202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1,637,760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2,365,065</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i/>
                <w:color w:val="000000"/>
                <w:sz w:val="18"/>
                <w:highlight w:val="white"/>
              </w:rPr>
            </w:pPr>
            <w:r>
              <w:rPr>
                <w:rFonts w:ascii="Times New Roman;sans-serif" w:hAnsi="Times New Roman;sans-serif"/>
                <w:b w:val="false"/>
                <w:i/>
                <w:color w:val="000000"/>
                <w:sz w:val="18"/>
                <w:highlight w:val="white"/>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2,384,581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2,608,289</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highlight w:val="cyan"/>
              </w:rPr>
            </w:pPr>
            <w:r>
              <w:rPr>
                <w:rFonts w:ascii="Times New Roman;sans-serif" w:hAnsi="Times New Roman;sans-serif"/>
                <w:b w:val="false"/>
                <w:color w:val="000000"/>
                <w:sz w:val="18"/>
                <w:highlight w:val="cyan"/>
              </w:rPr>
              <w:t>Darien Spencer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1,316,148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1,884,901</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i/>
                <w:color w:val="000000"/>
                <w:sz w:val="18"/>
                <w:highlight w:val="white"/>
              </w:rPr>
            </w:pPr>
            <w:r>
              <w:rPr>
                <w:rFonts w:ascii="Times New Roman;sans-serif" w:hAnsi="Times New Roman;sans-serif"/>
                <w:b w:val="false"/>
                <w:i/>
                <w:color w:val="000000"/>
                <w:sz w:val="18"/>
                <w:highlight w:val="white"/>
              </w:rPr>
              <w:t>Executive Vice President of Global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highlight w:val="cyan"/>
              </w:rPr>
            </w:pPr>
            <w:r>
              <w:rPr>
                <w:rFonts w:ascii="Times New Roman;sans-serif" w:hAnsi="Times New Roman;sans-serif"/>
                <w:b w:val="false"/>
                <w:color w:val="000000"/>
                <w:sz w:val="18"/>
                <w:highlight w:val="cyan"/>
              </w:rPr>
              <w:t>Nathan Dickerman (4)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6,619,419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3,803,744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10,903,209</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i/>
                <w:color w:val="000000"/>
                <w:sz w:val="18"/>
                <w:highlight w:val="white"/>
              </w:rPr>
            </w:pPr>
            <w:r>
              <w:rPr>
                <w:rFonts w:ascii="Times New Roman;sans-serif" w:hAnsi="Times New Roman;sans-serif"/>
                <w:b w:val="false"/>
                <w:i/>
                <w:color w:val="000000"/>
                <w:sz w:val="18"/>
                <w:highlight w:val="white"/>
              </w:rPr>
              <w:t>President of Field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highlight w:val="cyan"/>
              </w:rPr>
            </w:pPr>
            <w:r>
              <w:rPr>
                <w:rFonts w:ascii="Times New Roman;sans-serif" w:hAnsi="Times New Roman;sans-serif"/>
                <w:b w:val="false"/>
                <w:color w:val="000000"/>
                <w:sz w:val="18"/>
                <w:highlight w:val="cyan"/>
              </w:rPr>
              <w:t>Adam Dolinko (5)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3,974,785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4,004,564</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i/>
                <w:color w:val="000000"/>
                <w:sz w:val="18"/>
                <w:highlight w:val="white"/>
              </w:rPr>
            </w:pPr>
            <w:r>
              <w:rPr>
                <w:rFonts w:ascii="Times New Roman;sans-serif" w:hAnsi="Times New Roman;sans-serif"/>
                <w:b w:val="false"/>
                <w:i/>
                <w:color w:val="000000"/>
                <w:sz w:val="18"/>
                <w:highlight w:val="white"/>
              </w:rPr>
              <w:t>General Counsel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192" w:before="0" w:after="200"/>
              <w:jc w:val="left"/>
              <w:rPr>
                <w:color w:val="000000"/>
              </w:rPr>
            </w:pPr>
            <w:r>
              <w:rPr>
                <w:color w:val="000000"/>
              </w:rPr>
              <w:t> </w:t>
            </w:r>
          </w:p>
        </w:tc>
      </w:tr>
    </w:tbl>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    Amounts reflect the full grant-date fair value of stock awards and stock options granted during fiscal 2021 computed in accordance with ASC Topic 718, rather than the amounts paid to or realized by the named individual. We provide information regarding the assumptions used to calculate the value of all stock awards and option awards made to named executive officers in Note 12 of our financial statements included in this Form 10-K. </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    $150,000 and $75,000 of the amounts reported for Ms. Brunelle and Mr. Spencer, respectively, constitute merit bonuses earned by each named executive officer upon the closing the merger of our company with a subsidiary of Colonnade Acquisition Corp. $94,194 and $86,949 of the amounts reported for Ms. Brunelle and Mr. Spencer, respectively, constitute annual performance-based cash bonuses earned based on our achievement of revenue goals. The full amount reported for Mr. Dickerman constitutes sales incentive compensation earned under his sales incentive compensation plan.</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    $146,664 and $107,495 of the amounts reported for Ms. Brunelle and Mr. Spencer constitute forgiven principal and interest of promissory notes. All other amounts reported constitute 401(k) plan matching contributions.</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    Mr. Dickerman commenced employment with us as President of Field Operations in April 2021.</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    Mr. Dolinko commenced employment with us as our General Counsel in December 2021.</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Grants of Plan-Based Awards in Fiscal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information relating to grants of plan-based awards made during fiscal 2021 to help explain information provided above in our Summary Compensation Table. This table presents information regarding all grants of plan-based awards occurring during fiscal 2021.</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tbl>
      <w:tblPr>
        <w:tblW w:w="10205" w:type="dxa"/>
        <w:jc w:val="left"/>
        <w:tblInd w:w="0" w:type="dxa"/>
        <w:tblCellMar>
          <w:top w:w="28" w:type="dxa"/>
          <w:left w:w="28" w:type="dxa"/>
          <w:bottom w:w="28" w:type="dxa"/>
          <w:right w:w="28" w:type="dxa"/>
        </w:tblCellMar>
      </w:tblPr>
      <w:tblGrid>
        <w:gridCol w:w="441"/>
        <w:gridCol w:w="232"/>
        <w:gridCol w:w="235"/>
        <w:gridCol w:w="109"/>
        <w:gridCol w:w="109"/>
        <w:gridCol w:w="109"/>
        <w:gridCol w:w="192"/>
        <w:gridCol w:w="192"/>
        <w:gridCol w:w="193"/>
        <w:gridCol w:w="109"/>
        <w:gridCol w:w="109"/>
        <w:gridCol w:w="109"/>
        <w:gridCol w:w="378"/>
        <w:gridCol w:w="378"/>
        <w:gridCol w:w="148"/>
        <w:gridCol w:w="112"/>
        <w:gridCol w:w="112"/>
        <w:gridCol w:w="112"/>
        <w:gridCol w:w="378"/>
        <w:gridCol w:w="206"/>
        <w:gridCol w:w="112"/>
        <w:gridCol w:w="112"/>
        <w:gridCol w:w="112"/>
        <w:gridCol w:w="112"/>
        <w:gridCol w:w="378"/>
        <w:gridCol w:w="378"/>
        <w:gridCol w:w="148"/>
        <w:gridCol w:w="109"/>
        <w:gridCol w:w="109"/>
        <w:gridCol w:w="109"/>
        <w:gridCol w:w="278"/>
        <w:gridCol w:w="278"/>
        <w:gridCol w:w="280"/>
        <w:gridCol w:w="109"/>
        <w:gridCol w:w="109"/>
        <w:gridCol w:w="109"/>
        <w:gridCol w:w="345"/>
        <w:gridCol w:w="345"/>
        <w:gridCol w:w="346"/>
        <w:gridCol w:w="109"/>
        <w:gridCol w:w="109"/>
        <w:gridCol w:w="109"/>
        <w:gridCol w:w="258"/>
        <w:gridCol w:w="258"/>
        <w:gridCol w:w="260"/>
        <w:gridCol w:w="109"/>
        <w:gridCol w:w="109"/>
        <w:gridCol w:w="109"/>
        <w:gridCol w:w="342"/>
        <w:gridCol w:w="238"/>
        <w:gridCol w:w="354"/>
      </w:tblGrid>
      <w:tr>
        <w:trPr/>
        <w:tc>
          <w:tcPr>
            <w:tcW w:w="4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908"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6" w:type="dxa"/>
            <w:gridSpan w:val="15"/>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Future Payouts Under Non-Equity Incentive Plan Awards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vMerge w:val="restart"/>
            <w:tcBorders/>
            <w:shd w:fill="FFFFFF" w:val="clear"/>
            <w:tcMar>
              <w:top w:w="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All Other Stock Awards: Number of Shares of Stock or Units</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vMerge w:val="restart"/>
            <w:tcBorders/>
            <w:shd w:fill="FFFFFF" w:val="clear"/>
            <w:tcMar>
              <w:top w:w="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All Other Option Awards: Number of Securities Underlying Options</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or Base Price of Option Awards ($/Sh)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 of Stock and Option Awards ($)</w:t>
            </w:r>
          </w:p>
        </w:tc>
      </w:tr>
      <w:tr>
        <w:trPr/>
        <w:tc>
          <w:tcPr>
            <w:tcW w:w="908"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6" w:type="dxa"/>
            <w:gridSpan w:val="15"/>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908"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Threshold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Target</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Anna Brunelle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100,750</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3/11/2021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1,637,760</w:t>
            </w:r>
          </w:p>
        </w:tc>
      </w:tr>
      <w:tr>
        <w:trPr/>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Darien Spencer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3/11/2021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1,316,148</w:t>
            </w:r>
          </w:p>
        </w:tc>
      </w:tr>
      <w:tr>
        <w:trPr/>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Nathan Dickerman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243,750</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3,803,744</w:t>
            </w:r>
          </w:p>
        </w:tc>
      </w:tr>
      <w:tr>
        <w:trPr/>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6,619,419</w:t>
            </w:r>
          </w:p>
        </w:tc>
      </w:tr>
      <w:tr>
        <w:trPr/>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Adam Dolinko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12/1/2021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608,696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3,974,785</w:t>
            </w:r>
          </w:p>
        </w:tc>
      </w:tr>
    </w:tbl>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Constitutes target and maximum amount payable under our annual performance-based cash bonus program for Ms. Brunelle and Mr. Spencer and our sales incentive compensation plan for Mr. Dickerman. Payments under our annual performance-based cash bonus program are capped at 100% of target. The sales incentive compensation plan for Mr. Dickerman provides the opportunity to earn up to 150% of target for overachievement of his bookings and revenue goals and up to $150,000 in excess of target for the achievement of strategic objectives.</w:t>
      </w:r>
    </w:p>
    <w:p>
      <w:pPr>
        <w:pStyle w:val="TextBody"/>
        <w:spacing w:lineRule="auto" w:line="288" w:before="60" w:after="283"/>
        <w:ind w:left="0" w:right="0" w:hanging="360"/>
        <w:rPr/>
      </w:pPr>
      <w:r>
        <w:rPr>
          <w:rFonts w:ascii="Times New Roman;sans-serif" w:hAnsi="Times New Roman;sans-serif"/>
          <w:b w:val="false"/>
          <w:color w:val="000000"/>
          <w:sz w:val="16"/>
        </w:rPr>
        <w:t>(2)    25% of the restricted stock units vest on the first anniversary of the vesting commencement date, and 1/16</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 restricted stock units vest on each quarterly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restricted stock units will fully vest.</w:t>
      </w:r>
    </w:p>
    <w:p>
      <w:pPr>
        <w:pStyle w:val="TextBody"/>
        <w:spacing w:lineRule="auto" w:line="288" w:before="60" w:after="283"/>
        <w:ind w:left="0" w:right="0" w:hanging="360"/>
        <w:rPr/>
      </w:pPr>
      <w:r>
        <w:rPr>
          <w:rFonts w:ascii="Times New Roman;sans-serif" w:hAnsi="Times New Roman;sans-serif"/>
          <w:b w:val="false"/>
          <w:color w:val="000000"/>
          <w:sz w:val="16"/>
        </w:rPr>
        <w:t>(3)    25% of the shares underlying the option vests and becomes exercisable on the first anniversary of the vesting commencement date and 1/48</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 shares underlying the option vests and becomes exercisable on each monthly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Outstanding Equity Awards at Fiscal Year-End 2021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number of shares of common stock underlying outstanding equity incentive plan awards for each named executive officer as of December 31, 2021.</w:t>
      </w:r>
    </w:p>
    <w:tbl>
      <w:tblPr>
        <w:tblW w:w="10205" w:type="dxa"/>
        <w:jc w:val="left"/>
        <w:tblInd w:w="0" w:type="dxa"/>
        <w:tblCellMar>
          <w:top w:w="28" w:type="dxa"/>
          <w:left w:w="28" w:type="dxa"/>
          <w:bottom w:w="28" w:type="dxa"/>
          <w:right w:w="28" w:type="dxa"/>
        </w:tblCellMar>
      </w:tblPr>
      <w:tblGrid>
        <w:gridCol w:w="306"/>
        <w:gridCol w:w="192"/>
        <w:gridCol w:w="194"/>
        <w:gridCol w:w="464"/>
        <w:gridCol w:w="464"/>
        <w:gridCol w:w="465"/>
        <w:gridCol w:w="109"/>
        <w:gridCol w:w="109"/>
        <w:gridCol w:w="109"/>
        <w:gridCol w:w="378"/>
        <w:gridCol w:w="378"/>
        <w:gridCol w:w="379"/>
        <w:gridCol w:w="109"/>
        <w:gridCol w:w="109"/>
        <w:gridCol w:w="109"/>
        <w:gridCol w:w="433"/>
        <w:gridCol w:w="433"/>
        <w:gridCol w:w="434"/>
        <w:gridCol w:w="109"/>
        <w:gridCol w:w="109"/>
        <w:gridCol w:w="109"/>
        <w:gridCol w:w="259"/>
        <w:gridCol w:w="259"/>
        <w:gridCol w:w="260"/>
        <w:gridCol w:w="109"/>
        <w:gridCol w:w="109"/>
        <w:gridCol w:w="109"/>
        <w:gridCol w:w="323"/>
        <w:gridCol w:w="323"/>
        <w:gridCol w:w="324"/>
        <w:gridCol w:w="109"/>
        <w:gridCol w:w="109"/>
        <w:gridCol w:w="109"/>
        <w:gridCol w:w="304"/>
        <w:gridCol w:w="304"/>
        <w:gridCol w:w="305"/>
        <w:gridCol w:w="109"/>
        <w:gridCol w:w="109"/>
        <w:gridCol w:w="109"/>
        <w:gridCol w:w="408"/>
        <w:gridCol w:w="264"/>
        <w:gridCol w:w="390"/>
      </w:tblGrid>
      <w:tr>
        <w:trPr/>
        <w:tc>
          <w:tcPr>
            <w:tcW w:w="30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692"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1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4"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692" w:type="dxa"/>
            <w:gridSpan w:val="3"/>
            <w:vMerge w:val="continue"/>
            <w:tcBorders/>
            <w:shd w:fill="FFFFFF" w:val="clear"/>
            <w:tcMar>
              <w:top w:w="0" w:type="dxa"/>
              <w:left w:w="0" w:type="dxa"/>
              <w:bottom w:w="0" w:type="dxa"/>
              <w:right w:w="0" w:type="dxa"/>
            </w:tcMar>
            <w:vAlign w:val="center"/>
          </w:tcPr>
          <w:p>
            <w:pPr>
              <w:pStyle w:val="Normal"/>
              <w:rPr/>
            </w:pPr>
            <w:r>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Vesting Commencement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Number</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of</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Securities Underlying Unexercised Options</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Options</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Unexercisable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Option Exercise Price</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Expiration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Number of Shares or Units of Stock That Have Not Vested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Market Value of Shares or Units of Stock That Have Not Vested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($)(8)</w:t>
            </w:r>
          </w:p>
        </w:tc>
      </w:tr>
      <w:tr>
        <w:trPr/>
        <w:tc>
          <w:tcPr>
            <w:tcW w:w="692"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Angus Pacala</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10/2/2020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10/2/2020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3,088,169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Anna Brunelle</w:t>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3/15/2021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709,696</w:t>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5/20/2020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713,979</w:t>
            </w:r>
          </w:p>
        </w:tc>
      </w:tr>
      <w:tr>
        <w:trPr/>
        <w:tc>
          <w:tcPr>
            <w:tcW w:w="692"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Darien Spencer</w:t>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3/15/2021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570,331</w:t>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5/23/2019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34,354</w:t>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7/1/2020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385,031</w:t>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5/23/2019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w:t>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5/23/2019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21,388</w:t>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7/1/2020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240,323</w:t>
            </w:r>
          </w:p>
        </w:tc>
      </w:tr>
      <w:tr>
        <w:trPr/>
        <w:tc>
          <w:tcPr>
            <w:tcW w:w="692"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Nathan Dickerman</w:t>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4/12/2021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6/11/2021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3,358,144</w:t>
            </w:r>
          </w:p>
        </w:tc>
      </w:tr>
      <w:tr>
        <w:trPr/>
        <w:tc>
          <w:tcPr>
            <w:tcW w:w="692"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Adam Dolinko</w:t>
            </w:r>
          </w:p>
        </w:tc>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12/11/2021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608,696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3,165,219</w:t>
            </w:r>
          </w:p>
        </w:tc>
      </w:tr>
    </w:tbl>
    <w:p>
      <w:pPr>
        <w:pStyle w:val="TextBody"/>
        <w:spacing w:lineRule="auto" w:line="288" w:before="60" w:after="283"/>
        <w:ind w:left="0" w:right="0" w:hanging="360"/>
        <w:rPr/>
      </w:pPr>
      <w:r>
        <w:rPr>
          <w:rFonts w:ascii="Times New Roman;sans-serif" w:hAnsi="Times New Roman;sans-serif"/>
          <w:b w:val="false"/>
          <w:color w:val="000000"/>
          <w:sz w:val="16"/>
        </w:rPr>
        <w:t>(1)    1/48th of the shares originally subject to the option vest on each one-month anniversary of the vesting commencement date, subject to continued service with us through the applicable vesting date and the option will vest as to 50% of the unvested shares underlying the option upon a change in control and,</w:t>
      </w:r>
      <w:r>
        <w:rPr>
          <w:color w:val="000000"/>
        </w:rPr>
        <w:t xml:space="preserve"> </w:t>
      </w:r>
      <w:r>
        <w:rPr>
          <w:rFonts w:ascii="Times New Roman;sans-serif" w:hAnsi="Times New Roman;sans-serif"/>
          <w:b w:val="false"/>
          <w:color w:val="000000"/>
          <w:sz w:val="16"/>
        </w:rPr>
        <w:t>following the change in control, the remaining unvested shares underlying the option will vest in substantially equal monthly installments through the end of the original vesting schedule. In the event executive’s employment with the Company is terminated by the Company without cause or the executive resigns for good reason, in each case, on or after a change in control, any then unvested shares will become fully vested. The options may be exercised by the executive prior to vesting, with any unvested shares subject to repurchase by us at the original exercise price in the event of a termination of the executive’s employment.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    1/48th of the shares originally subject to the option vest on each one-month anniversary of the vesting commencement date, subject to continued service with us through the applicable vesting date and each option will vest as to 50% of the unvested shares underlying the option upon a change in control and, following the change in control, the remaining unvested shares underlying the option will vest in substantially equal monthly installments through the end of the original vesting schedule. In the event executive’s employment with the Company is terminated by the Company without cause or the executive resigns for good reason, in each case, on or after a change in control, any then unvested shares will become fully vested.</w:t>
      </w:r>
    </w:p>
    <w:p>
      <w:pPr>
        <w:pStyle w:val="TextBody"/>
        <w:spacing w:lineRule="auto" w:line="288" w:before="60" w:after="283"/>
        <w:ind w:left="0" w:right="0" w:hanging="360"/>
        <w:rPr/>
      </w:pPr>
      <w:r>
        <w:rPr>
          <w:rFonts w:ascii="Times New Roman;sans-serif" w:hAnsi="Times New Roman;sans-serif"/>
          <w:b w:val="false"/>
          <w:color w:val="000000"/>
          <w:sz w:val="16"/>
        </w:rPr>
        <w:t>(3)    25% of the restricted stock units vest on the first anniversary of the vesting commencement date, and 1/16</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 restricted stock units vest on each quarterly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 day period immediately before or twelve month period immediately following a change of control, the vesting of 100% of the restricted stock units will fully vest.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    Represents shares of restricted stock acquired upon exercise of a stock option prior to exercise. The unvested shares are subject to repurchase by us at the original exercise price of $0.15 per share upon a termination of the named executive officer’s employment. The shares vest in substantially equal monthly installments through the fourth anniversary of the vesting commencement date, subject to continued service through the vesting date. The vesting of 50% of the unvested shares accelerate upon a change in control.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    Represents shares of restricted stock acquired upon exercise of a stock option prior to exercise. The unvested shares are subject to repurchase by us at the original exercise price of $0.18 per share upon a termination of the named executive officer’s employment. The shares vest in substantially equal monthly installments through the fourth anniversary of the vesting commencement date, subject to continued service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    Represents shares of restricted stock acquired upon exercise of a stock option prior to exercise. The unvested shares are subject to repurchase by us at the original exercise price of $0.21 per share upon a termination of the named executive officer’s employment. The shares vest in substantially equal monthly installments through the fourth anniversary of the vesting commencement date, subject to continued service through the vesting date. In the event the named executive officer’s employment is terminated by the Company without cause or the named executive officer resigns for good </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reason, in each case, within the ninety-day period immediately before or twelve-month period immediately following a change of control, the vesting of 100% of the unvested shares will fully vest.</w:t>
      </w:r>
    </w:p>
    <w:p>
      <w:pPr>
        <w:pStyle w:val="TextBody"/>
        <w:spacing w:lineRule="auto" w:line="288" w:before="60" w:after="283"/>
        <w:ind w:left="0" w:right="0" w:hanging="360"/>
        <w:rPr/>
      </w:pPr>
      <w:r>
        <w:rPr>
          <w:rFonts w:ascii="Times New Roman;sans-serif" w:hAnsi="Times New Roman;sans-serif"/>
          <w:b w:val="false"/>
          <w:color w:val="000000"/>
          <w:sz w:val="16"/>
        </w:rPr>
        <w:t>(7)    25% of the shares underlying the option vests and becomes exercisable on the first anniversary of the vesting commencement date and 1/48</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16"/>
        </w:rPr>
        <w:t>of the shares underlying the option vests and becomes exercisable on each monthly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unvested shares will fully vest.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    Amounts calculated based on the $5.20 closing trading price of our common stock as of December 31, 2021. Amounts reported for shares acquired upon exercise of stock options prior to vesting are reported net of the exercise price paid by the named executive officer.</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Option Exercises and Stock Vested in Fiscal 2021</w:t>
      </w:r>
    </w:p>
    <w:tbl>
      <w:tblPr>
        <w:tblW w:w="7150" w:type="dxa"/>
        <w:jc w:val="left"/>
        <w:tblInd w:w="0" w:type="dxa"/>
        <w:tblCellMar>
          <w:top w:w="28" w:type="dxa"/>
          <w:left w:w="28" w:type="dxa"/>
          <w:bottom w:w="28" w:type="dxa"/>
          <w:right w:w="28" w:type="dxa"/>
        </w:tblCellMar>
      </w:tblPr>
      <w:tblGrid>
        <w:gridCol w:w="440"/>
        <w:gridCol w:w="384"/>
        <w:gridCol w:w="390"/>
        <w:gridCol w:w="109"/>
        <w:gridCol w:w="109"/>
        <w:gridCol w:w="109"/>
        <w:gridCol w:w="324"/>
        <w:gridCol w:w="324"/>
        <w:gridCol w:w="326"/>
        <w:gridCol w:w="145"/>
        <w:gridCol w:w="145"/>
        <w:gridCol w:w="145"/>
        <w:gridCol w:w="414"/>
        <w:gridCol w:w="414"/>
        <w:gridCol w:w="416"/>
        <w:gridCol w:w="109"/>
        <w:gridCol w:w="109"/>
        <w:gridCol w:w="109"/>
        <w:gridCol w:w="314"/>
        <w:gridCol w:w="314"/>
        <w:gridCol w:w="316"/>
        <w:gridCol w:w="132"/>
        <w:gridCol w:w="132"/>
        <w:gridCol w:w="132"/>
        <w:gridCol w:w="377"/>
        <w:gridCol w:w="377"/>
        <w:gridCol w:w="535"/>
      </w:tblGrid>
      <w:tr>
        <w:trPr/>
        <w:tc>
          <w:tcPr>
            <w:tcW w:w="44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Acquired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on Exercise</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Value Realized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on Exercise</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Acquired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on Vesting</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Value Realized</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on Vesting</w:t>
            </w:r>
          </w:p>
          <w:p>
            <w:pPr>
              <w:pStyle w:val="TableContents"/>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 (1)</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Anna Brunelle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1,220,889</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13,150,498</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Darien Spencer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348,154</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3,718,208</w:t>
            </w:r>
          </w:p>
        </w:tc>
      </w:tr>
    </w:tbl>
    <w:p>
      <w:pPr>
        <w:pStyle w:val="TextBody"/>
        <w:spacing w:before="0" w:after="0"/>
        <w:rPr/>
      </w:pPr>
      <w:r>
        <w:rPr/>
      </w:r>
    </w:p>
    <w:p>
      <w:pPr>
        <w:pStyle w:val="TextBody"/>
        <w:spacing w:lineRule="auto" w:line="288" w:before="60" w:after="283"/>
        <w:ind w:left="0" w:right="0" w:hanging="274"/>
        <w:rPr>
          <w:rFonts w:ascii="Times New Roman;sans-serif" w:hAnsi="Times New Roman;sans-serif"/>
          <w:b w:val="false"/>
          <w:color w:val="000000"/>
          <w:sz w:val="16"/>
        </w:rPr>
      </w:pPr>
      <w:r>
        <w:rPr>
          <w:rFonts w:ascii="Times New Roman;sans-serif" w:hAnsi="Times New Roman;sans-serif"/>
          <w:b w:val="false"/>
          <w:color w:val="000000"/>
          <w:sz w:val="16"/>
        </w:rPr>
        <w:t xml:space="preserve">(1)    Represents the value of shares of restricted stock acquired upon exercise of a stock option prior to exercise, calculated based on the closing trading price of our common stock on the vesting date less the exercise price paid for the shares.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this section, we describe payments that may be made to our named executive officers upon a change in control and to each of Ms. Brunelle, Mr. Dickerman and Mr. Dolinko upon certain terminations of employment, assuming the termination event occurred on the last day of fiscal 2021 (except as otherwise noted). Messrs. Pacala and Spencer were not entitled to severance upon a termination of employment in 2021.</w:t>
      </w:r>
    </w:p>
    <w:tbl>
      <w:tblPr>
        <w:tblW w:w="10205" w:type="dxa"/>
        <w:jc w:val="left"/>
        <w:tblInd w:w="0" w:type="dxa"/>
        <w:tblCellMar>
          <w:top w:w="28" w:type="dxa"/>
          <w:left w:w="28" w:type="dxa"/>
          <w:bottom w:w="28" w:type="dxa"/>
          <w:right w:w="28" w:type="dxa"/>
        </w:tblCellMar>
      </w:tblPr>
      <w:tblGrid>
        <w:gridCol w:w="476"/>
        <w:gridCol w:w="391"/>
        <w:gridCol w:w="394"/>
        <w:gridCol w:w="109"/>
        <w:gridCol w:w="109"/>
        <w:gridCol w:w="109"/>
        <w:gridCol w:w="547"/>
        <w:gridCol w:w="504"/>
        <w:gridCol w:w="380"/>
        <w:gridCol w:w="109"/>
        <w:gridCol w:w="109"/>
        <w:gridCol w:w="109"/>
        <w:gridCol w:w="684"/>
        <w:gridCol w:w="408"/>
        <w:gridCol w:w="381"/>
        <w:gridCol w:w="109"/>
        <w:gridCol w:w="109"/>
        <w:gridCol w:w="109"/>
        <w:gridCol w:w="765"/>
        <w:gridCol w:w="737"/>
        <w:gridCol w:w="740"/>
        <w:gridCol w:w="109"/>
        <w:gridCol w:w="109"/>
        <w:gridCol w:w="109"/>
        <w:gridCol w:w="839"/>
        <w:gridCol w:w="679"/>
        <w:gridCol w:w="972"/>
      </w:tblGrid>
      <w:tr>
        <w:trPr/>
        <w:tc>
          <w:tcPr>
            <w:tcW w:w="4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Control ($)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Covered Termination Unrelated to a Change in Control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Covered Termination in connection with a Change in Control</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Angus Pacala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Vesting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27,083,242 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Anna Brunelle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Base Salary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160,000 </w:t>
            </w:r>
          </w:p>
        </w:tc>
        <w:tc>
          <w:tcPr>
            <w:tcW w:w="7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9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Bonus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94,194 </w:t>
            </w:r>
          </w:p>
        </w:tc>
        <w:tc>
          <w:tcPr>
            <w:tcW w:w="7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94,194 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COBRA Reimbursement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Vesting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1,423,675 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1,423,675 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1,423,675</w:t>
            </w: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254,194</w:t>
            </w:r>
            <w:r>
              <w:rPr>
                <w:color w:val="000000"/>
              </w:rPr>
              <w:t> </w:t>
            </w:r>
          </w:p>
        </w:tc>
        <w:tc>
          <w:tcPr>
            <w:tcW w:w="7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1,845,035</w:t>
            </w:r>
            <w:r>
              <w:rPr>
                <w:color w:val="000000"/>
              </w:rPr>
              <w:t>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Darien Spencer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Vesting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1,262,435 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Nathan Dickerman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Base Salary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162,500 </w:t>
            </w:r>
          </w:p>
        </w:tc>
        <w:tc>
          <w:tcPr>
            <w:tcW w:w="7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325,000 </w:t>
            </w:r>
          </w:p>
        </w:tc>
        <w:tc>
          <w:tcPr>
            <w:tcW w:w="9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COBRA Reimbursement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3,583 </w:t>
            </w:r>
          </w:p>
        </w:tc>
        <w:tc>
          <w:tcPr>
            <w:tcW w:w="7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Vesting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3,358,144 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3,358,144 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3,358,144</w:t>
            </w: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166,083</w:t>
            </w:r>
            <w:r>
              <w:rPr>
                <w:color w:val="000000"/>
              </w:rPr>
              <w:t> </w:t>
            </w:r>
          </w:p>
        </w:tc>
        <w:tc>
          <w:tcPr>
            <w:tcW w:w="7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3,690,310</w:t>
            </w:r>
            <w:r>
              <w:rPr>
                <w:color w:val="000000"/>
              </w:rPr>
              <w:t> </w:t>
            </w:r>
          </w:p>
        </w:tc>
        <w:tc>
          <w:tcPr>
            <w:tcW w:w="9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Adam Dolinko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Vesting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3,165,219 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3,165,219 </w:t>
            </w:r>
          </w:p>
        </w:tc>
        <w:tc>
          <w:tcPr>
            <w:tcW w:w="9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450"/>
        <w:rPr/>
      </w:pPr>
      <w:r>
        <w:rPr>
          <w:rFonts w:ascii="Times New Roman;sans-serif" w:hAnsi="Times New Roman;sans-serif"/>
          <w:b w:val="false"/>
          <w:color w:val="000000"/>
          <w:sz w:val="16"/>
        </w:rPr>
        <w:t>(1)</w:t>
      </w:r>
      <w:r>
        <w:rPr>
          <w:color w:val="000000"/>
        </w:rPr>
        <w:t>    </w:t>
      </w:r>
      <w:r>
        <w:rPr>
          <w:rFonts w:ascii="Times New Roman;sans-serif" w:hAnsi="Times New Roman;sans-serif"/>
          <w:b w:val="false"/>
          <w:color w:val="000000"/>
          <w:sz w:val="16"/>
        </w:rPr>
        <w:t xml:space="preserve">Constitutes the value accelerated vesting that occurs automatically upon a change in control in the event equity awards are not assumed by an acquirer. The value of accelerated vesting was calculated by subtracting the exercise prices of options and the repurchase price of restricted stock from $5.20 per share, which was the closing trading price of our common stock on December 31, 2021. Options with exercise prices in excess of $5.20 per share were excluded. Ms. Brunelle is entitled to 50% accelerated vesting upon a change in control if equity awards are assumed. </w:t>
      </w:r>
    </w:p>
    <w:p>
      <w:pPr>
        <w:pStyle w:val="TextBody"/>
        <w:spacing w:lineRule="auto" w:line="288" w:before="60" w:after="283"/>
        <w:ind w:left="0" w:right="0" w:hanging="450"/>
        <w:rPr>
          <w:rFonts w:ascii="Times New Roman;sans-serif" w:hAnsi="Times New Roman;sans-serif"/>
          <w:b w:val="false"/>
          <w:color w:val="000000"/>
          <w:sz w:val="16"/>
        </w:rPr>
      </w:pPr>
      <w:r>
        <w:rPr>
          <w:rFonts w:ascii="Times New Roman;sans-serif" w:hAnsi="Times New Roman;sans-serif"/>
          <w:b w:val="false"/>
          <w:color w:val="000000"/>
          <w:sz w:val="16"/>
        </w:rPr>
        <w:t xml:space="preserve">(2)    Constitutes amounts that become payable to (a) Ms. Brunelle in the event that, on December 31, 2021, we had terminated her employment without cause or she had resigned for good reason prior to, or more than 12 months after, a change in control and (b) Mr. Dickerman and Mr. Dolinko in the event that, on December 31, 2021, we had terminated their employment without cause or they had resigned for good reason more than 90 days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prior to or more than 12 months after a change in control. The value of accelerated vesting was calculated by subtracting the exercise prices of options and the repurchase price of restricted stock from $5.20 per share, which was the closing trading price of our common stock on December 31, 2021. Options with exercise prices in excess of $5.20 per share were excluded. </w:t>
      </w:r>
    </w:p>
    <w:p>
      <w:pPr>
        <w:pStyle w:val="TextBody"/>
        <w:spacing w:lineRule="auto" w:line="288" w:before="60" w:after="283"/>
        <w:ind w:left="0" w:right="0" w:hanging="450"/>
        <w:rPr>
          <w:rFonts w:ascii="Times New Roman;sans-serif" w:hAnsi="Times New Roman;sans-serif"/>
          <w:b w:val="false"/>
          <w:color w:val="000000"/>
          <w:sz w:val="16"/>
        </w:rPr>
      </w:pPr>
      <w:r>
        <w:rPr>
          <w:rFonts w:ascii="Times New Roman;sans-serif" w:hAnsi="Times New Roman;sans-serif"/>
          <w:b w:val="false"/>
          <w:color w:val="000000"/>
          <w:sz w:val="16"/>
        </w:rPr>
        <w:t xml:space="preserve">(3)    Constitutes amounts that become payable to (a) Ms. Brunelle in the event that, on December 31, 2021, we had terminated her employment without cause or she had resigned for good reason prior to, or more than 12 months after, a change in control and (b) Mr. Dickerman and Mr. Dolinko in the event that, on December 31, 2021, we had terminated their employment without cause or they had resigned for good reason more than 90 days prior to or more than 12 months after a change in control. The value of accelerated vesting was calculated by subtracting the exercise prices of options and the repurchase price of restricted stock from $5.20 per share, which was the closing trading price of our common stock on December 31, 2021. Options with exercise prices in excess of $5.20 per share were excluded.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Compensation of our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2021, directors who were executives of the Company were not eligible to receive additional compensation for their services as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maintain the Non-Employee Director Compensation Program for our non-employee directors. Pursuant to the Non-Employee Director Compensation Program, as amended in 2021, our non-employee directors receive cash compensation as follows: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Each non-employee director receives an annual cash retainer in the amount of $40,000 per year.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chairperson of the board of directors receives an additional annual cash retainer in the amount of $51,250</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Lead Director receives an additional annual cash retainer in the amount of $25,000 per year.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chairperson of the audit committee receives additional annual cash compensation in the amount of $20,000 per year for such chairperson’s service on the audit committee. Each non-chairperson member of the audit committee receives additional annual cash compensation in the amount of $10,000 per year for such member’s service on the audit committee.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chairperson of the compensation committee receives additional annual cash compensation in the amount of $15,000 per year for such chairperson’s service on the compensation committee. Each non-chairperson member of the compensation committee receives additional annual cash compensation in the amount of $6,000 per year for such member’s service on the compensation committee.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chairperson of the corporate governance committee receives additional annual cash compensation in the amount of $10,000 per year for such chairperson’s service on the corporate governance committee. Each non-chairperson member of the corporate governance committee receives additional annual cash compensation in the amount of $5,000 per year for such member’s service on the corporate governance committee.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Each non-employee director may also elect to receive all or part of his or her annual cash retainer in the form of restricted stock units under our 2021 Incentive Award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and have a grant date fair value equal to the amount of the applicable portion of the annual cash retainer.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Non-Employee Director Compensation Program, upon the initial appointment or election of a non-employee director, the director will automatically be granted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our common stock as of the date of grant that vests in equal quarterly installments through the date of the next annual stockholders meeting. Additionally, on the date of each annual stockholders meeting, each non-employee director automatically will be granted an award of restricted stock units with respect to a number of shares of our common stock calculated by dividing (a) $175,000 by (b) the fair market value of our common stock as of the date of grant that vests in </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equal quarterly installments through the earlier of the first anniversary of the date of grant or the next annual stockholders meeting.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Additionally, the Non-Employee Director Compensation Program provides that non-employee directors may elect to defer all or part of the settlement of restricted stock units granted to them.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in control, all restricted stock units and other equity-based awards held by any non-employee director, will vest immediately prior to such change in control.</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Director Compensation Table for Fiscal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concerning the compensation of our non-employee directors in fiscal 2021:</w:t>
      </w:r>
    </w:p>
    <w:tbl>
      <w:tblPr>
        <w:tblW w:w="10120" w:type="dxa"/>
        <w:jc w:val="left"/>
        <w:tblInd w:w="0" w:type="dxa"/>
        <w:tblCellMar>
          <w:top w:w="28" w:type="dxa"/>
          <w:left w:w="28" w:type="dxa"/>
          <w:bottom w:w="28" w:type="dxa"/>
          <w:right w:w="28" w:type="dxa"/>
        </w:tblCellMar>
      </w:tblPr>
      <w:tblGrid>
        <w:gridCol w:w="674"/>
        <w:gridCol w:w="589"/>
        <w:gridCol w:w="596"/>
        <w:gridCol w:w="109"/>
        <w:gridCol w:w="109"/>
        <w:gridCol w:w="109"/>
        <w:gridCol w:w="849"/>
        <w:gridCol w:w="849"/>
        <w:gridCol w:w="852"/>
        <w:gridCol w:w="109"/>
        <w:gridCol w:w="109"/>
        <w:gridCol w:w="109"/>
        <w:gridCol w:w="554"/>
        <w:gridCol w:w="554"/>
        <w:gridCol w:w="556"/>
        <w:gridCol w:w="109"/>
        <w:gridCol w:w="109"/>
        <w:gridCol w:w="109"/>
        <w:gridCol w:w="589"/>
        <w:gridCol w:w="589"/>
        <w:gridCol w:w="591"/>
        <w:gridCol w:w="109"/>
        <w:gridCol w:w="109"/>
        <w:gridCol w:w="109"/>
        <w:gridCol w:w="313"/>
        <w:gridCol w:w="313"/>
        <w:gridCol w:w="344"/>
      </w:tblGrid>
      <w:tr>
        <w:trPr/>
        <w:tc>
          <w:tcPr>
            <w:tcW w:w="674"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lineRule="auto" w:line="319" w:before="0" w:after="0"/>
              <w:jc w:val="center"/>
              <w:rPr/>
            </w:pPr>
            <w:r>
              <w:rPr>
                <w:rFonts w:ascii="Times New Roman;sans-serif" w:hAnsi="Times New Roman;sans-serif"/>
                <w:b/>
                <w:color w:val="000000"/>
                <w:sz w:val="18"/>
              </w:rPr>
              <w:t>Total</w:t>
            </w:r>
            <w:r>
              <w:rPr>
                <w:color w:val="000000"/>
              </w:rPr>
              <w:t xml:space="preserve"> </w:t>
            </w:r>
            <w:r>
              <w:rPr>
                <w:rFonts w:ascii="Times New Roman;sans-serif" w:hAnsi="Times New Roman;sans-serif"/>
                <w:b w:val="false"/>
                <w:color w:val="000000"/>
                <w:sz w:val="18"/>
              </w:rPr>
              <w:t>($)</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Jorge del Calvo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500,939</w:t>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Emmanuel Hernandez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506,711</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Susan Heystee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3,560,688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3,600,024</w:t>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Sundari Mitra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499,179</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Remy W. Trafelet.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40,417</w:t>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Karin Rådström (2)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370,988</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Carl Bass (3)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16,879,515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11,931,096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28,829,731</w:t>
            </w:r>
          </w:p>
        </w:tc>
      </w:tr>
    </w:tbl>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 xml:space="preserve">(1)    Amounts reflect the full grant-date fair value of stock awards and stock options granted during fiscal 2021 computed in accordance with ASC Topic 718, rather than the amounts paid to or realized by the named individual. We provide information regarding the assumptions used to calculate the value of all stock awards and option awards made to named executive officers in Note 12 of our financial statements included in this Form 10-K. </w:t>
      </w:r>
    </w:p>
    <w:p>
      <w:pPr>
        <w:pStyle w:val="TextBody"/>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table below shows the aggregate numbers of option awards (exercisable and unexercisable) and unvested stock awards held as of December 31, 2021 by each non-employee director who was serving as of December 31, 2021.</w:t>
      </w:r>
    </w:p>
    <w:tbl>
      <w:tblPr>
        <w:tblW w:w="5939" w:type="dxa"/>
        <w:jc w:val="left"/>
        <w:tblInd w:w="0" w:type="dxa"/>
        <w:tblCellMar>
          <w:top w:w="28" w:type="dxa"/>
          <w:left w:w="28" w:type="dxa"/>
          <w:bottom w:w="28" w:type="dxa"/>
          <w:right w:w="28" w:type="dxa"/>
        </w:tblCellMar>
      </w:tblPr>
      <w:tblGrid>
        <w:gridCol w:w="668"/>
        <w:gridCol w:w="587"/>
        <w:gridCol w:w="589"/>
        <w:gridCol w:w="1196"/>
        <w:gridCol w:w="1196"/>
        <w:gridCol w:w="1703"/>
      </w:tblGrid>
      <w:tr>
        <w:trPr/>
        <w:tc>
          <w:tcPr>
            <w:tcW w:w="66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 at Fiscal Year End</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Jorge del Calvo    </w:t>
            </w:r>
          </w:p>
        </w:tc>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43,876 </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Emmanuel Hernandez    </w:t>
            </w:r>
          </w:p>
        </w:tc>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44,714 </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Susan Heystee    </w:t>
            </w:r>
          </w:p>
        </w:tc>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356,498 </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Sundari Mitra    </w:t>
            </w:r>
          </w:p>
        </w:tc>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43,523 </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Remy W. Trafelet.    </w:t>
            </w:r>
          </w:p>
        </w:tc>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4,979 </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Karin Rådström    </w:t>
            </w:r>
          </w:p>
        </w:tc>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51,920 </w:t>
            </w:r>
          </w:p>
        </w:tc>
      </w:tr>
    </w:tbl>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(2)    Ms. Rådström commenced service on our board of directors in October 2021.</w:t>
      </w:r>
    </w:p>
    <w:p>
      <w:pPr>
        <w:pStyle w:val="TextBody"/>
        <w:spacing w:lineRule="auto" w:line="288" w:before="6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(3)    Mr. Bass forfeited all of the restricted stock units, performance stock units and options granted to him in connection with his cessation of service on our board of directors in June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in March 2021, each of Susan Heystee, Sundari Mitra, Jorge del Calvo and Emmanuel Hernandez were granted awards of 22,696 and 15,446 restricted stock units, which vest as to 1/12th and 1/4th, respectively, of the number of restricted stock units on each quarterly anniversary of the consummation of the Business Combination, subject to the holder’s continued service to us through the vesting date.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her service on our board of directors in October 2021, Ms. Rådström was automatically granted awards of 41,667 and 9,073 restricted stock units, which vest as to 1/12th and 1/2, respectively, of the number of restricted stock units on each quarterly anniversary of the date of grant, subject to the holder’s continued service to us through the vesting date.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2021, Ms. Heystee was awarded 302,717 restricted stock units in connection with services she provided to us as an independent contractor serving as our interim chief revenue officer.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February 2021, Old Ouster entered into an employment offer letter agreement with Carl Bass. Under the terms of his agreement, Mr. Bass served as senior advisor to Old Ouster and, following the consummation of the Business Combination, the chairman of our board of directors. Under the agreement, Mr. Bass received an annual base salary of $58,240. On March 11, 2021, Mr. Bass was granted three equity awards comprised of:</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60" w:after="283"/>
        <w:ind w:left="0" w:right="0" w:hanging="360"/>
        <w:rPr>
          <w:color w:val="000000"/>
        </w:rPr>
      </w:pPr>
      <w:r>
        <w:rPr>
          <w:color w:val="000000"/>
        </w:rPr>
        <w:t>•    </w:t>
      </w:r>
      <w:r>
        <w:rPr>
          <w:rFonts w:ascii="Times New Roman;sans-serif" w:hAnsi="Times New Roman;sans-serif"/>
          <w:b w:val="false"/>
          <w:color w:val="000000"/>
          <w:sz w:val="20"/>
        </w:rPr>
        <w:t>an award of 807,246 restricted stock units that vest as to 20% of the total number of restricted stock units subject to the award on each of the first five anniversaries of the date Mr. Bass commenced employment with Old Ouster, February 15, 2021 (the “Start Date”), subject to his continued employment through the applicable vesting date;</w:t>
      </w:r>
    </w:p>
    <w:p>
      <w:pPr>
        <w:pStyle w:val="TextBody"/>
        <w:spacing w:lineRule="auto" w:line="288" w:before="60" w:after="283"/>
        <w:ind w:left="0" w:right="0" w:hanging="360"/>
        <w:rPr>
          <w:color w:val="000000"/>
        </w:rPr>
      </w:pPr>
      <w:r>
        <w:rPr>
          <w:color w:val="000000"/>
        </w:rPr>
        <w:t>•    </w:t>
      </w:r>
      <w:r>
        <w:rPr>
          <w:rFonts w:ascii="Times New Roman;sans-serif" w:hAnsi="Times New Roman;sans-serif"/>
          <w:b w:val="false"/>
          <w:color w:val="000000"/>
          <w:sz w:val="20"/>
        </w:rPr>
        <w:t>an option to purchase 1,614,492 shares of our common stock with an exercise price equal to $12, which was the fair market value of our common stock on the date of grant that vest as to 20% of the total number of shares of our common stock subject to the option on each of the first five anniversaries of the Start Date, subject to his continued employment through the applicable vesting date. Notwithstanding the vesting of the option, the option will not be exercisable unless and until the closing trading price per share of Ouster common stock equals or exceeds 130% of the exercise price per share of the option for 30 consecutive trading days (the “Stock Price Condition”) and if the Stock Price Condition is not met on or prior to the fifth anniversary of the date of grant, the option would terminate for no consideration; and</w:t>
      </w:r>
    </w:p>
    <w:p>
      <w:pPr>
        <w:pStyle w:val="TextBody"/>
        <w:spacing w:lineRule="auto" w:line="288" w:before="60" w:after="283"/>
        <w:ind w:left="0" w:right="0" w:hanging="360"/>
        <w:rPr>
          <w:color w:val="000000"/>
        </w:rPr>
      </w:pPr>
      <w:r>
        <w:rPr>
          <w:color w:val="000000"/>
        </w:rPr>
        <w:t>•    </w:t>
      </w:r>
      <w:r>
        <w:rPr>
          <w:rFonts w:ascii="Times New Roman;sans-serif" w:hAnsi="Times New Roman;sans-serif"/>
          <w:b w:val="false"/>
          <w:color w:val="000000"/>
          <w:sz w:val="20"/>
        </w:rPr>
        <w:t>an award of 807,246 performance stock units that vest, subject to his continued employment through the applicable vesting date, as to 25% of the total number of performance stock units the first time the closing trading price per share of Ousters common stock exceeds the following per share stock price targets for at least 30 consecutive trading days on or after the following anniversaries of the date of grant: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$18 on or after the first anniversary of the date of grant,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$24 on or after the second anniversary of the date of grant,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$30 on or after the third anniversary of the date of grant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$36 on or after the fourth anniversary of the date of grant;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performance stock units that have not vested as of the fifth anniversary of the date of grant will terminate for no consideration.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Mr. Bass forfeited all of his restricted stock units, performance stock units and options when he resigned from his service on our board of directors in June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Mses. Heystee, Mitra and Rådström and Messrs. del Calvo and Hernandez and Remy Trafelet elected to receive all of her or his annual cash retainer in the form of restricted stock units. In addition, each of Mses. Mitra and Rådström and Messrs. del Calvo, Hernandez and Trafelet elected to defer all of the settlement of restricted stock units granted to them in accordance with the Non-Employee Director Compensation Program.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current Compensation Committee has reviewed and discussed with management the Compensation Discussion and Analysis set forth above. Based on such review and discussions, the Compensation Committee has recommended to the Board that the Compensation Discussion and Analysis be included in this Annual Report on Form 10-K.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Susan Heystee (Chair)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Jorge del Calvo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Emmanuel Hernandez</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Emmanuel Hernandez, Sundari Mitra, Jorge del Calvo and Susan Heystee served on the Compensation Committee of the Board. During the year ended December 31, 2021, Susan Heystee served as Interim Chief Revenue Officer of the Company. Ms. Heystee did not serve on the Compensation Committee during the period that she served as Interim Chief Revenue Officer and the Board has determined Ms. Heystee to be independent for purposes of services on the Compensation Committee subsequent to her leaving the Interim Chief Revenue Officer role. </w:t>
      </w:r>
    </w:p>
    <w:p>
      <w:pPr>
        <w:pStyle w:val="TextBody"/>
        <w:spacing w:before="3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Certain Beneficial Owners and Management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our voting shares by:</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each person who is known to be the beneficial owner of more than 5% of our voting shares;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each of our named executive officers and directors;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all of our executive officers and directors as a group.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pStyle w:val="TextBody"/>
        <w:spacing w:lineRule="auto" w:line="288" w:before="120" w:after="283"/>
        <w:rPr/>
      </w:pPr>
      <w:r>
        <w:rPr>
          <w:rFonts w:ascii="Times New Roman;sans-serif" w:hAnsi="Times New Roman;sans-serif"/>
          <w:b w:val="false"/>
          <w:color w:val="000000"/>
          <w:sz w:val="20"/>
        </w:rPr>
        <w:t>Unless otherwise indicated, the percentage ownership of our voting securities is based o</w:t>
      </w:r>
      <w:r>
        <w:rPr>
          <w:rFonts w:ascii="Times New Roman;sans-serif" w:hAnsi="Times New Roman;sans-serif"/>
          <w:b w:val="false"/>
          <w:color w:val="000000"/>
          <w:sz w:val="20"/>
          <w:highlight w:val="white"/>
        </w:rPr>
        <w:t>n 172,578,717 sh</w:t>
      </w:r>
      <w:r>
        <w:rPr>
          <w:rFonts w:ascii="Times New Roman;sans-serif" w:hAnsi="Times New Roman;sans-serif"/>
          <w:b w:val="false"/>
          <w:color w:val="000000"/>
          <w:sz w:val="20"/>
        </w:rPr>
        <w:t>ares of our common stock issued and outstanding as of February 15,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believe that all persons named in the table below have sole voting and investment power with respect to the voting securities beneficially owned by them.</w:t>
      </w:r>
    </w:p>
    <w:tbl>
      <w:tblPr>
        <w:tblW w:w="9621" w:type="dxa"/>
        <w:jc w:val="left"/>
        <w:tblInd w:w="0" w:type="dxa"/>
        <w:tblCellMar>
          <w:top w:w="28" w:type="dxa"/>
          <w:left w:w="28" w:type="dxa"/>
          <w:bottom w:w="28" w:type="dxa"/>
          <w:right w:w="28" w:type="dxa"/>
        </w:tblCellMar>
      </w:tblPr>
      <w:tblGrid>
        <w:gridCol w:w="1991"/>
        <w:gridCol w:w="1754"/>
        <w:gridCol w:w="1759"/>
        <w:gridCol w:w="109"/>
        <w:gridCol w:w="109"/>
        <w:gridCol w:w="109"/>
        <w:gridCol w:w="540"/>
        <w:gridCol w:w="541"/>
        <w:gridCol w:w="541"/>
        <w:gridCol w:w="109"/>
        <w:gridCol w:w="109"/>
        <w:gridCol w:w="109"/>
        <w:gridCol w:w="489"/>
        <w:gridCol w:w="489"/>
        <w:gridCol w:w="491"/>
        <w:gridCol w:w="109"/>
        <w:gridCol w:w="109"/>
        <w:gridCol w:w="154"/>
      </w:tblGrid>
      <w:tr>
        <w:trPr/>
        <w:tc>
          <w:tcPr>
            <w:tcW w:w="1991"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Address of Beneficial Owner(1)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Ownership</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Banyan Venture Holdings LLC(2)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25,572,646 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Cox Investment Holdings, Inc.(3)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12,065,871 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Tao Invest II LLC(4)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11,253,152 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Sharing LLC Ouster 2 PS and affiliated entities(5)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10,886,622 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10,634,089 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7,655,631 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Frichtl(8)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5,716,896 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   </w:t>
            </w:r>
            <w:r>
              <w:rPr>
                <w:rFonts w:ascii="Times New Roman;sans-serif" w:hAnsi="Times New Roman;sans-serif"/>
                <w:b w:val="false"/>
                <w:color w:val="000000"/>
                <w:sz w:val="20"/>
              </w:rPr>
              <w:t>Adam Dolinko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   </w:t>
            </w:r>
            <w:r>
              <w:rPr>
                <w:rFonts w:ascii="Times New Roman;sans-serif" w:hAnsi="Times New Roman;sans-serif"/>
                <w:b w:val="false"/>
                <w:color w:val="000000"/>
                <w:sz w:val="20"/>
              </w:rPr>
              <w:t>Nathan Dickerman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161,449 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   </w:t>
            </w:r>
            <w:r>
              <w:rPr>
                <w:rFonts w:ascii="Times New Roman;sans-serif" w:hAnsi="Times New Roman;sans-serif"/>
                <w:b w:val="false"/>
                <w:color w:val="000000"/>
                <w:sz w:val="20"/>
              </w:rPr>
              <w:t>Darien Spencer(10)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1,130,780 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Brunelle(11)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1,407,092 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Jorge del Calvo (12)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Emmanuel Hernandez(13)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29,583 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Heystee(14)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434,519 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Sundari Mitra(12)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Rådström(15)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Remy Trafelet(12)(16)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1,949,243 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executive officers as a group (12 individuals)(17)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18,499,123 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Less than one percent</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(1)Unless otherwise noted, the business address of each of those listed in the table above is 350 Treat Avenue, San Francisco, CA 94110.</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a Schedule 13G/A filed with the SEC on February 11, 2022. Consists of 25,572,646 shares over which Banyan Venture Holdings LLC has shared voting and dispositive power. Krishna Kantheti is the manager of Banyan Venture Holdings LLC. As a result, Mr. Kantheti may be deemed to beneficially own the shares held by Banyan Venture Holdings LLC. The address for Banyan Venture Holdings LLC and Mr. Kantheti is 500 108th Ave NE, Suite 1100, Bellevue, WA 98004.</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a Schedule 13G filed with the SEC on March 22, 2021. Cox Investment Holdings, Inc. (“Cox”) has sole voting and dispositive power over 12,065,871 shares of our common stock. The board of directors of Cox exercises voting and dispositive power with respect to these shares. The board of directors of Cox consists of Dallas S. Clement and Jennifer Hightower, neither of whom has individual voting or dispositive power with respect to the shares and each of whom disclaims any beneficial ownership of the shares. The trustees of the Cox Family Voting Trust u/a/d 7/26/13 (the “Cox Family Voting Trust”), consisting of James C. Kennedy, Alexander C. Taylor and John M. Dyer, are responsible for appointing all of the members of the board of directors of Cox. Because the board of directors of Cox exercises voting and dispositive power with respect to the shares, each of the foregoing individuals disclaims any beneficial ownership of the shares held by Cox. The address for Cox is 6205-A Peachtree Dunwoody Road, Atlanta, GA 30328.</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(4)Based on a Schedule 13G filed with the SEC on February 14, 2022. Tao Invest II LLC (“Tao Invest”) has shared voting and dispositive power over 11,253,152 shares of our common stock. The manager of Tao Invest is Tao Capital Management LP (“LP”). The business address of Tao Invest and LP is One Letterman Drive, Suite C4-420, San Francisco, California 94129.</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(5)Based on a Schedule 13G filed with the SEC on September 3, 2021. Sharing LLC Ouster 2 PS (“Sharing 2”) has shared voting and dispositive power over 6,726,512 shares of our common stock, Sharing LLC Ouster 3 PS (“Sharing 3”) has shared voting and dispositive power over 3,703,221 shares of our common stock, Sharing LLC Ouster PS (“Sharing”) has shared voting and dispositive power over 456,889 shares of our common stock and Jacob Goldfield has shared voting and dispositive power over 10,886,622 shares of our common stock. Because of the relationship of Mr. Goldfield to Sharing, Sharing 2 and Sharing 3, Mr. Goldfield may be deemed to beneficially own the shares of common stock held by such entities. The address for each of the foregoing entities and Mr. Goldfield is 33 Union Square West New York, NY 10003.</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(6)Based on a Schedule 13G filed with the SEC on February 10, 2022. The Vanguard Group has shared voting power over 257,926 shares, sole dispositive power over 10,349,874 shares and shared dispositive power over 284,215 shares of our common stock. The address for The Vanguard Group is 100 Vanguard Blvd., Malvern, PA 19355.</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(7)Consists of 4,385,807 shares of common stock and 3,269,824 shares of common stock issuable upon exercise of options exercisable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(8)Consists of 3,343,636 shares of common stock and 2,373,260 shares of common stock issuable upon exercise of options exercisable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(9)Consists of 161,449 shares of common stock issuable upon exercise of options exercisable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(10)Includes 1,103,361 shares of common stock held directly and 27,419 shares of common stock issuable upon vesting of restricted stock units that will vest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(11)Includes 1,372,972 shares of common stock held directly and 34,120 shares of common stock issuable upon vesting of restricted stock units that will vest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(12)Director has elected to defer settlement of equity compensation such that no shares will be settled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(13)Consists of 29,583 shares of common stock issuable upon deferred settlement of previously vested or to be vested awards of restricted stock units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(14)Consists of 428,766 shares of common stock and 5,753 shares of common stock issuable upon vesting of restricted stock units as of or within 60 days of February 15, 2022.</w:t>
      </w:r>
    </w:p>
    <w:p>
      <w:pPr>
        <w:pStyle w:val="TextBody"/>
        <w:spacing w:lineRule="auto" w:line="26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(15)Consists of 7,554 shares of common stock and 6,376 shares of common stock issuable upon vesting of restricted stock units as of or within 60 days of February 15, 2022.</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(16)Consists of 1,557,576 shares of common stock held directly and 391,667 shares of common stock held by the Remy W. Trafelet Revocable Trust.</w:t>
      </w:r>
    </w:p>
    <w:p>
      <w:pPr>
        <w:pStyle w:val="TextBody"/>
        <w:spacing w:lineRule="auto" w:line="288" w:before="60" w:after="283"/>
        <w:ind w:left="0" w:right="0" w:hanging="720"/>
        <w:rPr/>
      </w:pPr>
      <w:r>
        <w:rPr>
          <w:rFonts w:ascii="Times New Roman;sans-serif" w:hAnsi="Times New Roman;sans-serif"/>
          <w:b w:val="false"/>
          <w:color w:val="000000"/>
          <w:sz w:val="20"/>
        </w:rPr>
        <w:t xml:space="preserve">(17)Consists of 12,597,911 shares of common stock </w:t>
      </w:r>
      <w:r>
        <w:rPr>
          <w:rFonts w:ascii="Times New Roman;sans-serif" w:hAnsi="Times New Roman;sans-serif"/>
          <w:b w:val="false"/>
          <w:color w:val="000000"/>
          <w:sz w:val="20"/>
          <w:highlight w:val="white"/>
        </w:rPr>
        <w:t xml:space="preserve">5,901,212 </w:t>
      </w:r>
      <w:r>
        <w:rPr>
          <w:rFonts w:ascii="Times New Roman;sans-serif" w:hAnsi="Times New Roman;sans-serif"/>
          <w:b w:val="false"/>
          <w:color w:val="000000"/>
          <w:sz w:val="20"/>
        </w:rPr>
        <w:t>shares of common stock issuable upon deferred settlement of previously vested awards of restricted stock units, vesting of restricted stock units or exercise of options exercisable as of or within 60 days of February 15, 2022.</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 (As of December 31, 2021)</w:t>
      </w:r>
    </w:p>
    <w:tbl>
      <w:tblPr>
        <w:tblW w:w="10205" w:type="dxa"/>
        <w:jc w:val="left"/>
        <w:tblInd w:w="0" w:type="dxa"/>
        <w:tblCellMar>
          <w:top w:w="28" w:type="dxa"/>
          <w:left w:w="28" w:type="dxa"/>
          <w:bottom w:w="28" w:type="dxa"/>
          <w:right w:w="28" w:type="dxa"/>
        </w:tblCellMar>
      </w:tblPr>
      <w:tblGrid>
        <w:gridCol w:w="1061"/>
        <w:gridCol w:w="932"/>
        <w:gridCol w:w="878"/>
        <w:gridCol w:w="109"/>
        <w:gridCol w:w="109"/>
        <w:gridCol w:w="109"/>
        <w:gridCol w:w="540"/>
        <w:gridCol w:w="541"/>
        <w:gridCol w:w="260"/>
        <w:gridCol w:w="260"/>
        <w:gridCol w:w="260"/>
        <w:gridCol w:w="262"/>
        <w:gridCol w:w="109"/>
        <w:gridCol w:w="109"/>
        <w:gridCol w:w="109"/>
        <w:gridCol w:w="167"/>
        <w:gridCol w:w="167"/>
        <w:gridCol w:w="167"/>
        <w:gridCol w:w="325"/>
        <w:gridCol w:w="790"/>
        <w:gridCol w:w="170"/>
        <w:gridCol w:w="109"/>
        <w:gridCol w:w="109"/>
        <w:gridCol w:w="109"/>
        <w:gridCol w:w="196"/>
        <w:gridCol w:w="196"/>
        <w:gridCol w:w="196"/>
        <w:gridCol w:w="540"/>
        <w:gridCol w:w="541"/>
        <w:gridCol w:w="775"/>
      </w:tblGrid>
      <w:tr>
        <w:trPr/>
        <w:tc>
          <w:tcPr>
            <w:tcW w:w="1061"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r>
      <w:tr>
        <w:trPr/>
        <w:tc>
          <w:tcPr>
            <w:tcW w:w="287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w:t>
              <w:br/>
              <w:t>be Issued Upon Exercise</w:t>
              <w:br/>
              <w:t>of Outstanding Options,</w:t>
              <w:br/>
              <w:t>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 Options,</w:t>
              <w:br/>
              <w:t>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Available for Future</w:t>
              <w:br/>
              <w:t>Issuance Under Equity</w:t>
              <w:br/>
              <w:t>Compensation Plans</w:t>
              <w:br/>
              <w:t>(excludes securities</w:t>
              <w:br/>
              <w:t>Reflected in first column)</w:t>
            </w:r>
          </w:p>
        </w:tc>
      </w:tr>
      <w:tr>
        <w:trPr/>
        <w:tc>
          <w:tcPr>
            <w:tcW w:w="2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32,833,462 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13,944,608 </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285"/>
              <w:rPr>
                <w:sz w:val="4"/>
                <w:szCs w:val="4"/>
              </w:rPr>
            </w:pPr>
            <w:r>
              <w:rPr>
                <w:sz w:val="4"/>
                <w:szCs w:val="4"/>
              </w:rPr>
            </w:r>
          </w:p>
        </w:tc>
      </w:tr>
      <w:tr>
        <w:trPr/>
        <w:tc>
          <w:tcPr>
            <w:tcW w:w="2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8,704,366 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pPr>
            <w:r>
              <w:rPr>
                <w:rFonts w:ascii="Times New Roman;sans-serif" w:hAnsi="Times New Roman;sans-serif"/>
                <w:b w:val="false"/>
                <w:color w:val="000000"/>
                <w:sz w:val="20"/>
              </w:rPr>
              <w:t>_</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285"/>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24,129,096 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pPr>
            <w:r>
              <w:rPr>
                <w:rFonts w:ascii="Times New Roman;sans-serif" w:hAnsi="Times New Roman;sans-serif"/>
                <w:b w:val="false"/>
                <w:color w:val="000000"/>
                <w:sz w:val="20"/>
              </w:rPr>
              <w:t>_</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32,833,462 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13,944,608 </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(1)Consists of the Ouster, Inc. 2021 Incentive Award Plan (“2021 Plan”), Ouster Inc. Amended and Restated 2015 Stock Plan (“2015 Plan”) and Sense Photonics, Inc. 2017 Equity Incentive Plan and (“Sense Plan”). </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No additional awards will be granted under the 2015 Plan or the Sense Plan and, as a result, no shares remain available for issuance for new awards under the 2015 Plan or the Sense Plan.</w:t>
      </w:r>
    </w:p>
    <w:p>
      <w:pPr>
        <w:pStyle w:val="TextBody"/>
        <w:spacing w:lineRule="auto" w:line="288" w:before="60" w:after="283"/>
        <w:ind w:left="0" w:right="0" w:hanging="360"/>
        <w:rPr/>
      </w:pPr>
      <w:r>
        <w:rPr>
          <w:rFonts w:ascii="Times New Roman;sans-serif" w:hAnsi="Times New Roman;sans-serif"/>
          <w:b w:val="false"/>
          <w:color w:val="000000"/>
          <w:sz w:val="20"/>
        </w:rPr>
        <w:t>(3)</w:t>
      </w:r>
      <w:r>
        <w:rPr>
          <w:rFonts w:ascii="Times New Roman;sans-serif" w:hAnsi="Times New Roman;sans-serif"/>
          <w:b w:val="false"/>
          <w:color w:val="000000"/>
          <w:sz w:val="20"/>
          <w:highlight w:val="white"/>
        </w:rPr>
        <w:t>Consists of 4,316,147 outstanding restricted stock units under the 2021 Plan and 4,388,219 outstanding restricted stock units under the Sense Plan.</w:t>
      </w:r>
    </w:p>
    <w:p>
      <w:pPr>
        <w:pStyle w:val="TextBody"/>
        <w:spacing w:lineRule="auto" w:line="288" w:before="60" w:after="283"/>
        <w:ind w:left="0" w:right="0" w:hanging="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(4)Consists of 22,675,729 outstanding options to purchase stock under the 2015 Plan, 645,796 outstanding options to purchase stock under the 2021 Plan and 807,570 outstanding options to purchase stock under the Sense Plan. </w:t>
      </w:r>
    </w:p>
    <w:p>
      <w:pPr>
        <w:pStyle w:val="TextBody"/>
        <w:spacing w:lineRule="auto" w:line="288" w:before="60" w:after="283"/>
        <w:ind w:left="0" w:right="0" w:hanging="360"/>
        <w:rPr/>
      </w:pPr>
      <w:r>
        <w:rPr>
          <w:rFonts w:ascii="Times New Roman;sans-serif" w:hAnsi="Times New Roman;sans-serif"/>
          <w:b w:val="false"/>
          <w:color w:val="000000"/>
          <w:sz w:val="20"/>
          <w:highlight w:val="white"/>
        </w:rPr>
        <w:t>(5)</w:t>
      </w:r>
      <w:r>
        <w:rPr>
          <w:rFonts w:ascii="Times New Roman;sans-serif" w:hAnsi="Times New Roman;sans-serif"/>
          <w:b w:val="false"/>
          <w:color w:val="000000"/>
          <w:sz w:val="20"/>
        </w:rPr>
        <w:t>As of December 31, 2021, the weighted-average exercise price o</w:t>
      </w:r>
      <w:r>
        <w:rPr>
          <w:rFonts w:ascii="Times New Roman;sans-serif" w:hAnsi="Times New Roman;sans-serif"/>
          <w:b w:val="false"/>
          <w:color w:val="000000"/>
          <w:sz w:val="20"/>
          <w:highlight w:val="white"/>
        </w:rPr>
        <w:t>f outstanding options under the 2015 Plan was $0.61, the weighted-average exercise price of outstanding options under the 2021 Plan was $10.26 and the weighted-average exercise price of outstanding options under the Sense Plan was $5.05.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Policies and Procedures for Approval of Related Person Transactions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person who is, or at any time during the applicable period was, one of our executive officers or directors;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any person who is known by the post-combination company to be the beneficial owner of more than 5% of our voting stock;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firm, corporation or other entity in which any of the foregoing persons is a partner or principal, or in a similar position, or in which such person has a 10% or greater beneficial ownership interest.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policies and procedures designed to minimize potential conflicts of interest arising from any dealings it may have with its affiliates and to provide appropriate procedures for the disclosure of any real or potential conflicts of interest that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may exist from time to time. Specifically, pursuant to its Audit Committee charter, the Audit Committee has the responsibility to review related party transactions.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Relationships and Transactions with Directors, Executive Officers and Significant Stockholders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certain transactions, arrangements and relationships with our directors, executive officers and stockholders owning 5% or more of our outstanding common stock: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2021 Bridge Loan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January 27, 2021, we issued the 2021 Note, pursuant to which the noteholders, each of whom was an investor in OTI (or an affiliate thereof), agreed to provide OTI an aggregate of $5 million of unsecured loans that carried a variable annual interest rate equal to LIBOR plus 8.5%. The 2021 Note, including the principal and any accrued and unpaid interest thereon, became due and was repaid in connection with the consummation of the Business Combination. The 2021 Note contained customary events of default. We used the proceeds from the 2021 Note to help continue to fund our ongoing operations through the consummation of the Business Combination. Pursuant to the Runway Subordination Agreement, the noteholders agreed, among other things, to subordinate their interests in the 2021 Note to Runway’s interest in the Runway Loan Agreement, including their right of payment under the 2021 Note until all of OTI’s obligations to Runway pursuant to the Runway Loan Agreement had been paid in full, except in the case of the consummation of the Business Combination.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aggregate principal amount of the 2021 Note issued to such related persons.</w:t>
      </w:r>
    </w:p>
    <w:tbl>
      <w:tblPr>
        <w:tblW w:w="5963" w:type="dxa"/>
        <w:jc w:val="left"/>
        <w:tblInd w:w="0" w:type="dxa"/>
        <w:tblCellMar>
          <w:top w:w="28" w:type="dxa"/>
          <w:left w:w="28" w:type="dxa"/>
          <w:bottom w:w="28" w:type="dxa"/>
          <w:right w:w="28" w:type="dxa"/>
        </w:tblCellMar>
      </w:tblPr>
      <w:tblGrid>
        <w:gridCol w:w="982"/>
        <w:gridCol w:w="863"/>
        <w:gridCol w:w="869"/>
        <w:gridCol w:w="109"/>
        <w:gridCol w:w="109"/>
        <w:gridCol w:w="109"/>
        <w:gridCol w:w="347"/>
        <w:gridCol w:w="2024"/>
        <w:gridCol w:w="179"/>
        <w:gridCol w:w="109"/>
        <w:gridCol w:w="109"/>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Aggregate Principal Amount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Banyan Venture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1,895,542.84 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Cox Investment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867,597.44 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Tao Invest II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817,886.22 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Sharing LLC Ouster Bridge 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802,219.65 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Zachary Frankel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545,830.28 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GAC Acquisition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70,923.57 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Loans to Executive Officers in Connection with Option Exercises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October 2020, OTI entered into partial recourse promissory notes with certain of its executive officers, Anna Brunelle and Darien Spencer, and a former executive officer, Myra Pasek, in connection with the early exercise of stock options held by such executive officers and the remittance of applicable exercise prices. Pursuant to the terms of the partial recourse promissory notes, OTI loaned approximately $293,000 to Ms. Brunelle, approximately $215,000 to Mr. Spencer and approximately $123,000 to Ms. Pasek, respectively. Each note bore an annual compounded interest rate of 0.38%. The principal amounts of each note, together with all accrued but unpaid interest, were repaid upon the closing of the Business Combination.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Investors’ Rights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OTI was party to an Amended and Restated Investors’ Rights Agreement, dated as of April 9, 2020, which granted registration rights and information rights, among other things, to certain holders of its capital stock, including certain holders of 5% of its capital stock and entities affiliated with certain of its directors, as well as certain of its directors and executive officers. This agreement terminated upon the closing of the Business Combination.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Right of First Refusal and Co-Sale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OTI was party to an Amended and Restated Right of First Refusal and Co-Sale Agreement, dated as of April 3, 2020 (the “ROFR Agreement”), whereby OTI had the right to purchase shares of OTI capital stock which certain stockholders propose to sell to other parties. Certain holders of OTI capital stock, including certain holders of 5% of its capital stock and entities affiliated with certain of its directors, as well as certain of its directors and executive officers, had rights of first refusal and co-sale under the ROFR Agreement. This agreement terminated upon the closing of the Business Combination.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Voting Agreement</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OTI was a party to an Amended and Restated Voting Agreement, dated as of April 3, 2020, pursuant to which certain holders of its capital stock, including certain holders of 5% of its capital stock and entities affiliated with certain of its directors, as well as certain of its directors and executive officers, had agreed to vote their shares of OTI Capital Stock on certain matters, including with respect to the election of directors. This agreement terminated upon the closing of the Business Combination.</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Registration Rights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11, 2021, in connection with the consummation of the Business Combination, Ouster, Colonnade Sponsor LLC (the “Sponsor”), Colonnade WPB LLC (the “Sponsor PIPE Purchaser”), certain members of the Sponsor and the Sponsor PIPE Purchaser and certain former stockholders of OTI entered into the Amended and Restated Registration Rights Agreement (the “Registration Rights Agreement”). Such parties have registration rights to require the Company to register a sale of any of our securities held by them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Business Combination. The Company will bear the expenses incurred in connection with the filing of any such registration statements.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entered into, and plan on entering into, indemnification agreements with each of our directors and executive officers.</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Independence of the Board of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required to have a board that is composed of a majority of independent directors, as defined under New York Stock Exchange rules. In making its independence determinations, the board of directors reviewed and discussed information provided by the directors with regard to each director’s business and personal activities and any relationships they have with us and our management, including with respect to their ownership of our common stock. The board of directors specifically considered Susan Heystee’s prior service as an interim executive officer of the Company. As a result of this review, our board of directors determined that Jorge del Calvo, Emmanuel Hernandez, Susan Heystee, Sundari Mitra, Karin Rådström and Remy Trafelet are “independent directors” as defined under the applicable rules and regulations of the SEC and the listing requirements and rules of New York Stock Exchange, representing six of our seven directors. Angus Pacala is not an independent director due to his employment as Chief Executive Officer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fees of PricewaterhouseCoopers LLP, our independent registered public accounting firm, billed to us for each of the last two fiscal years.</w:t>
      </w:r>
    </w:p>
    <w:tbl>
      <w:tblPr>
        <w:tblW w:w="5388" w:type="dxa"/>
        <w:jc w:val="left"/>
        <w:tblInd w:w="0" w:type="dxa"/>
        <w:tblCellMar>
          <w:top w:w="28" w:type="dxa"/>
          <w:left w:w="28" w:type="dxa"/>
          <w:bottom w:w="28" w:type="dxa"/>
          <w:right w:w="28" w:type="dxa"/>
        </w:tblCellMar>
      </w:tblPr>
      <w:tblGrid>
        <w:gridCol w:w="642"/>
        <w:gridCol w:w="562"/>
        <w:gridCol w:w="566"/>
        <w:gridCol w:w="109"/>
        <w:gridCol w:w="109"/>
        <w:gridCol w:w="109"/>
        <w:gridCol w:w="211"/>
        <w:gridCol w:w="976"/>
        <w:gridCol w:w="109"/>
        <w:gridCol w:w="109"/>
        <w:gridCol w:w="109"/>
        <w:gridCol w:w="109"/>
        <w:gridCol w:w="211"/>
        <w:gridCol w:w="976"/>
        <w:gridCol w:w="109"/>
        <w:gridCol w:w="109"/>
        <w:gridCol w:w="109"/>
        <w:gridCol w:w="154"/>
      </w:tblGrid>
      <w:tr>
        <w:trPr/>
        <w:tc>
          <w:tcPr>
            <w:tcW w:w="64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fees</w:t>
            </w:r>
            <w:r>
              <w:rPr>
                <w:color w:val="000000"/>
              </w:rPr>
              <w:t xml:space="preserve"> </w:t>
            </w: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(1)Audit fees consist of fees for the audit of our financial statements, the review of the interim financial statements included in our quarterly reports on Form 10-Q, the review of financial statements to be included in registration statements and other professional services provided in connection with statutory and regulatory filings or engagements. </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(2)Audit-related fees consist of fees that are reasonably related to the performance of the audit and the review of our financial statements and which are not reported under “Audit Fees.” </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(3)Tax fees consist of fees for tax-related services, including tax compliance and tax advice. </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(4)All other fees.</w:t>
      </w: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Pre-Approval Policies and Procedures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10% of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Company are listed in the index under Part II, Item 8, of this Annual Report on Form 10-K.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for the Company have been included in the consolidated financial statements or the related footnotes, or are either inapplicable or not required.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exhibits filed as part of this Annual Report on Form 10-K.</w:t>
      </w:r>
    </w:p>
    <w:tbl>
      <w:tblPr>
        <w:tblW w:w="10205" w:type="dxa"/>
        <w:jc w:val="left"/>
        <w:tblInd w:w="0" w:type="dxa"/>
        <w:tblCellMar>
          <w:top w:w="28" w:type="dxa"/>
          <w:left w:w="28" w:type="dxa"/>
          <w:bottom w:w="28" w:type="dxa"/>
          <w:right w:w="28" w:type="dxa"/>
        </w:tblCellMar>
      </w:tblPr>
      <w:tblGrid>
        <w:gridCol w:w="342"/>
        <w:gridCol w:w="300"/>
        <w:gridCol w:w="301"/>
        <w:gridCol w:w="1366"/>
        <w:gridCol w:w="1101"/>
        <w:gridCol w:w="1104"/>
        <w:gridCol w:w="109"/>
        <w:gridCol w:w="109"/>
        <w:gridCol w:w="109"/>
        <w:gridCol w:w="206"/>
        <w:gridCol w:w="206"/>
        <w:gridCol w:w="207"/>
        <w:gridCol w:w="109"/>
        <w:gridCol w:w="109"/>
        <w:gridCol w:w="109"/>
        <w:gridCol w:w="276"/>
        <w:gridCol w:w="276"/>
        <w:gridCol w:w="256"/>
        <w:gridCol w:w="109"/>
        <w:gridCol w:w="109"/>
        <w:gridCol w:w="109"/>
        <w:gridCol w:w="248"/>
        <w:gridCol w:w="248"/>
        <w:gridCol w:w="249"/>
        <w:gridCol w:w="109"/>
        <w:gridCol w:w="109"/>
        <w:gridCol w:w="109"/>
        <w:gridCol w:w="234"/>
        <w:gridCol w:w="234"/>
        <w:gridCol w:w="235"/>
        <w:gridCol w:w="109"/>
        <w:gridCol w:w="109"/>
        <w:gridCol w:w="109"/>
        <w:gridCol w:w="341"/>
        <w:gridCol w:w="341"/>
        <w:gridCol w:w="499"/>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4" w:type="dxa"/>
            <w:gridSpan w:val="27"/>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Filed/ Furnished herewith</w:t>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fldChar w:fldCharType="begin"/>
            </w:r>
            <w:r>
              <w:rPr>
                <w:rStyle w:val="InternetLink"/>
                <w:sz w:val="20"/>
                <w:u w:val="single"/>
                <w:b w:val="false"/>
                <w:rFonts w:ascii="Times New Roman;sans-serif" w:hAnsi="Times New Roman;sans-serif"/>
              </w:rPr>
              <w:instrText> HYPERLINK "https://www.sec.gov/Archives/edgar/data/1816581/000119312521036740/d10549ds4a.htm" \l "rom10549_42"</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2.1†</w:t>
            </w:r>
            <w:r>
              <w:rPr>
                <w:rStyle w:val="InternetLink"/>
                <w:sz w:val="20"/>
                <w:u w:val="single"/>
                <w:b w:val="false"/>
                <w:rFonts w:ascii="Times New Roman;sans-serif" w:hAnsi="Times New Roman;sans-serif"/>
              </w:rPr>
              <w:fldChar w:fldCharType="end"/>
            </w:r>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20"/>
                <w:u w:val="single"/>
                <w:b w:val="false"/>
                <w:rFonts w:ascii="Times New Roman;sans-serif" w:hAnsi="Times New Roman;sans-serif"/>
              </w:rPr>
              <w:instrText> HYPERLINK "https://www.sec.gov/Archives/edgar/data/1816581/000119312521036740/d10549ds4a.htm" \l "rom10549_42"</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Agreement and Plan of Merger, dated as of December 21, 2020, by and among the Company, Beam Merger Sub, Inc. and Ouster, Inc.</w:t>
            </w:r>
            <w:r>
              <w:rPr>
                <w:rStyle w:val="InternetLink"/>
                <w:sz w:val="20"/>
                <w:u w:val="single"/>
                <w:b w:val="false"/>
                <w:rFonts w:ascii="Times New Roman;sans-serif" w:hAnsi="Times New Roman;sans-serif"/>
              </w:rPr>
              <w:fldChar w:fldCharType="end"/>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3.1</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Times New Roman;sans-serif" w:hAnsi="Times New Roman;sans-serif"/>
                  <w:b w:val="false"/>
                  <w:color w:val="0000FF"/>
                  <w:sz w:val="20"/>
                  <w:u w:val="single"/>
                </w:rPr>
                <w:t>Certificate of Incorporation of Ouster,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 POS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3.2</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
              <w:r>
                <w:rPr>
                  <w:rStyle w:val="InternetLink"/>
                  <w:rFonts w:ascii="Times New Roman;sans-serif" w:hAnsi="Times New Roman;sans-serif"/>
                  <w:b w:val="false"/>
                  <w:color w:val="0000FF"/>
                  <w:sz w:val="20"/>
                  <w:u w:val="single"/>
                </w:rPr>
                <w:t>Bylaws of Ouster,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 POS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Pr>
                <w:t>4.</w:t>
              </w:r>
            </w:hyperlink>
            <w:hyperlink r:id="rId13">
              <w:r>
                <w:rPr>
                  <w:rStyle w:val="InternetLink"/>
                </w:rPr>
                <w:t>1</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Pr>
                <w:t>Warrant Agreement, dated August 20, 2020, between Colonnade Acquisition Corp. and Continental Stock Transfer &amp; Trust Company</w:t>
              </w:r>
            </w:hyperlink>
            <w:hyperlink r:id="rId15">
              <w:r>
                <w:rPr>
                  <w:rStyle w:val="InternetLink"/>
                </w:rPr>
                <w:t>, as warrant agrent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Pr>
                <w:t>4.</w:t>
              </w:r>
            </w:hyperlink>
            <w:hyperlink r:id="rId17">
              <w:r>
                <w:rPr>
                  <w:rStyle w:val="InternetLink"/>
                </w:rPr>
                <w:t>2</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20"/>
                  <w:u w:val="single"/>
                </w:rPr>
                <w:t>Specimen Warrant Certificate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333-240378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44for202110xk.htm">
              <w:r>
                <w:rPr>
                  <w:rStyle w:val="InternetLink"/>
                </w:rPr>
                <w:t>4.</w:t>
              </w:r>
            </w:hyperlink>
            <w:hyperlink w:anchor="oust-ex44for202110xk.htm">
              <w:r>
                <w:rPr>
                  <w:rStyle w:val="InternetLink"/>
                </w:rPr>
                <w:t>3</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oust-ex44for202110xk.htm">
              <w:r>
                <w:rPr>
                  <w:rStyle w:val="InternetLink"/>
                  <w:rFonts w:ascii="Times New Roman;sans-serif" w:hAnsi="Times New Roman;sans-serif"/>
                  <w:b w:val="false"/>
                  <w:color w:val="0000FF"/>
                  <w:sz w:val="20"/>
                  <w:u w:val="single"/>
                </w:rPr>
                <w:t>Description of Our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101for202110xk.htm">
              <w:r>
                <w:rPr>
                  <w:rStyle w:val="InternetLink"/>
                  <w:rFonts w:ascii="Times New Roman;sans-serif" w:hAnsi="Times New Roman;sans-serif"/>
                  <w:b w:val="false"/>
                  <w:color w:val="0000FF"/>
                  <w:sz w:val="20"/>
                  <w:u w:val="single"/>
                </w:rPr>
                <w:t>10.1</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oust-ex101for202110xk.htm">
              <w:r>
                <w:rPr>
                  <w:rStyle w:val="InternetLink"/>
                  <w:rFonts w:ascii="Times New Roman;sans-serif" w:hAnsi="Times New Roman;sans-serif"/>
                  <w:b w:val="false"/>
                  <w:color w:val="0000FF"/>
                  <w:sz w:val="20"/>
                  <w:u w:val="single"/>
                </w:rPr>
                <w:t>Form of Indemnification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10.2</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20"/>
                  <w:u w:val="single"/>
                </w:rPr>
                <w:t>Amended and Restated Registration Rights Agreement, by and among Ouster, Inc. and the holders party thereto</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Pr>
                <w:t>10.3</w:t>
              </w:r>
            </w:hyperlink>
            <w:hyperlink r:id="rId22">
              <w:r>
                <w:rPr>
                  <w:rStyle w:val="InternetLink"/>
                </w:rPr>
                <w:t>+</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Times New Roman;sans-serif" w:hAnsi="Times New Roman;sans-serif"/>
                  <w:b w:val="false"/>
                  <w:color w:val="0000FF"/>
                  <w:sz w:val="20"/>
                  <w:u w:val="single"/>
                </w:rPr>
                <w:t>2021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10.3(a)+</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Times New Roman;sans-serif" w:hAnsi="Times New Roman;sans-serif"/>
                  <w:b w:val="false"/>
                  <w:color w:val="0000FF"/>
                  <w:sz w:val="20"/>
                  <w:u w:val="single"/>
                </w:rPr>
                <w:t>Form of Stock Option Agreement under the 2021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10.3(b)+</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Times New Roman;sans-serif" w:hAnsi="Times New Roman;sans-serif"/>
                  <w:b w:val="false"/>
                  <w:color w:val="0000FF"/>
                  <w:sz w:val="20"/>
                  <w:u w:val="single"/>
                </w:rPr>
                <w:t>Form of Restricted Stock Unit Agreement under the 2021 Incentive Award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10.4</w:t>
              </w:r>
            </w:hyperlink>
            <w:r>
              <w:rPr>
                <w:rFonts w:ascii="Times New Roman;sans-serif" w:hAnsi="Times New Roman;sans-serif"/>
                <w:b w:val="false"/>
                <w:color w:val="000000"/>
                <w:sz w:val="20"/>
              </w:rPr>
              <w:t>#</w:t>
            </w:r>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20"/>
                  <w:u w:val="single"/>
                </w:rPr>
                <w:t>Manufacturing Services Agreement, dated as of March 5, 2018, by and between Ouster, Inc. and Benchmark Electronics,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12/22/2020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10.5</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Times New Roman;sans-serif" w:hAnsi="Times New Roman;sans-serif"/>
                  <w:b w:val="false"/>
                  <w:color w:val="0000FF"/>
                  <w:sz w:val="20"/>
                  <w:u w:val="single"/>
                </w:rPr>
                <w:t>Lease, dated September 5, 2017, by and between Ouster, Inc. and Mission Creative Ownership, LLC</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10.5(a)</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3">
              <w:r>
                <w:rPr>
                  <w:rStyle w:val="InternetLink"/>
                  <w:rFonts w:ascii="Times New Roman;sans-serif" w:hAnsi="Times New Roman;sans-serif"/>
                  <w:b w:val="false"/>
                  <w:color w:val="0000FF"/>
                  <w:sz w:val="20"/>
                  <w:u w:val="single"/>
                </w:rPr>
                <w:t>First Amendment to Lease, dated January 21, 2018,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10.5(b)</w:t>
              </w:r>
            </w:hyperlink>
          </w:p>
        </w:tc>
        <w:tc>
          <w:tcPr>
            <w:tcW w:w="357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5">
              <w:r>
                <w:rPr>
                  <w:rStyle w:val="InternetLink"/>
                  <w:rFonts w:ascii="Times New Roman;sans-serif" w:hAnsi="Times New Roman;sans-serif"/>
                  <w:b w:val="false"/>
                  <w:color w:val="0000FF"/>
                  <w:sz w:val="20"/>
                  <w:u w:val="single"/>
                </w:rPr>
                <w:t>Second Amendment to Lease, dated March 27, 2018,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40" w:before="0" w:after="0"/>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tbl>
      <w:tblPr>
        <w:tblW w:w="10205" w:type="dxa"/>
        <w:jc w:val="left"/>
        <w:tblInd w:w="0" w:type="dxa"/>
        <w:tblCellMar>
          <w:top w:w="28" w:type="dxa"/>
          <w:left w:w="28" w:type="dxa"/>
          <w:bottom w:w="28" w:type="dxa"/>
          <w:right w:w="28" w:type="dxa"/>
        </w:tblCellMar>
      </w:tblPr>
      <w:tblGrid>
        <w:gridCol w:w="290"/>
        <w:gridCol w:w="198"/>
        <w:gridCol w:w="190"/>
        <w:gridCol w:w="1841"/>
        <w:gridCol w:w="1591"/>
        <w:gridCol w:w="1595"/>
        <w:gridCol w:w="109"/>
        <w:gridCol w:w="109"/>
        <w:gridCol w:w="109"/>
        <w:gridCol w:w="125"/>
        <w:gridCol w:w="125"/>
        <w:gridCol w:w="125"/>
        <w:gridCol w:w="109"/>
        <w:gridCol w:w="109"/>
        <w:gridCol w:w="109"/>
        <w:gridCol w:w="270"/>
        <w:gridCol w:w="270"/>
        <w:gridCol w:w="271"/>
        <w:gridCol w:w="109"/>
        <w:gridCol w:w="109"/>
        <w:gridCol w:w="109"/>
        <w:gridCol w:w="221"/>
        <w:gridCol w:w="221"/>
        <w:gridCol w:w="222"/>
        <w:gridCol w:w="109"/>
        <w:gridCol w:w="109"/>
        <w:gridCol w:w="109"/>
        <w:gridCol w:w="211"/>
        <w:gridCol w:w="211"/>
        <w:gridCol w:w="212"/>
        <w:gridCol w:w="109"/>
        <w:gridCol w:w="109"/>
        <w:gridCol w:w="109"/>
        <w:gridCol w:w="109"/>
        <w:gridCol w:w="109"/>
        <w:gridCol w:w="163"/>
      </w:tblGrid>
      <w:tr>
        <w:trPr/>
        <w:tc>
          <w:tcPr>
            <w:tcW w:w="29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10.5(c)</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7">
              <w:r>
                <w:rPr>
                  <w:rStyle w:val="InternetLink"/>
                  <w:rFonts w:ascii="Times New Roman;sans-serif" w:hAnsi="Times New Roman;sans-serif"/>
                  <w:b w:val="false"/>
                  <w:color w:val="0000FF"/>
                  <w:sz w:val="20"/>
                  <w:u w:val="single"/>
                </w:rPr>
                <w:t>Third Amendment to Lease, dated August 14, 2018,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10.5(d)</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9">
              <w:r>
                <w:rPr>
                  <w:rStyle w:val="InternetLink"/>
                  <w:rFonts w:ascii="Times New Roman;sans-serif" w:hAnsi="Times New Roman;sans-serif"/>
                  <w:b w:val="false"/>
                  <w:color w:val="0000FF"/>
                  <w:sz w:val="20"/>
                  <w:u w:val="single"/>
                </w:rPr>
                <w:t>Fourth Amendment to Lease, dated April 4, 2019,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10.5(e)</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Fifth Amendment to Lease, dated July 21, 2019,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10.5(f)</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43">
              <w:r>
                <w:rPr>
                  <w:rStyle w:val="InternetLink"/>
                  <w:rFonts w:ascii="Times New Roman;sans-serif" w:hAnsi="Times New Roman;sans-serif"/>
                  <w:b w:val="false"/>
                  <w:color w:val="0000FF"/>
                  <w:sz w:val="20"/>
                  <w:u w:val="single"/>
                </w:rPr>
                <w:t>Sixth Amendment to Lease, dated December 20, 2019,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Times New Roman;sans-serif" w:hAnsi="Times New Roman;sans-serif"/>
                  <w:b w:val="false"/>
                  <w:color w:val="0000FF"/>
                  <w:sz w:val="20"/>
                  <w:u w:val="single"/>
                </w:rPr>
                <w:t>10.5(g)</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45">
              <w:r>
                <w:rPr>
                  <w:rStyle w:val="InternetLink"/>
                  <w:rFonts w:ascii="Times New Roman;sans-serif" w:hAnsi="Times New Roman;sans-serif"/>
                  <w:b w:val="false"/>
                  <w:color w:val="0000FF"/>
                  <w:sz w:val="20"/>
                  <w:u w:val="single"/>
                </w:rPr>
                <w:t>Seventh Amendment to Lease, dated May 18, 2020, by and between Ouster, Inc. and Mission Creative Ownership, LLC.</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FF"/>
                  <w:sz w:val="20"/>
                  <w:u w:val="single"/>
                </w:rPr>
                <w:t>10.6</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Times New Roman;sans-serif" w:hAnsi="Times New Roman;sans-serif"/>
                  <w:b w:val="false"/>
                  <w:color w:val="0000FF"/>
                  <w:sz w:val="20"/>
                  <w:u w:val="single"/>
                </w:rPr>
                <w:t>NNN Lease, dated September 1, 2017, by and between Ouster, Inc. and SIC-350 Treat,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Fonts w:ascii="Times New Roman;sans-serif" w:hAnsi="Times New Roman;sans-serif"/>
                  <w:b w:val="false"/>
                  <w:color w:val="0000FF"/>
                  <w:sz w:val="20"/>
                  <w:u w:val="single"/>
                </w:rPr>
                <w:t>10.6(a)</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9">
              <w:r>
                <w:rPr>
                  <w:rStyle w:val="InternetLink"/>
                  <w:rFonts w:ascii="Times New Roman;sans-serif" w:hAnsi="Times New Roman;sans-serif"/>
                  <w:b w:val="false"/>
                  <w:color w:val="0000FF"/>
                  <w:sz w:val="20"/>
                  <w:u w:val="single"/>
                </w:rPr>
                <w:t>First Amendment to NNN Lease, dated January 1, 2018, by and between Ouster, Inc. and SIC-350 Treat,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10.6(b)</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1">
              <w:r>
                <w:rPr>
                  <w:rStyle w:val="InternetLink"/>
                  <w:rFonts w:ascii="Times New Roman;sans-serif" w:hAnsi="Times New Roman;sans-serif"/>
                  <w:b w:val="false"/>
                  <w:color w:val="0000FF"/>
                  <w:sz w:val="20"/>
                  <w:u w:val="single"/>
                </w:rPr>
                <w:t>Second Amendment to NNN Lease, dated March 27, 2018, by and between Ouster, Inc. and SIC-350 Treat,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106cfor202110xk.htm">
              <w:r>
                <w:rPr>
                  <w:rStyle w:val="InternetLink"/>
                  <w:rFonts w:ascii="Times New Roman;sans-serif" w:hAnsi="Times New Roman;sans-serif"/>
                  <w:b w:val="false"/>
                  <w:color w:val="0000FF"/>
                  <w:sz w:val="20"/>
                  <w:u w:val="single"/>
                </w:rPr>
                <w:t>10.6(c)</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oust-ex106cfor202110xk.htm">
              <w:r>
                <w:rPr>
                  <w:rStyle w:val="InternetLink"/>
                  <w:rFonts w:ascii="Times New Roman;sans-serif" w:hAnsi="Times New Roman;sans-serif"/>
                  <w:b w:val="false"/>
                  <w:color w:val="0000FF"/>
                  <w:sz w:val="20"/>
                  <w:u w:val="single"/>
                </w:rPr>
                <w:t>Third Amendment to NNN Lease, dated November 15, 2021, by and between Ouster, Inc. and SIC-350 Treat,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107afor202110xk.htm">
              <w:r>
                <w:rPr>
                  <w:rStyle w:val="InternetLink"/>
                  <w:rFonts w:ascii="Times New Roman;sans-serif" w:hAnsi="Times New Roman;sans-serif"/>
                  <w:b w:val="false"/>
                  <w:color w:val="0000FF"/>
                  <w:sz w:val="20"/>
                  <w:u w:val="single"/>
                </w:rPr>
                <w:t>10.7</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107afor202110xk.htm">
              <w:r>
                <w:rPr>
                  <w:rStyle w:val="InternetLink"/>
                </w:rPr>
                <w:t>Amended and Restated Non-Employe</w:t>
              </w:r>
            </w:hyperlink>
            <w:hyperlink w:anchor="oust-ex107afor202110xk.htm">
              <w:r>
                <w:rPr>
                  <w:rStyle w:val="InternetLink"/>
                </w:rPr>
                <w:t>e</w:t>
              </w:r>
            </w:hyperlink>
            <w:hyperlink w:anchor="oust-ex107afor202110xk.htm">
              <w:r>
                <w:rPr>
                  <w:rStyle w:val="InternetLink"/>
                </w:rPr>
                <w:t xml:space="preserve"> Director Compensation Program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2">
              <w:r>
                <w:rPr>
                  <w:rStyle w:val="InternetLink"/>
                  <w:rFonts w:ascii="Times New Roman;sans-serif" w:hAnsi="Times New Roman;sans-serif"/>
                  <w:b w:val="false"/>
                  <w:color w:val="0000FF"/>
                  <w:sz w:val="20"/>
                  <w:u w:val="single"/>
                </w:rPr>
                <w:t>10.8</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53">
              <w:r>
                <w:rPr>
                  <w:rStyle w:val="InternetLink"/>
                  <w:rFonts w:ascii="Times New Roman;sans-serif" w:hAnsi="Times New Roman;sans-serif"/>
                  <w:b w:val="false"/>
                  <w:color w:val="0000FF"/>
                  <w:sz w:val="20"/>
                  <w:u w:val="single"/>
                </w:rPr>
                <w:t>Agreement and Plan of Merger and Plan of Reorganization, dated as of October 5, 2021, by and among Ouster, Inc., Sparrow Acquisition Sub., Inc., Sense Photonics, Inc., and Fortis Advisors LLC, solely in its capacity as Holders’ Agent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Fonts w:ascii="Times New Roman;sans-serif" w:hAnsi="Times New Roman;sans-serif"/>
                  <w:b w:val="false"/>
                  <w:color w:val="0000FF"/>
                  <w:sz w:val="20"/>
                  <w:u w:val="single"/>
                </w:rPr>
                <w:t>10.9+</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55">
              <w:r>
                <w:rPr>
                  <w:rStyle w:val="InternetLink"/>
                  <w:rFonts w:ascii="Times New Roman;sans-serif" w:hAnsi="Times New Roman;sans-serif"/>
                  <w:b w:val="false"/>
                  <w:color w:val="0000FF"/>
                  <w:sz w:val="20"/>
                  <w:u w:val="single"/>
                </w:rPr>
                <w:t>Sense Photonics, Inc. 2017 Equity Incentive Plan,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333-260576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109afor202110xk.htm">
              <w:r>
                <w:rPr>
                  <w:rStyle w:val="InternetLink"/>
                  <w:rFonts w:ascii="Times New Roman;sans-serif" w:hAnsi="Times New Roman;sans-serif"/>
                  <w:b w:val="false"/>
                  <w:color w:val="0000FF"/>
                  <w:sz w:val="20"/>
                  <w:u w:val="single"/>
                </w:rPr>
                <w:t>10.9(a)+</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109afor202110xk.htm">
              <w:r>
                <w:rPr>
                  <w:rStyle w:val="InternetLink"/>
                  <w:rFonts w:ascii="Times New Roman;sans-serif" w:hAnsi="Times New Roman;sans-serif"/>
                  <w:b w:val="false"/>
                  <w:color w:val="0000FF"/>
                  <w:sz w:val="20"/>
                  <w:u w:val="single"/>
                </w:rPr>
                <w:t>Form of Stock Option Agreement under the Sense Photonics, Inc. 2017 Equity Incentive Plan, as amended</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6">
              <w:r>
                <w:rPr>
                  <w:rStyle w:val="InternetLink"/>
                  <w:rFonts w:ascii="Times New Roman;sans-serif" w:hAnsi="Times New Roman;sans-serif"/>
                  <w:b w:val="false"/>
                  <w:color w:val="0000FF"/>
                  <w:sz w:val="20"/>
                  <w:u w:val="single"/>
                </w:rPr>
                <w:t>10.10+</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57">
              <w:r>
                <w:rPr>
                  <w:rStyle w:val="InternetLink"/>
                  <w:rFonts w:ascii="Times New Roman;sans-serif" w:hAnsi="Times New Roman;sans-serif"/>
                  <w:b w:val="false"/>
                  <w:color w:val="0000FF"/>
                  <w:sz w:val="20"/>
                  <w:u w:val="single"/>
                </w:rPr>
                <w:t>Ouster, Inc. Amended and Restated 2015 Stock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333-254987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20"/>
                  <w:u w:val="single"/>
                </w:rPr>
                <w:t>10.10(a)</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59">
              <w:r>
                <w:rPr>
                  <w:rStyle w:val="InternetLink"/>
                  <w:rFonts w:ascii="Times New Roman;sans-serif" w:hAnsi="Times New Roman;sans-serif"/>
                  <w:b w:val="false"/>
                  <w:color w:val="0000FF"/>
                  <w:sz w:val="20"/>
                  <w:u w:val="single"/>
                </w:rPr>
                <w:t>Form of Stock Option Agreement under the Amended and Restated 2015 Stock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333-254987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Fonts w:ascii="Times New Roman;sans-serif" w:hAnsi="Times New Roman;sans-serif"/>
                  <w:b w:val="false"/>
                  <w:color w:val="0000FF"/>
                  <w:sz w:val="20"/>
                  <w:u w:val="single"/>
                </w:rPr>
                <w:t>10.10(b)</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61">
              <w:r>
                <w:rPr>
                  <w:rStyle w:val="InternetLink"/>
                  <w:rFonts w:ascii="Times New Roman;sans-serif" w:hAnsi="Times New Roman;sans-serif"/>
                  <w:b w:val="false"/>
                  <w:color w:val="0000FF"/>
                  <w:sz w:val="20"/>
                  <w:u w:val="single"/>
                </w:rPr>
                <w:t>Form of Early Exercise Stock Option Agreement under the Amended and Restated 2015 Stock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333-254987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2">
              <w:r>
                <w:rPr>
                  <w:rStyle w:val="InternetLink"/>
                  <w:rFonts w:ascii="Times New Roman;sans-serif" w:hAnsi="Times New Roman;sans-serif"/>
                  <w:b w:val="false"/>
                  <w:color w:val="0000FF"/>
                  <w:sz w:val="20"/>
                  <w:u w:val="single"/>
                </w:rPr>
                <w:t>10.10(c)</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63">
              <w:r>
                <w:rPr>
                  <w:rStyle w:val="InternetLink"/>
                  <w:rFonts w:ascii="Times New Roman;sans-serif" w:hAnsi="Times New Roman;sans-serif"/>
                  <w:b w:val="false"/>
                  <w:color w:val="0000FF"/>
                  <w:sz w:val="20"/>
                  <w:u w:val="single"/>
                </w:rPr>
                <w:t>Form of Restricted Stock Unit Agreement under the Amended and Restated 2015 Stock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333-254987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31dec21xex211.htm">
              <w:r>
                <w:rPr>
                  <w:rStyle w:val="InternetLink"/>
                  <w:rFonts w:ascii="Times New Roman;sans-serif" w:hAnsi="Times New Roman;sans-serif"/>
                  <w:b w:val="false"/>
                  <w:color w:val="0000FF"/>
                  <w:sz w:val="20"/>
                  <w:u w:val="single"/>
                </w:rPr>
                <w:t>21.1</w:t>
              </w:r>
            </w:hyperlink>
          </w:p>
        </w:tc>
        <w:tc>
          <w:tcPr>
            <w:tcW w:w="50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31dec21xex211.htm">
              <w:r>
                <w:rPr>
                  <w:rStyle w:val="InternetLink"/>
                  <w:rFonts w:ascii="Times New Roman;sans-serif" w:hAnsi="Times New Roman;sans-serif"/>
                  <w:b w:val="false"/>
                  <w:color w:val="0000FF"/>
                  <w:sz w:val="20"/>
                  <w:u w:val="single"/>
                </w:rPr>
                <w:t>List of Subsidiaries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40" w:before="0" w:after="0"/>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tbl>
      <w:tblPr>
        <w:tblW w:w="10205" w:type="dxa"/>
        <w:jc w:val="left"/>
        <w:tblInd w:w="0" w:type="dxa"/>
        <w:tblCellMar>
          <w:top w:w="28" w:type="dxa"/>
          <w:left w:w="28" w:type="dxa"/>
          <w:bottom w:w="28" w:type="dxa"/>
          <w:right w:w="28" w:type="dxa"/>
        </w:tblCellMar>
      </w:tblPr>
      <w:tblGrid>
        <w:gridCol w:w="241"/>
        <w:gridCol w:w="195"/>
        <w:gridCol w:w="197"/>
        <w:gridCol w:w="2083"/>
        <w:gridCol w:w="2083"/>
        <w:gridCol w:w="208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4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231for202110xk.htm">
              <w:r>
                <w:rPr>
                  <w:rStyle w:val="InternetLink"/>
                  <w:rFonts w:ascii="Times New Roman;sans-serif" w:hAnsi="Times New Roman;sans-serif"/>
                  <w:b w:val="false"/>
                  <w:color w:val="0000FF"/>
                  <w:sz w:val="20"/>
                  <w:u w:val="single"/>
                </w:rPr>
                <w:t>23.1</w:t>
              </w:r>
            </w:hyperlink>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231for202110xk.htm">
              <w:r>
                <w:rPr>
                  <w:rStyle w:val="InternetLink"/>
                  <w:rFonts w:ascii="Times New Roman;sans-serif" w:hAnsi="Times New Roman;sans-serif"/>
                  <w:b w:val="false"/>
                  <w:color w:val="0000FF"/>
                  <w:sz w:val="20"/>
                  <w:u w:val="single"/>
                </w:rPr>
                <w:t>Consent of PricewaterhouseCoopers LLP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241for202110xk.htm">
              <w:r>
                <w:rPr>
                  <w:rStyle w:val="InternetLink"/>
                  <w:rFonts w:ascii="Times New Roman;sans-serif" w:hAnsi="Times New Roman;sans-serif"/>
                  <w:b w:val="false"/>
                  <w:color w:val="0000FF"/>
                  <w:sz w:val="20"/>
                  <w:u w:val="single"/>
                </w:rPr>
                <w:t>24.1</w:t>
              </w:r>
            </w:hyperlink>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241for202110xk.htm">
              <w:r>
                <w:rPr>
                  <w:rStyle w:val="InternetLink"/>
                  <w:rFonts w:ascii="Times New Roman;sans-serif" w:hAnsi="Times New Roman;sans-serif"/>
                  <w:b w:val="false"/>
                  <w:color w:val="0000FF"/>
                  <w:sz w:val="20"/>
                  <w:u w:val="single"/>
                </w:rPr>
                <w:t>Power of Attorney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311for202110xk_1299.htm">
              <w:r>
                <w:rPr>
                  <w:rStyle w:val="InternetLink"/>
                  <w:rFonts w:ascii="Times New Roman;sans-serif" w:hAnsi="Times New Roman;sans-serif"/>
                  <w:b w:val="false"/>
                  <w:color w:val="0000FF"/>
                  <w:sz w:val="20"/>
                  <w:u w:val="single"/>
                </w:rPr>
                <w:t>31.1</w:t>
              </w:r>
            </w:hyperlink>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311for202110xk_1299.htm">
              <w:r>
                <w:rPr>
                  <w:rStyle w:val="InternetLink"/>
                  <w:rFonts w:ascii="Times New Roman;sans-serif" w:hAnsi="Times New Roman;sans-serif"/>
                  <w:b w:val="false"/>
                  <w:color w:val="0000FF"/>
                  <w:sz w:val="20"/>
                  <w:u w:val="single"/>
                </w:rPr>
                <w:t>Certification of Chief Executive Officer pursuant to Rules 13a-14(a)/15d-14(a) under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312for202110xk_1299.htm">
              <w:r>
                <w:rPr>
                  <w:rStyle w:val="InternetLink"/>
                  <w:rFonts w:ascii="Times New Roman;sans-serif" w:hAnsi="Times New Roman;sans-serif"/>
                  <w:b w:val="false"/>
                  <w:color w:val="0000FF"/>
                  <w:sz w:val="20"/>
                  <w:u w:val="single"/>
                </w:rPr>
                <w:t>31.2</w:t>
              </w:r>
            </w:hyperlink>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312for202110xk_1299.htm">
              <w:r>
                <w:rPr>
                  <w:rStyle w:val="InternetLink"/>
                  <w:rFonts w:ascii="Times New Roman;sans-serif" w:hAnsi="Times New Roman;sans-serif"/>
                  <w:b w:val="false"/>
                  <w:color w:val="0000FF"/>
                  <w:sz w:val="20"/>
                  <w:u w:val="single"/>
                </w:rPr>
                <w:t>Certification of Chief Financial Officer pursuant to Rules 13a-14(a)/15d-14(a) under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321for202110xk_1299.htm">
              <w:r>
                <w:rPr>
                  <w:rStyle w:val="InternetLink"/>
                  <w:rFonts w:ascii="Times New Roman;sans-serif" w:hAnsi="Times New Roman;sans-serif"/>
                  <w:b w:val="false"/>
                  <w:color w:val="0000FF"/>
                  <w:sz w:val="20"/>
                  <w:u w:val="single"/>
                </w:rPr>
                <w:t>32.1</w:t>
              </w:r>
            </w:hyperlink>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321for202110xk_1299.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oust-ex322for202110xk_1299.htm">
              <w:r>
                <w:rPr>
                  <w:rStyle w:val="InternetLink"/>
                  <w:rFonts w:ascii="Times New Roman;sans-serif" w:hAnsi="Times New Roman;sans-serif"/>
                  <w:b w:val="false"/>
                  <w:color w:val="0000FF"/>
                  <w:sz w:val="20"/>
                  <w:u w:val="single"/>
                </w:rPr>
                <w:t>32.2</w:t>
              </w:r>
            </w:hyperlink>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oust-ex322for202110xk_1299.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5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annexes, schedules, and certain exhibits to this Exhibit have been omitted pursuant to Item 601(a)(5) of Regulation S-K. The Registrant hereby agrees to furnish supplementally a copy of any omitted annex, schedule or exhibit to the SEC upon request.</w:t>
            </w:r>
          </w:p>
          <w:p>
            <w:pPr>
              <w:pStyle w:val="TableContents"/>
              <w:spacing w:before="0" w:after="0"/>
              <w:jc w:val="left"/>
              <w:rPr/>
            </w:pPr>
            <w:r>
              <w:rPr/>
            </w:r>
          </w:p>
          <w:p>
            <w:pPr>
              <w:pStyle w:val="TableContents"/>
              <w:spacing w:before="0" w:after="0"/>
              <w:rPr/>
            </w:pPr>
            <w:r>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(indicated by “[***]”) have been omitted pursuant to Regulation S-K, Item 601(b)(10).</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contract or arrangement.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40" w:before="100" w:after="283"/>
        <w:rPr/>
      </w:pP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 xml:space="preserve">Table of </w:t>
      </w:r>
      <w:r>
        <w:rPr>
          <w:rStyle w:val="InternetLink"/>
        </w:rPr>
        <w:fldChar w:fldCharType="end"/>
      </w:r>
      <w:r>
        <w:fldChar w:fldCharType="begin"/>
      </w:r>
      <w:r>
        <w:rPr>
          <w:rStyle w:val="InternetLink"/>
        </w:rPr>
        <w:instrText> HYPERLINK "https://www.sec.gov/Archives/edgar/data/1816581/000119312521080046/d122652dex991.htm" \l "toc"</w:instrText>
      </w:r>
      <w:r>
        <w:rPr>
          <w:rStyle w:val="InternetLink"/>
        </w:rPr>
        <w:fldChar w:fldCharType="separate"/>
      </w:r>
      <w:r>
        <w:rPr>
          <w:rStyle w:val="InternetLink"/>
        </w:rPr>
        <w:t>Contents</w:t>
      </w:r>
      <w:r>
        <w:rPr>
          <w:rStyle w:val="InternetLink"/>
        </w:rPr>
        <w:fldChar w:fldCharType="end"/>
      </w:r>
    </w:p>
    <w:tbl>
      <w:tblPr>
        <w:tblW w:w="9614" w:type="dxa"/>
        <w:jc w:val="left"/>
        <w:tblInd w:w="0" w:type="dxa"/>
        <w:tblCellMar>
          <w:top w:w="28" w:type="dxa"/>
          <w:left w:w="28" w:type="dxa"/>
          <w:bottom w:w="28" w:type="dxa"/>
          <w:right w:w="28" w:type="dxa"/>
        </w:tblCellMar>
      </w:tblPr>
      <w:tblGrid>
        <w:gridCol w:w="754"/>
        <w:gridCol w:w="664"/>
        <w:gridCol w:w="667"/>
        <w:gridCol w:w="222"/>
        <w:gridCol w:w="203"/>
        <w:gridCol w:w="205"/>
        <w:gridCol w:w="2006"/>
        <w:gridCol w:w="2006"/>
        <w:gridCol w:w="2887"/>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Brunelle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Brunelle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89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10205" w:type="dxa"/>
        <w:jc w:val="left"/>
        <w:tblInd w:w="0" w:type="dxa"/>
        <w:tblCellMar>
          <w:top w:w="28" w:type="dxa"/>
          <w:left w:w="28" w:type="dxa"/>
          <w:bottom w:w="28" w:type="dxa"/>
          <w:right w:w="28" w:type="dxa"/>
        </w:tblCellMar>
      </w:tblPr>
      <w:tblGrid>
        <w:gridCol w:w="679"/>
        <w:gridCol w:w="590"/>
        <w:gridCol w:w="593"/>
        <w:gridCol w:w="2241"/>
        <w:gridCol w:w="2235"/>
        <w:gridCol w:w="2263"/>
        <w:gridCol w:w="467"/>
        <w:gridCol w:w="467"/>
        <w:gridCol w:w="670"/>
      </w:tblGrid>
      <w:tr>
        <w:trPr/>
        <w:tc>
          <w:tcPr>
            <w:tcW w:w="67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color w:val="000000"/>
                <w:sz w:val="16"/>
              </w:rPr>
            </w:pPr>
            <w:r>
              <w:rPr>
                <w:rFonts w:ascii="Times New Roman;sans-serif" w:hAnsi="Times New Roman;sans-serif"/>
                <w:b/>
                <w:color w:val="000000"/>
                <w:sz w:val="16"/>
              </w:rPr>
              <w:t>Signature</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Angus Pacala</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Co-Founder and Chief Executive Officer (Principal Executive Officer)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Angus Pacala</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Anna Brunelle</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Anna Brunelle</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Jorge del Calvo</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Emmanuel Hernandez</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Susan Heystee</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9"/>
              </w:rPr>
              <w:t>Sundari</w:t>
            </w:r>
            <w:r>
              <w:rPr>
                <w:color w:val="000000"/>
              </w:rPr>
              <w:t xml:space="preserve"> </w:t>
            </w:r>
            <w:r>
              <w:rPr>
                <w:rFonts w:ascii="Times New Roman;sans-serif" w:hAnsi="Times New Roman;sans-serif"/>
                <w:b w:val="false"/>
                <w:color w:val="000000"/>
                <w:sz w:val="19"/>
              </w:rPr>
              <w:t>Mitra</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Karin Rådström</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9"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60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Remy Trafelet</w:t>
            </w:r>
          </w:p>
        </w:tc>
        <w:tc>
          <w:tcPr>
            <w:tcW w:w="6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656" w:type="dxa"/>
        <w:jc w:val="left"/>
        <w:tblInd w:w="0" w:type="dxa"/>
        <w:tblCellMar>
          <w:top w:w="28" w:type="dxa"/>
          <w:left w:w="28" w:type="dxa"/>
          <w:bottom w:w="28" w:type="dxa"/>
          <w:right w:w="28" w:type="dxa"/>
        </w:tblCellMar>
      </w:tblPr>
      <w:tblGrid>
        <w:gridCol w:w="611"/>
        <w:gridCol w:w="538"/>
        <w:gridCol w:w="546"/>
        <w:gridCol w:w="109"/>
        <w:gridCol w:w="109"/>
        <w:gridCol w:w="109"/>
        <w:gridCol w:w="478"/>
        <w:gridCol w:w="478"/>
        <w:gridCol w:w="678"/>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*By:</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 Anna Brunelle, </w:t>
            </w:r>
          </w:p>
          <w:p>
            <w:pPr>
              <w:pStyle w:val="TableContents"/>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Attorney in Fact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Anna Brunelle, </w:t>
            </w:r>
          </w:p>
          <w:p>
            <w:pPr>
              <w:pStyle w:val="TableContents"/>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Attorney in Fact</w:t>
            </w:r>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4.3</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OUR SECURITIES </w:t>
      </w:r>
    </w:p>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the terms of our capital stock and warrants is not complete and is qualified in its entirety by reference to our Restated Certificate of Incorporation, as amended (the “Certificate of Incorporation”), our Amended and Restated Bylaws (the “Bylaws”) and the warrant agreement, all of which are attached as exhibits to our Annual Report on Form 10-K.</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Capital Stock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Authorized Capitalization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of our authorized capital stock consists of 1,000,000,000 shares of common stock, par value $0.0001 per share, and 100,000,000 shares of preferred stock, par value $0.0001 per share.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Stock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Rights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our common stock is entitled to one vote per share on each matter submitted to a vote of stockholders, as provided by the Certificate of Incorporation. The Bylaws provide that the holders of a majority of the capital stock issued and outstanding and entitled to vote thereat, present in person, or by remote communication, if applicable, or represented by proxy, will constitute a quorum at all meetings of the stockholders for the transaction of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 Rights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Rights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each holder of our common stock are subject to, and may be adversely affected by, the rights of the holders of any series of our preferred stock that we may designate and issue in the future. </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3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Rights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Anti-takeover Effects of the Certificate of Incorporation and the Bylaws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Special Meetings of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Action by Written Consent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any action required or permitted to be taken by our stockholders must be effected at an annual or special meeting of the stockholders, and may not be taken by written consent in lieu of a meeting.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Classified Board of Directors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Election of Directors and Vacancies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Amendment of the Certificate of Incorporation and Bylaws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Delaware Anti-Takeover Statute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Limitations on Liability and Indemnification of Officers and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Exclusive Jurisdiction of Certain Actions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exclusive jurisdiction provisions of the Certificate of Incorporation and (b) service of process on such stockholder’s counsel.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Transfer Agent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transfer agent for our common stock is Continental Stock Transfer &amp; Trust Company.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Warrants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Public Warrants </w:t>
      </w:r>
    </w:p>
    <w:p>
      <w:pPr>
        <w:pStyle w:val="TextBody"/>
        <w:spacing w:lineRule="auto" w:line="288" w:before="120" w:after="283"/>
        <w:rPr/>
      </w:pPr>
      <w:r>
        <w:rPr>
          <w:rFonts w:ascii="Times New Roman;sans-serif" w:hAnsi="Times New Roman;sans-serif"/>
          <w:b w:val="false"/>
          <w:color w:val="000000"/>
          <w:sz w:val="20"/>
        </w:rPr>
        <w:t xml:space="preserve">Public warrants refers to the Company’s warrants that were offered and sold in the Company’s initial public offering pursuant to a registration statement. As of December 31, 2021, there were </w:t>
      </w:r>
      <w:r>
        <w:rPr>
          <w:rFonts w:ascii="Times New Roman;sans-serif" w:hAnsi="Times New Roman;sans-serif"/>
          <w:b w:val="false"/>
          <w:color w:val="000000"/>
          <w:sz w:val="20"/>
          <w:highlight w:val="white"/>
        </w:rPr>
        <w:t>15,999,990</w:t>
      </w:r>
      <w:r>
        <w:rPr>
          <w:rFonts w:ascii="Times New Roman;sans-serif" w:hAnsi="Times New Roman;sans-serif"/>
          <w:b w:val="false"/>
          <w:color w:val="000000"/>
          <w:sz w:val="20"/>
        </w:rPr>
        <w:t xml:space="preserve">, public warrants outstanding. Each whole public warrant entitles the registered holder to purchase one share of our common stock at a price of $11.50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on March 11, 2026 at 5:00 p.m., New York City time, or earlier upon redemption or liquidation.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obligated to deliver any shares of common stock pursuant to the exercise of a warrant and have no obligation to settle such warrant exercise unless a registration statement under the Securities Act with respect to the shares of our common stock underlying the warrants is then effective and a prospectus relating thereto is current, subject to us satisfying our obligations described below with respect to registration. No warrant will be exercisable and we will not be obligated to issue a share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agreed to maintain the effectiveness of a registration statement covering the issuance, under the Securities Act, of the shares of common stock issuable upon exercise of the warrants, and a current prospectus relating thereto, until the expiration of the warrants in accordance with the provisions of the warrant agreement. Notwithstanding the above, if the shares of common stock are at the time of any exercise of a warrant not listed on a national securities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maintain in effect a registration statement, and in the event we do not so elect, we will be obligated to use our best efforts to register or qualify the shares under applicable blue sky laws to the extent an exemption is not available.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call the warrants for redemption: </w:t>
      </w:r>
    </w:p>
    <w:tbl>
      <w:tblPr>
        <w:tblW w:w="314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627"/>
        <w:gridCol w:w="627"/>
        <w:gridCol w:w="8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whole and not in part;</w:t>
            </w:r>
          </w:p>
        </w:tc>
      </w:tr>
    </w:tbl>
    <w:tbl>
      <w:tblPr>
        <w:tblW w:w="36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764"/>
        <w:gridCol w:w="764"/>
        <w:gridCol w:w="10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 price of $0.01 per warrant;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not less than 30 days’ prior written notice of redemption (the “30-day redemption period”) to each warrantholder;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and only if, the reported closing price of our common stock equals or exceeds $18.00 per share (as adjusted for stock splits, stock dividends, reorganizations, recapitalizations and the like) for any 20 trading days within a 30 trading-day period ending three business days before we send the notice of redemption to the warrantholders.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and when the warrants become redeemable by us, we may exercise our redemption right even if we are unable to register or qualify the underlying securities for sale under all applicable state securities laws.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foregoing conditions are satisfied and we issue a notice of redemption of the warrants, each warrant holder will be entitled to exercise his, her or its warrant prior to the scheduled redemption date. However, the price of our common stock may fall below the $18.00 redemption trigger price (as adjusted for stock splits, stock dividends, reorganizations, recapitalizations and the like) as well as the $11.50 warrant exercise price after the redemption notice is issued.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call the warrants for redemption as described above, our Board will have the option to require any holder that wishes to exercise his, her or its warrant to do so on a “cashless basis.” In determining whether to require all holders to exercise their warrants on a “cashless basis,” our management may consider, among other factors, our cash position, the number of warrants that are outstanding and the dilutive effect on our stockholders of issuing the maximum number of shares of common stock issuable upon the exercise of the warrants. If we takes advantage of this option, all holders of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(defined below) over the exercise price of the warrants by (b) the fair market value. The “fair market value” will mean the average reported closing price of the shares of common stock for the 10 trading days ending on the third trading day prior to the date on which the notice of redemption is sent to the holders of warrants. If we take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If we call the warrants for redemption and do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our common stock outstanding immediately after giving effect to such exercise.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increased by a stock dividend payable in shares of our common stock, or by a split-up or other similar event, then, on the effective date of stock dividend, split-up or similar event, the number of shares of common stock issuable on exercise of each warrant will be increased in proportion to such increase in the outstanding shares of our common stock. A rights offering to holders of our </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entitling holders to purchase shares of our common stock at a price less than the fair market value will be deemed a stock dividend of a number of shares of our common stock equal to the product of (a) the number of shares of common stock actually sold in such rights offering (or issuable under any other equity securities sold in such rights offering that are convertible into or exercisable for shares of our common stock) and (b) the quotient of (i) the price per share of our common stock paid in such rights offering and (ii) the fair market value. For these purposes (a)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(b) fair market value means the volume 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at any time while the warrants are outstanding and unexpired, pay a dividend or make a distribution in cash, securities or other assets to the holders of shares of our common stock on account of such shares of common stock (or other securities into which the warrants are convertible), other than as described above or certain ordinary cash dividends, then the warrant exercise price will be decreased, effective immediately after the effective date of such event, by the amount of cash and/or the fair market value of any securities or other assets paid on each share of our common stock in respect of such event.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our common stock.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number of shares of our common stock purchasable upon the exercise of the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corporation (other than a consolidation or merger in which we are the continuing corporation and that does not result in any reclassification or reorganization of the issued and outstanding shares of our common stock), or in the case of any sale or conveyance to another corporation or entity of the assets or other property of our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are issued in registered form under a warrant agreement between Continental Stock Transfer &amp; Trust Company, as warrant agent, and us. The warrant agreement provides that the terms of the warrants may be amended without the consent of any holder for the purpose of (a) curing any ambiguity or to correct any defective provision,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 adjusting the provisions relating to cash dividends on shares of our common stock as contemplated by and in accordance with the warrant agreement or (c) adding or changing any other provisions with respect to matters or questions arising under the warrant agreement as the parties to the warrant agreement may deem necessary or desirable and that the parties deem to not adversely affect the interests of the registered holders of the warrants. All other modifications or amendments will require the approval by the holders of at least 50% of the then-outstanding public warrants and, solely with respect to any amendment to the terms of the private placement warrants, 50% of the then outstanding private placement warrants. You should review a copy of the warrant agreement, which is filed as an exhibit to our Annual Report on Form 10-K, for a complete description of the terms and conditions applicable to the warrants.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our common stock and any voting rights until they exercise their warrants and receive shares of our common stock. After the issuance of shares of our common stock upon exercise of the warrants, each holder will be entitled to one vote for each share held of record on all matters to be voted on by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 fractional shares will be issued upon exercise of the warrants. If, upon exercise of the warrants, a holder would be entitled to receive a fractional interest in a share, we will, upon exercise, round down to the nearest whole number of shares of our common stock to be issued to the warrantholder.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Private Placement Warrants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placement warrants refers to the warrants issued in a private placement to Colonnade Sponsor LLC (the “Sponsor”). As of December 31, 2021, there were 6,000,000 private placement warrants outstanding. The private placement warrants (including the shares of our common stock issuable upon exercise of such warrants) will not be redeemable by us so long as they are held by the Sponsor, members of the Sponsor or their permitted transferees. The Sponsor or its permitted transferees have the option to exercise the private placement warrants on a cashless basis. Except as described below, the private placement warrants have terms and provisions that are identical to those of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holders of the private placement warrants elect to exercise them on a cashless basis, they would pay the exercise price by surrendering his, her or its warrants for that number of shares of our common stock equal to the quotient obtained by dividing (a) the product of the number of shares of our common stock underlying the warrants, multiplied by the excess of the “fair market value” (defined below) over the exercise price of the warrants by (b) the fair market value. The “fair market value” will mean the average reported closing price of the shares of our common stock for the 10 trading days ending on the third trading day prior to the date on which the notice of warrant exercise is sent to the warrant agent.</w:t>
      </w:r>
    </w:p>
    <w:p>
      <w:pPr>
        <w:pStyle w:val="TextBody"/>
        <w:spacing w:before="0" w:after="240"/>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INDEMNIFICATION AND ADVANCEMENT AGREEMENT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Indemnification and Advancement Agreement (this “Agreement”) is made as of _______________ by and between Ouster, Inc., a Delaware corporation (the “Company”), and _______________, [a member of the Board of Directors/an officer/an employee/an agent/a fiduciary] of the Company (“Indemnitee”). This Agreement supersedes and replaces any and all previous Agreements between the Company and Indemnitee covering indemnification and advancement.</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Board has determined that, in order to attract and retain qualified individuals, the Company will use commercially reasonable efforts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(the “Bylaws” and the “Certificate of Incorporation,” respectively) require indemnification of the officers and directors of the Company. Indemnitee may also be entitled to indemnification pursuant to the General Corporation Law of the State of Delaware (the “DGCL”). The Bylaws,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advancement of expenses and reimbursement rights subject to the provisions of the Bylaws and Certificate of Incorporation of the Company;</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uncertainties relating to such insurance, to indemnification, and to advancement of expenses may increase the difficulty of attracting and retaining such persons;</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this Agreement is a supplement to and in furtherance of the Bylaws, Certificate of Incorporation and any resolutions adopted pursuant thereto, and is not a substitute therefor, nor diminishes or abrogates any rights of Indemnitee thereunder; and</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Indemnitee does not regard the protection available under the Bylaws, Certificate of Incorporation, DGCL and insurance as adequate in the present circumstances, and may not be willing to serve or continue to serve as an officer or director, advisor or in another capacity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the covenants contained herein, the Company and Indemnitee do hereby covenant and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    </w:t>
      </w:r>
      <w:r>
        <w:rPr>
          <w:rFonts w:ascii="Times New Roman;sans-serif" w:hAnsi="Times New Roman;sans-serif"/>
          <w:b w:val="false"/>
          <w:color w:val="000000"/>
          <w:sz w:val="20"/>
          <w:u w:val="single"/>
        </w:rPr>
        <w:t>Services to the Company.</w:t>
      </w:r>
      <w:r>
        <w:rPr>
          <w:color w:val="000000"/>
        </w:rPr>
        <w:t xml:space="preserve"> </w:t>
      </w:r>
      <w:r>
        <w:rPr>
          <w:rFonts w:ascii="Times New Roman;sans-serif" w:hAnsi="Times New Roman;sans-serif"/>
          <w:b w:val="false"/>
          <w:color w:val="000000"/>
          <w:sz w:val="20"/>
        </w:rPr>
        <w:t xml:space="preserve">Indemnitee agrees to serve as [a/an] [director/officer/employee/agent/fiduciary] of the Company. Indemnitee may at any time and for any reason resign from such position (subject to any other contractual obligation or any obligation imposed by operation of law). This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does not create any obligation on the Company to continue Indemnitee in such position and is not an employment contract between the Company (or any of its subsidiaries or any Enterprise) and Indemnitee. </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    </w:t>
      </w:r>
      <w:r>
        <w:rPr>
          <w:rFonts w:ascii="Times New Roman;sans-serif" w:hAnsi="Times New Roman;sans-serif"/>
          <w:b w:val="false"/>
          <w:color w:val="000000"/>
          <w:sz w:val="20"/>
          <w:u w:val="single"/>
        </w:rPr>
        <w:t>Definitions.</w:t>
      </w:r>
      <w:r>
        <w:rPr>
          <w:color w:val="000000"/>
        </w:rPr>
        <w:t xml:space="preserve"> </w:t>
      </w:r>
      <w:r>
        <w:rPr>
          <w:rFonts w:ascii="Times New Roman;sans-serif" w:hAnsi="Times New Roman;sans-serif"/>
          <w:b w:val="false"/>
          <w:color w:val="000000"/>
          <w:sz w:val="20"/>
        </w:rPr>
        <w:t>As used in this Agreement: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“Affiliate” shall have the meaning set forth in Rule 405 under the Securities Act of 1933, as amended (as in effect on the date hereof).</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“Agent” means any person who is authorized by the Company or an Enterprise to act for or represent the interests of the Company or an Enterprise, respectively.</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A “Change in Control” occurs upon the earliest to occur after the date of this Agreement of any of the following events:</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Acquisition of Stock by Third Party. Any Person (as defined below), other than a Designated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iii.    Corporate Transactions. The effective date of a merger, share exchange, asset acquisition, share purchase, reorganization or similar business combination, involving the Company and one or more of its businesses,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iv.    Liquidation. The approval by the stockholders of the Company of a complete liquidation of the Company or an agreement for the sale or disposition by the Company of all or substantially all of the Company’s assets; and</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    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    For purposes of this Section 2(c), the following terms have the following meanings:</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“Exchange Act” means the Securities Exchange Act of 1934, as amended from time to time.</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“Person”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“Corporate Status” describes the status of a person who is or was acting as a director, officer, employee, fiduciary, or Agent of the Company or an Enterprise.</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“Designated Person” means Banyan Venture Holdings LLC and its Affiliates and Related Parties (as defined below).</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    “Disinterested Director” means a director of the Company who is not and was not a party to the Proceeding in respect of which indemnification is sought by Indemnitee.</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    “Enterprise” means any other company,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entity for which Indemnitee is or was serving at the request of the Company as a director, officer, trustee, general partner, managing member, fiduciary, employee, or Agent.</w:t>
      </w:r>
    </w:p>
    <w:p>
      <w:pPr>
        <w:pStyle w:val="TextBody"/>
        <w:spacing w:lineRule="auto" w:line="240" w:before="0" w:after="240"/>
        <w:ind w:left="0" w:right="0" w:firstLine="1440"/>
        <w:jc w:val="both"/>
        <w:rPr/>
      </w:pPr>
      <w:r>
        <w:rPr>
          <w:rFonts w:ascii="Times New Roman;sans-serif" w:hAnsi="Times New Roman;sans-serif"/>
          <w:b w:val="false"/>
          <w:color w:val="000000"/>
          <w:sz w:val="20"/>
        </w:rPr>
        <w:t>(h)    “Expenses” includes all direct and indirect costs, fees and expenses of any type or nature whatsoever, including, without limitation, reasonable attorneys’ fees and costs, retainers, court costs, transcript costs, fees of experts and other professionals,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prosecuting, defending, preparing to prosecute or defend, investigating, being or preparing to be a witness in, settlement or appeal of, or otherwise participating in, a Proceeding (as defined below). Expenses also include (i)</w:t>
      </w:r>
      <w:r>
        <w:rPr>
          <w:color w:val="000000"/>
        </w:rPr>
        <w:t xml:space="preserve"> </w:t>
      </w:r>
      <w:r>
        <w:rPr>
          <w:rFonts w:ascii="Times New Roman;sans-serif" w:hAnsi="Times New Roman;sans-serif"/>
          <w:b w:val="false"/>
          <w:color w:val="000000"/>
          <w:sz w:val="20"/>
        </w:rPr>
        <w:t>Expenses incurred in connection with any appeal resulting from any Proceeding, including without limitation the principal, premium, security for, and other costs relating to any cost bond, supersedeas bond, or other appeal bond or its equivalent, and (ii) for purposes of Section 14(d) of the Exchange Act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 Expenses, however, do not include amounts paid in settlement by Indemnitee, the amount of judgments or fines against Indemnitee, or fees, salaries, wages or benefits owed to Indemnitee.</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    “Independent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    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0"/>
        </w:rPr>
        <w:t>(k)    “</w:t>
      </w:r>
      <w:r>
        <w:rPr>
          <w:rFonts w:ascii="Times New Roman;sans-serif" w:hAnsi="Times New Roman;sans-serif"/>
          <w:b w:val="false"/>
          <w:color w:val="000000"/>
          <w:sz w:val="20"/>
          <w:u w:val="single"/>
        </w:rPr>
        <w:t>Related Party</w:t>
      </w:r>
      <w:r>
        <w:rPr>
          <w:color w:val="000000"/>
        </w:rPr>
        <w:t xml:space="preserve">” </w:t>
      </w:r>
      <w:r>
        <w:rPr>
          <w:rFonts w:ascii="Times New Roman;sans-serif" w:hAnsi="Times New Roman;sans-serif"/>
          <w:b w:val="false"/>
          <w:color w:val="000000"/>
          <w:sz w:val="20"/>
        </w:rPr>
        <w:t>means, with respect to any Person, (i) any controlling stockholder, controlling member, general partner, subsidiary, spouse or immediate family member (in the case of an individual) of such Person, (ii) any estate, trust, corporation, partnership or other entity, the beneficiaries, stockholders, partners or owners of which consist solely of one or more of Banyan Venture Holdings LLC and its Affiliates (other than the Company and its subsidiaries, if applicable) and Related Parties and/or such other Persons referred to in the immediately preceding clause (i), or (iii) any executor, administrator, trustee, manager, director or other similar fiduciary of any Person referred to in the immediately preceding clause (ii), acting solely in such capacity.</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3.    </w:t>
      </w:r>
      <w:r>
        <w:rPr>
          <w:rFonts w:ascii="Times New Roman;sans-serif" w:hAnsi="Times New Roman;sans-serif"/>
          <w:b w:val="false"/>
          <w:color w:val="000000"/>
          <w:sz w:val="20"/>
          <w:u w:val="single"/>
        </w:rPr>
        <w:t>Indemnity in Third-Party Proceedings.</w:t>
      </w:r>
      <w:r>
        <w:rPr>
          <w:color w:val="000000"/>
        </w:rPr>
        <w:t xml:space="preserve"> </w:t>
      </w:r>
      <w:r>
        <w:rPr>
          <w:rFonts w:ascii="Times New Roman;sans-serif" w:hAnsi="Times New Roman;sans-serif"/>
          <w:b w:val="false"/>
          <w:color w:val="000000"/>
          <w:sz w:val="20"/>
        </w:rPr>
        <w:t>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4.    </w:t>
      </w:r>
      <w:r>
        <w:rPr>
          <w:rFonts w:ascii="Times New Roman;sans-serif" w:hAnsi="Times New Roman;sans-serif"/>
          <w:b w:val="false"/>
          <w:color w:val="000000"/>
          <w:sz w:val="20"/>
          <w:u w:val="single"/>
        </w:rPr>
        <w:t>Indemnity in Proceedings by or in the Right of the Company.</w:t>
      </w:r>
      <w:r>
        <w:rPr>
          <w:color w:val="000000"/>
        </w:rPr>
        <w:t xml:space="preserve"> </w:t>
      </w:r>
      <w:r>
        <w:rPr>
          <w:rFonts w:ascii="Times New Roman;sans-serif" w:hAnsi="Times New Roman;sans-serif"/>
          <w:b w:val="false"/>
          <w:color w:val="000000"/>
          <w:sz w:val="20"/>
        </w:rPr>
        <w:t>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Delaware Court of Chancery or any court in which the Proceeding was brought determines upon application by Indemnitee that, despite the adjudication of liability but in view of all the circumstances of the case, Indemnitee is fairly and reasonably entitled to be indemnified.</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5.    </w:t>
      </w:r>
      <w:r>
        <w:rPr>
          <w:rFonts w:ascii="Times New Roman;sans-serif" w:hAnsi="Times New Roman;sans-serif"/>
          <w:b w:val="false"/>
          <w:color w:val="000000"/>
          <w:sz w:val="20"/>
          <w:u w:val="single"/>
        </w:rPr>
        <w:t>Indemnification for Expenses of a Party Who is Wholly or Partly Successful.</w:t>
      </w:r>
      <w:r>
        <w:rPr>
          <w:color w:val="000000"/>
        </w:rPr>
        <w:t xml:space="preserve"> </w:t>
      </w:r>
      <w:r>
        <w:rPr>
          <w:rFonts w:ascii="Times New Roman;sans-serif" w:hAnsi="Times New Roman;sans-serif"/>
          <w:b w:val="false"/>
          <w:color w:val="000000"/>
          <w:sz w:val="20"/>
        </w:rPr>
        <w:t>To the fullest extent permitted by applicable law, the Company will indemnify Indemnitee against all Expenses actually and reasonably incurred by Indemnitee in connection with any Proceeding the extent that Indemnitee is successful, on the merits or otherwise. If Indemnitee is not wholly successful in such Proceeding but is successful, on the merits or otherwise, as to one or more but less than all claims, issues or matters in such Proceeding, the Company will, to the fullest extent permitted by applicable law, indemnify Indemnitee against all Expenses actually and reasonably incurred by Indemnitee or on Indemnitee’s behalf in connection with or related to each successfully resolved claim, issue or matter. For purposes of this Section 5 and without limitation, the termination of any claim, issue or matter in such a Proceeding by dismissal, with or without prejudice, will be deemed to be a successful result as to such claim, issue or matter.</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6.    </w:t>
      </w:r>
      <w:r>
        <w:rPr>
          <w:rFonts w:ascii="Times New Roman;sans-serif" w:hAnsi="Times New Roman;sans-serif"/>
          <w:b w:val="false"/>
          <w:color w:val="000000"/>
          <w:sz w:val="20"/>
          <w:u w:val="single"/>
        </w:rPr>
        <w:t>Indemnification For Expenses of a Witness.</w:t>
      </w:r>
      <w:r>
        <w:rPr>
          <w:color w:val="000000"/>
        </w:rPr>
        <w:t xml:space="preserve"> </w:t>
      </w:r>
      <w:r>
        <w:rPr>
          <w:rFonts w:ascii="Times New Roman;sans-serif" w:hAnsi="Times New Roman;sans-serif"/>
          <w:b w:val="false"/>
          <w:color w:val="000000"/>
          <w:sz w:val="20"/>
        </w:rPr>
        <w:t>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7.    </w:t>
      </w:r>
      <w:r>
        <w:rPr>
          <w:rFonts w:ascii="Times New Roman;sans-serif" w:hAnsi="Times New Roman;sans-serif"/>
          <w:b w:val="false"/>
          <w:color w:val="000000"/>
          <w:sz w:val="20"/>
          <w:u w:val="single"/>
        </w:rPr>
        <w:t>Partial Indemnification.</w:t>
      </w:r>
      <w:r>
        <w:rPr>
          <w:color w:val="000000"/>
        </w:rPr>
        <w:t xml:space="preserve"> </w:t>
      </w:r>
      <w:r>
        <w:rPr>
          <w:rFonts w:ascii="Times New Roman;sans-serif" w:hAnsi="Times New Roman;sans-serif"/>
          <w:b w:val="false"/>
          <w:color w:val="000000"/>
          <w:sz w:val="20"/>
        </w:rPr>
        <w:t>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8.    </w:t>
      </w:r>
      <w:r>
        <w:rPr>
          <w:rFonts w:ascii="Times New Roman;sans-serif" w:hAnsi="Times New Roman;sans-serif"/>
          <w:b w:val="false"/>
          <w:color w:val="000000"/>
          <w:sz w:val="20"/>
          <w:u w:val="single"/>
        </w:rPr>
        <w:t>Additional Indemnification.</w:t>
      </w:r>
      <w:r>
        <w:rPr>
          <w:color w:val="000000"/>
        </w:rPr>
        <w:t xml:space="preserve"> </w:t>
      </w:r>
      <w:r>
        <w:rPr>
          <w:rFonts w:ascii="Times New Roman;sans-serif" w:hAnsi="Times New Roman;sans-serif"/>
          <w:b w:val="false"/>
          <w:color w:val="000000"/>
          <w:sz w:val="20"/>
        </w:rPr>
        <w:t>Notwithstanding any limitation in Sections 3, 4, or 5, the Company will indemnify Indemnitee to the fullest extent permitted by applicable law (including but not limited to, the DGCL and any amendments to or replacements of the DGCL adopted after the date of this Agreement that expand the Company’s ability to indemnify its officers and directors) if Indemnitee is a party to or threatened to be made a party to any Proceeding (including a Proceeding by or in the right of the Company to procure a judgment in its favor).</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9.    </w:t>
      </w:r>
      <w:r>
        <w:rPr>
          <w:rFonts w:ascii="Times New Roman;sans-serif" w:hAnsi="Times New Roman;sans-serif"/>
          <w:b w:val="false"/>
          <w:color w:val="000000"/>
          <w:sz w:val="20"/>
          <w:u w:val="single"/>
        </w:rPr>
        <w:t>Contribution in the Event of Joint Liability.</w:t>
      </w:r>
      <w:r>
        <w:rPr>
          <w:color w:val="000000"/>
        </w:rPr>
        <w:t xml:space="preserve"> </w:t>
      </w:r>
      <w:r>
        <w:rPr>
          <w:rFonts w:ascii="Times New Roman;sans-serif" w:hAnsi="Times New Roman;sans-serif"/>
          <w:b w:val="false"/>
          <w:color w:val="000000"/>
          <w:sz w:val="20"/>
        </w:rPr>
        <w:t xml:space="preserve">The Company will not enter into any settlement of any Proceeding (in whole or in part) in which the Company is jointly liable with Indemnitee (or would be if joined in such Proceeding), or if such settlement would impose any Expense, judgment, fine, penalty or </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limitation on Indemnitee without Indemnitee’s prior written consent, unless such settlement provides for a full and final release of all claims asserted against Indemnitee.</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10.    </w:t>
      </w:r>
      <w:r>
        <w:rPr>
          <w:rFonts w:ascii="Times New Roman;sans-serif" w:hAnsi="Times New Roman;sans-serif"/>
          <w:b w:val="false"/>
          <w:color w:val="000000"/>
          <w:sz w:val="20"/>
          <w:u w:val="single"/>
        </w:rPr>
        <w:t>Exclusions.</w:t>
      </w:r>
      <w:r>
        <w:rPr>
          <w:color w:val="000000"/>
        </w:rPr>
        <w:t xml:space="preserve"> </w:t>
      </w:r>
      <w:r>
        <w:rPr>
          <w:rFonts w:ascii="Times New Roman;sans-serif" w:hAnsi="Times New Roman;sans-serif"/>
          <w:b w:val="false"/>
          <w:color w:val="000000"/>
          <w:sz w:val="20"/>
        </w:rPr>
        <w:t>Notwithstanding any provision in this Agreement, the Company is not obligated under this Agreement to make any indemnification to Indemnitee in connection with any Proceeding:</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for which payment has actually been made to or on behalf of Indemnitee under any insurance policy or other indemnity provision, except to the extent provided in Section 16(b) and except with respect to any excess beyond the amount paid under any insurance policy, contract, agreement, or other indemnity or advancement provision or otherwise;</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for (i) an accounting of profits made from the purchase and sale (or sale and purchase) by Indemnitee of securities of the Company within the meaning of Section 16(b) of the Exchange Act (as defined in Section 2(c) hereof)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15 of this Agreement, (ii) the Board authorized the Proceeding (or any part of any Proceeding) prior to its initiation or (iii) the Company provides the indemnification, hold harmless or exoneration payment, in its sole discretion, pursuant to the powers vested in the Company under applicable law.</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11.    </w:t>
      </w:r>
      <w:r>
        <w:rPr>
          <w:rFonts w:ascii="Times New Roman;sans-serif" w:hAnsi="Times New Roman;sans-serif"/>
          <w:b w:val="false"/>
          <w:color w:val="000000"/>
          <w:sz w:val="20"/>
          <w:u w:val="single"/>
        </w:rPr>
        <w:t>Advances of Expenses.</w:t>
      </w:r>
      <w:r>
        <w:rPr>
          <w:color w:val="000000"/>
        </w:rPr>
        <w:t xml:space="preserve">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Company will advance, to the extent not prohibited by law, the Expenses incurred by Indemnitee in connection with (i) any Proceeding (or any part of any Proceeding) not initiated by Indemnitee or (ii) any Proceeding (or any part of any Proceeding) initiated by Indemnitee if (x) the Proceeding or part of any Proceeding is to enforce Indemnitee’s rights to obtain indemnification or advancement of Expenses from the Company or Enterprise, including a proceeding initiated pursuant to Section 14 or (y)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 </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12.    </w:t>
      </w:r>
      <w:r>
        <w:rPr>
          <w:rFonts w:ascii="Times New Roman;sans-serif" w:hAnsi="Times New Roman;sans-serif"/>
          <w:b w:val="false"/>
          <w:color w:val="000000"/>
          <w:sz w:val="20"/>
          <w:u w:val="single"/>
        </w:rPr>
        <w:t>Procedure for Notification of Claim for Indemnification or Advancement.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will be entitled to participate in the Proceeding at its own expense.</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13.    </w:t>
      </w:r>
      <w:r>
        <w:rPr>
          <w:rFonts w:ascii="Times New Roman;sans-serif" w:hAnsi="Times New Roman;sans-serif"/>
          <w:b w:val="false"/>
          <w:color w:val="000000"/>
          <w:sz w:val="20"/>
          <w:u w:val="single"/>
        </w:rPr>
        <w:t>Procedure Upon Application for Indemnification.</w:t>
      </w:r>
      <w:r>
        <w:rPr>
          <w:color w:val="000000"/>
        </w:rPr>
        <w:t xml:space="preserve">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Unless a Change of Control has occurred, the determination of Indemnitee’s entitlement to indemnification will be made:</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by a majority vote of the Disinterested Directors, even though less than a quorum of the Board; </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by a committee of Disinterested Directors designated by a majority vote of the Disinterested Directors, even though less than a quorum of the Board; </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if there are no such Disinterested Directors or, if such Disinterested Directors so direct, by written opinion provided by Independent Counsel selected by the Board; or </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iv.    if so directed by the Board, by the stockholders of the Company.</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If a Change in Control has occurred, the determination of Indemnitee’s entitlement to indemnification will be made by written opinion provided by Independent Counsel selected by Indemnitee (unless Indemnitee requests such selection be made by the Board)</w:t>
      </w:r>
    </w:p>
    <w:p>
      <w:pPr>
        <w:pStyle w:val="TextBody"/>
        <w:spacing w:lineRule="auto" w:line="240" w:before="0" w:after="240"/>
        <w:ind w:left="0" w:right="0" w:firstLine="1440"/>
        <w:jc w:val="both"/>
        <w:rPr/>
      </w:pPr>
      <w:r>
        <w:rPr>
          <w:rFonts w:ascii="Times New Roman;sans-serif" w:hAnsi="Times New Roman;sans-serif"/>
          <w:b w:val="false"/>
          <w:color w:val="000000"/>
          <w:sz w:val="20"/>
        </w:rPr>
        <w:t xml:space="preserve">(c)    The party selecting Independent Counsel pursuant to subsection (a)(iii) or (b) of this Section 13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12(a) hereof and the final disposition of the Proceeding, Independent Counsel has not been selected or, if selected, any objection to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Section 15(a) of this Agreement, Independent Counsel will be discharged and relieved of any further responsibility in such capacity (subject to the applicable standards of professional conduct then prevailing).</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If it is determined that Indemnitee is entitled to indemnification, the Company will make payment to Indemnitee within thirty (30) after such determination.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    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14.    </w:t>
      </w:r>
      <w:r>
        <w:rPr>
          <w:rFonts w:ascii="Times New Roman;sans-serif" w:hAnsi="Times New Roman;sans-serif"/>
          <w:b w:val="false"/>
          <w:color w:val="000000"/>
          <w:sz w:val="20"/>
          <w:u w:val="single"/>
        </w:rPr>
        <w:t>Presumptions and Effect of Certain Proceedings.</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indemnification in accordance with Section 12(a)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If the determination of the Indemnitee’s entitlement to indemnification has not made pursuant to Section 13 within sixty (60) days after the later of (i) receipt by the Company of Indemnitee’s request for indemnification pursuant to Section 12(a)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prohibited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13(a)(iv)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0"/>
        </w:rPr>
        <w:t xml:space="preserve">(c)    The termination of any Proceeding or of any claim, issue or matter therein, by judgment, order, settlement or conviction, or upon a plea of </w:t>
      </w:r>
      <w:r>
        <w:rPr>
          <w:rFonts w:ascii="Times New Roman;sans-serif" w:hAnsi="Times New Roman;sans-serif"/>
          <w:b w:val="false"/>
          <w:color w:val="000000"/>
          <w:sz w:val="20"/>
          <w:u w:val="single"/>
        </w:rPr>
        <w:t>nolo</w:t>
      </w:r>
      <w:r>
        <w:rPr>
          <w:color w:val="000000"/>
        </w:rPr>
        <w:t xml:space="preserve"> </w:t>
      </w:r>
      <w:r>
        <w:rPr>
          <w:rFonts w:ascii="Times New Roman;sans-serif" w:hAnsi="Times New Roman;sans-serif"/>
          <w:b w:val="false"/>
          <w:color w:val="000000"/>
          <w:sz w:val="20"/>
          <w:u w:val="single"/>
        </w:rPr>
        <w:t>contendere</w:t>
      </w:r>
      <w:r>
        <w:rPr>
          <w:color w:val="000000"/>
        </w:rPr>
        <w:t xml:space="preserve"> </w:t>
      </w:r>
      <w:r>
        <w:rPr>
          <w:rFonts w:ascii="Times New Roman;sans-serif" w:hAnsi="Times New Roman;sans-serif"/>
          <w:b w:val="false"/>
          <w:color w:val="000000"/>
          <w:sz w:val="20"/>
        </w:rPr>
        <w:t>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14(d) is not exclusive and does not limit in any way the other circumstances in which the Indemnitee may be deemed to have met the applicable standard of conduct set forth in this Agreement.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15.    </w:t>
      </w:r>
      <w:r>
        <w:rPr>
          <w:rFonts w:ascii="Times New Roman;sans-serif" w:hAnsi="Times New Roman;sans-serif"/>
          <w:b w:val="false"/>
          <w:color w:val="000000"/>
          <w:sz w:val="20"/>
          <w:u w:val="single"/>
        </w:rPr>
        <w:t>Remedies of Indemnitee.</w:t>
      </w:r>
      <w:r>
        <w:rPr>
          <w:color w:val="000000"/>
        </w:rPr>
        <w:t xml:space="preserve">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Indemnitee may commence litigation against the Company in the Delaware Court of Chancery to obtain indemnification or advancement of Expenses provided by this Agreement in the event that (i) a determination is made pursuant to Section 13 of this Agreement that Indemnitee is not entitled to indemnification under this Agreement, (ii) the Company does not advance Expenses pursuant to Section 11 of this Agreement, (iii) the determination of entitlement to indemnification is not made pursuant to Section 13 of this Agreement within the Determination Period, (iv) the Company does not indemnify Indemnitee pursuant to Section 5 or 6 or the second to last sentence of Section 13(d) of this Agreement within thirty (30) days after receipt by the Company of a written request therefor, (v) a contribution payment is not made in a timely manner pursuant to Section 8 of this Agreement, (vi) the Company does not indemnify Indemnitee pursuant to Section 3, 4, 7, or 8 of this Agreement within thirty (30) days after a determination has been made that Indemnitee is entitled to indemnification or (vii)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0"/>
        </w:rPr>
        <w:t xml:space="preserve">(b)    If a determination is made pursuant to Section 13 of this Agreement that Indemnitee is not entitled to indemnification, any judicial proceeding or arbitration commenced pursuant to this Section 15 will be conducted in all respects as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trial, or arbitration, on the merits and Indemnitee may not be prejudiced by reason of that adverse determination. In any judicial proceeding or arbitration commenced pursuant to this Section 15, Indemnitee shall be presumed to be entitled to be indemnified to receive advances of Expenses under this Agreement and the Company will have the burden of proving Indemnitee is not entitled to be indemnified and to received advances of Expenses, as the case may be, and will not introduce evidence of the determination made pursuant to Section 13 of this Agreement.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If a determination is made pursuant to Section 13 of this Agreement that Indemnitee is entitled to indemnification, the Company will be bound by such determination in any judicial proceeding or arbitration commenced pursuant to this Section 15,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The Company is, to the fullest extent not prohibited by law, precluded from asserting in any judicial proceeding or arbitration commenced pursuant to this Section 15 that the procedures and presumptions of this Agreement are not valid, binding and enforceable and will stipulate in any such court or before any such arbitrator that the Company is bound by all the provisions of this Agreement.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thirty (30)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action were made in bad faith or were frivolous or are prohibited by law.</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16.    </w:t>
      </w:r>
      <w:r>
        <w:rPr>
          <w:rFonts w:ascii="Times New Roman;sans-serif" w:hAnsi="Times New Roman;sans-serif"/>
          <w:b w:val="false"/>
          <w:color w:val="000000"/>
          <w:sz w:val="20"/>
          <w:u w:val="single"/>
        </w:rPr>
        <w:t>Security.</w:t>
      </w:r>
      <w:r>
        <w:rPr>
          <w:color w:val="000000"/>
        </w:rPr>
        <w:t xml:space="preserve"> </w:t>
      </w:r>
      <w:r>
        <w:rPr>
          <w:rFonts w:ascii="Times New Roman;sans-serif" w:hAnsi="Times New Roman;sans-serif"/>
          <w:b w:val="false"/>
          <w:color w:val="000000"/>
          <w:sz w:val="20"/>
        </w:rPr>
        <w:t>Notwithstanding anything herein to the contrary to the extent requested by Indemnitee and approved by the Board, the Company may at any time and from time to time provide security to Indemnitee for the Company’s obligations hereunder through an irrevocable bank line ofcredit, funded trust or other collateral.</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17.    </w:t>
      </w:r>
      <w:r>
        <w:rPr>
          <w:rFonts w:ascii="Times New Roman;sans-serif" w:hAnsi="Times New Roman;sans-serif"/>
          <w:b w:val="false"/>
          <w:color w:val="000000"/>
          <w:sz w:val="20"/>
          <w:u w:val="single"/>
        </w:rPr>
        <w:t>Non-exclusivity; Survival of Rights; Insurance; Subrogation.</w:t>
      </w:r>
      <w:r>
        <w:rPr>
          <w:color w:val="000000"/>
        </w:rPr>
        <w:t xml:space="preserve">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The indemnification and advancement of Expenses provided by this Agreement are not exclusive of any other rights to which Indemnitee may at any time be entitled under applicable law, the Certificate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the Indemnitee’s rights to indemnification, advancement of Expenses, and insurance is described by this subsection, subject to the provisions of subsection (b) of this Section 17 with respect to a Proceeding concerning Indemnitee’s Corporate Status with an Enterprise.</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The Company hereby acknowledges and agrees:</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is the indemnitor of first resort with respect to any request for indemnification or advancement of Expenses made pursuant to this Agreement concerning any Proceeding;</w:t>
      </w:r>
    </w:p>
    <w:p>
      <w:pPr>
        <w:pStyle w:val="TextBody"/>
        <w:spacing w:lineRule="auto" w:line="240" w:before="0" w:after="24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2)     the Company is primarily liable for all indemnification and indemnification or advancement of Expenses obligations for any Proceeding, whether created by law, organizational or constituent documents, contract (including this Agreement) or otherwise;</w:t>
      </w:r>
    </w:p>
    <w:p>
      <w:pPr>
        <w:pStyle w:val="TextBody"/>
        <w:spacing w:lineRule="auto" w:line="240" w:before="0" w:after="24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3)    any obligation of any other Persons with whom or which Indemnitee may be associated to indemnify Indemnitee and/or advance Expenses to Indemnitee in respect of any proceeding are secondary to the obligations of the Company’s obligations;</w:t>
      </w:r>
    </w:p>
    <w:p>
      <w:pPr>
        <w:pStyle w:val="TextBody"/>
        <w:spacing w:lineRule="auto" w:line="240" w:before="0" w:after="24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Company will indemnify Indemnitee and advance Expenses to Indemnitee hereunder to the fullest extent provided herein without regard to any rights Indemnitee may have against any other Person with whom or which Indemnitee may be associated or insurer of any such Person; and </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Company irrevocably waives, relinquishes and releases (A) any other Person with whom or which Indemnitee may be associated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whether or not such claim, remedy or right arises in equity or under contract, statute or common law, including, without limitation, the right to take or receive from any Person, directly or indirectly, in cash or other property or by set-off or in any other manner, payment or security on account of such claim, remedy or right.</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of Expenses to any other Person with whom or which Indemnitee may be associated. </w:t>
      </w:r>
    </w:p>
    <w:p>
      <w:pPr>
        <w:pStyle w:val="TextBody"/>
        <w:spacing w:lineRule="auto" w:line="240" w:before="0" w:after="24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 </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To the extent that the Company maintains an insurance policy or policies providing liability insurance for directors, officers, trustees, partners, managing members, fiduciaries, employees, or agents of the Company, the Company will obtain a policy or policies covering Indemnitee to the maximum extent of the coverage available for any such director, officer, trustee, partner, managing member, fiduciary,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In the event of any payment made by the Company under this Agreement, the Company will be subrogated to the extent of such payment to all of the rights of recovery of Indemnitee from any Enterprise or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insurance carrier. Indemnitee will execute all papers required and take all action necessary to secure such rights, including execution of such documents as are necessary to enable the Company to bring suit to enforce such rights.</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18.    </w:t>
      </w:r>
      <w:r>
        <w:rPr>
          <w:rFonts w:ascii="Times New Roman;sans-serif" w:hAnsi="Times New Roman;sans-serif"/>
          <w:b w:val="false"/>
          <w:color w:val="000000"/>
          <w:sz w:val="20"/>
          <w:u w:val="single"/>
        </w:rPr>
        <w:t>Duration of Agreement.</w:t>
      </w:r>
      <w:r>
        <w:rPr>
          <w:color w:val="000000"/>
        </w:rPr>
        <w:t xml:space="preserve"> </w:t>
      </w:r>
      <w:r>
        <w:rPr>
          <w:rFonts w:ascii="Times New Roman;sans-serif" w:hAnsi="Times New Roman;sans-serif"/>
          <w:b w:val="false"/>
          <w:color w:val="000000"/>
          <w:sz w:val="20"/>
        </w:rPr>
        <w:t xml:space="preserve">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15 of this Agreement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 </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19.    </w:t>
      </w:r>
      <w:r>
        <w:rPr>
          <w:rFonts w:ascii="Times New Roman;sans-serif" w:hAnsi="Times New Roman;sans-serif"/>
          <w:b w:val="false"/>
          <w:color w:val="000000"/>
          <w:sz w:val="20"/>
          <w:u w:val="single"/>
        </w:rPr>
        <w:t>Severability.</w:t>
      </w:r>
      <w:r>
        <w:rPr>
          <w:color w:val="000000"/>
        </w:rPr>
        <w:t xml:space="preserve"> </w:t>
      </w:r>
      <w:r>
        <w:rPr>
          <w:rFonts w:ascii="Times New Roman;sans-serif" w:hAnsi="Times New Roman;sans-serif"/>
          <w:b w:val="false"/>
          <w:color w:val="000000"/>
          <w:sz w:val="20"/>
        </w:rPr>
        <w:t>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20.    </w:t>
      </w:r>
      <w:r>
        <w:rPr>
          <w:rFonts w:ascii="Times New Roman;sans-serif" w:hAnsi="Times New Roman;sans-serif"/>
          <w:b w:val="false"/>
          <w:color w:val="000000"/>
          <w:sz w:val="20"/>
          <w:u w:val="single"/>
        </w:rPr>
        <w:t>Interpretation</w:t>
      </w:r>
      <w:r>
        <w:rPr>
          <w:rFonts w:ascii="Times New Roman;sans-serif" w:hAnsi="Times New Roman;sans-serif"/>
          <w:b w:val="false"/>
          <w:color w:val="000000"/>
          <w:sz w:val="20"/>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in excess of that expressly provided, without limitation, by the Certificate of Incorporation, the Bylaws, vote of the Company stockholders or disinterested directors, or applicable law.</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21.    </w:t>
      </w:r>
      <w:r>
        <w:rPr>
          <w:rFonts w:ascii="Times New Roman;sans-serif" w:hAnsi="Times New Roman;sans-serif"/>
          <w:b w:val="false"/>
          <w:color w:val="000000"/>
          <w:sz w:val="20"/>
          <w:u w:val="single"/>
        </w:rPr>
        <w:t>Enforcement.</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is not a substitute therefor, nor to diminish or abrogate any rights of Indemnitee thereunder.</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22.    </w:t>
      </w:r>
      <w:r>
        <w:rPr>
          <w:rFonts w:ascii="Times New Roman;sans-serif" w:hAnsi="Times New Roman;sans-serif"/>
          <w:b w:val="false"/>
          <w:color w:val="000000"/>
          <w:sz w:val="20"/>
          <w:u w:val="single"/>
        </w:rPr>
        <w:t>Modification and Waiver.</w:t>
      </w:r>
      <w:r>
        <w:rPr>
          <w:color w:val="000000"/>
        </w:rPr>
        <w:t xml:space="preserve"> </w:t>
      </w:r>
      <w:r>
        <w:rPr>
          <w:rFonts w:ascii="Times New Roman;sans-serif" w:hAnsi="Times New Roman;sans-serif"/>
          <w:b w:val="false"/>
          <w:color w:val="000000"/>
          <w:sz w:val="20"/>
        </w:rPr>
        <w:t>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23.    </w:t>
      </w:r>
      <w:r>
        <w:rPr>
          <w:rFonts w:ascii="Times New Roman;sans-serif" w:hAnsi="Times New Roman;sans-serif"/>
          <w:b w:val="false"/>
          <w:color w:val="000000"/>
          <w:sz w:val="20"/>
          <w:u w:val="single"/>
        </w:rPr>
        <w:t>Notice by Indemnitee.</w:t>
      </w:r>
      <w:r>
        <w:rPr>
          <w:color w:val="000000"/>
        </w:rPr>
        <w:t xml:space="preserve"> </w:t>
      </w:r>
      <w:r>
        <w:rPr>
          <w:rFonts w:ascii="Times New Roman;sans-serif" w:hAnsi="Times New Roman;sans-serif"/>
          <w:b w:val="false"/>
          <w:color w:val="000000"/>
          <w:sz w:val="20"/>
        </w:rPr>
        <w:t xml:space="preserve">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 </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24.    </w:t>
      </w:r>
      <w:r>
        <w:rPr>
          <w:rFonts w:ascii="Times New Roman;sans-serif" w:hAnsi="Times New Roman;sans-serif"/>
          <w:b w:val="false"/>
          <w:color w:val="000000"/>
          <w:sz w:val="20"/>
          <w:u w:val="single"/>
        </w:rPr>
        <w:t>Notices.</w:t>
      </w:r>
      <w:r>
        <w:rPr>
          <w:color w:val="000000"/>
        </w:rPr>
        <w:t xml:space="preserve"> </w:t>
      </w:r>
      <w:r>
        <w:rPr>
          <w:rFonts w:ascii="Times New Roman;sans-serif" w:hAnsi="Times New Roman;sans-serif"/>
          <w:b w:val="false"/>
          <w:color w:val="000000"/>
          <w:sz w:val="20"/>
        </w:rPr>
        <w:t>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If to Indemnitee, at the address indicated on the signature page of this Agreement, or such other address as Indemnitee provides to the Company.</w:t>
      </w:r>
    </w:p>
    <w:p>
      <w:pPr>
        <w:pStyle w:val="TextBody"/>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If to the Company to: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Ouster, Inc.</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350 Treat Ave</w:t>
        <w:br/>
        <w:t>San Francisco, CA 94110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Angus Pacala, CEO</w:t>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Anna Brunelle, CFO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Email:    angus.pacala@ouster.io</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0"/>
        </w:rPr>
        <w:t>anna.brunelle@ouster.io</w: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or to any other address as may have been furnished to Indemnitee by the Company.</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25.    </w:t>
      </w:r>
      <w:r>
        <w:rPr>
          <w:rFonts w:ascii="Times New Roman;sans-serif" w:hAnsi="Times New Roman;sans-serif"/>
          <w:b w:val="false"/>
          <w:color w:val="000000"/>
          <w:sz w:val="20"/>
          <w:u w:val="single"/>
        </w:rPr>
        <w:t>Contribution.</w:t>
      </w:r>
      <w:r>
        <w:rPr>
          <w:color w:val="000000"/>
        </w:rPr>
        <w:t xml:space="preserve"> </w:t>
      </w:r>
      <w:r>
        <w:rPr>
          <w:rFonts w:ascii="Times New Roman;sans-serif" w:hAnsi="Times New Roman;sans-serif"/>
          <w:b w:val="false"/>
          <w:color w:val="000000"/>
          <w:sz w:val="20"/>
        </w:rPr>
        <w:t>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26.    </w:t>
      </w:r>
      <w:r>
        <w:rPr>
          <w:rFonts w:ascii="Times New Roman;sans-serif" w:hAnsi="Times New Roman;sans-serif"/>
          <w:b w:val="false"/>
          <w:color w:val="000000"/>
          <w:sz w:val="20"/>
          <w:u w:val="single"/>
        </w:rPr>
        <w:t>Applicable Law and Consent to Jurisdiction.</w:t>
      </w:r>
      <w:r>
        <w:rPr>
          <w:color w:val="000000"/>
        </w:rPr>
        <w:t xml:space="preserve"> </w:t>
      </w:r>
      <w:r>
        <w:rPr>
          <w:rFonts w:ascii="Times New Roman;sans-serif" w:hAnsi="Times New Roman;sans-serif"/>
          <w:b w:val="false"/>
          <w:color w:val="000000"/>
          <w:sz w:val="20"/>
        </w:rPr>
        <w:t>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15(a) of this Agreement, the Company and Indemnitee hereby irrevocably and unconditionally (i) agree that any action or Proceeding arising out of or in connection with this Agreement may be brought only in the Delaware Court of Chancery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27.    </w:t>
      </w:r>
      <w:r>
        <w:rPr>
          <w:rFonts w:ascii="Times New Roman;sans-serif" w:hAnsi="Times New Roman;sans-serif"/>
          <w:b w:val="false"/>
          <w:color w:val="000000"/>
          <w:sz w:val="20"/>
          <w:u w:val="single"/>
        </w:rPr>
        <w:t>Identical Counterparts.</w:t>
      </w:r>
      <w:r>
        <w:rPr>
          <w:color w:val="000000"/>
        </w:rPr>
        <w:t xml:space="preserve"> </w:t>
      </w:r>
      <w:r>
        <w:rPr>
          <w:rFonts w:ascii="Times New Roman;sans-serif" w:hAnsi="Times New Roman;sans-serif"/>
          <w:b w:val="false"/>
          <w:color w:val="000000"/>
          <w:sz w:val="20"/>
        </w:rPr>
        <w:t>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0"/>
        </w:rPr>
        <w:t>Section 28.    </w:t>
      </w:r>
      <w:r>
        <w:rPr>
          <w:rFonts w:ascii="Times New Roman;sans-serif" w:hAnsi="Times New Roman;sans-serif"/>
          <w:b w:val="false"/>
          <w:color w:val="000000"/>
          <w:sz w:val="20"/>
          <w:u w:val="single"/>
        </w:rPr>
        <w:t>Headings.</w:t>
      </w:r>
      <w:r>
        <w:rPr>
          <w:color w:val="000000"/>
        </w:rPr>
        <w:t xml:space="preserve"> </w:t>
      </w:r>
      <w:r>
        <w:rPr>
          <w:rFonts w:ascii="Times New Roman;sans-serif" w:hAnsi="Times New Roman;sans-serif"/>
          <w:b w:val="false"/>
          <w:color w:val="000000"/>
          <w:sz w:val="20"/>
        </w:rPr>
        <w:t>The headings of this Agreement are inserted for convenience only and do not constitute part of this Agreement or affect the construction thereof.</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caused this Agreement to be signed as of the day and year first above written.</w:t>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0"/>
        </w:rPr>
        <w:t>COMPANY</w:t>
      </w:r>
      <w:r>
        <w:rPr>
          <w:color w:val="000000"/>
        </w:rPr>
        <w:t>                        </w:t>
      </w:r>
      <w:r>
        <w:rPr>
          <w:rFonts w:ascii="Times New Roman;sans-serif" w:hAnsi="Times New Roman;sans-serif"/>
          <w:b/>
          <w:color w:val="000000"/>
          <w:sz w:val="20"/>
        </w:rPr>
        <w:t>INDEMNITEE</w:t>
      </w:r>
    </w:p>
    <w:p>
      <w:pPr>
        <w:pStyle w:val="TextBody"/>
        <w:spacing w:before="0" w:after="240"/>
        <w:rPr/>
      </w:pPr>
      <w:r>
        <w:rPr/>
      </w:r>
    </w:p>
    <w:p>
      <w:pPr>
        <w:pStyle w:val="TextBody"/>
        <w:spacing w:lineRule="auto" w:line="240" w:before="0" w:after="120"/>
        <w:rPr/>
      </w:pPr>
      <w:r>
        <w:rPr>
          <w:rFonts w:ascii="Times New Roman;sans-serif" w:hAnsi="Times New Roman;sans-serif"/>
          <w:b w:val="false"/>
          <w:color w:val="000000"/>
          <w:sz w:val="20"/>
        </w:rPr>
        <w:t xml:space="preserve">By: </w:t>
      </w:r>
      <w:r>
        <w:rPr>
          <w:color w:val="000000"/>
          <w:u w:val="single"/>
        </w:rPr>
        <w:t>                        </w:t>
      </w:r>
      <w:r>
        <w:rPr>
          <w:color w:val="000000"/>
        </w:rPr>
        <w:t>    </w:t>
      </w:r>
      <w:r>
        <w:rPr>
          <w:color w:val="000000"/>
          <w:u w:val="single"/>
        </w:rPr>
        <w:t>                        </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Name:                            Name:</w:t>
      </w:r>
    </w:p>
    <w:p>
      <w:pPr>
        <w:pStyle w:val="TextBody"/>
        <w:spacing w:lineRule="auto" w:line="240" w:before="0" w:after="0"/>
        <w:rPr/>
      </w:pPr>
      <w:r>
        <w:rPr>
          <w:rFonts w:ascii="Times New Roman;sans-serif" w:hAnsi="Times New Roman;sans-serif"/>
          <w:b w:val="false"/>
          <w:color w:val="000000"/>
          <w:sz w:val="20"/>
        </w:rPr>
        <w:t>Office:    Address:    </w:t>
      </w:r>
      <w:r>
        <w:rPr>
          <w:color w:val="000000"/>
          <w:u w:val="single"/>
        </w:rPr>
        <w:t>                    </w:t>
      </w:r>
    </w:p>
    <w:p>
      <w:pPr>
        <w:pStyle w:val="TextBody"/>
        <w:spacing w:lineRule="auto" w:line="240" w:before="0" w:after="0"/>
        <w:rPr/>
      </w:pPr>
      <w:r>
        <w:rPr>
          <w:color w:val="000000"/>
        </w:rPr>
        <w:t>        </w:t>
      </w:r>
      <w:r>
        <w:rPr>
          <w:color w:val="000000"/>
          <w:u w:val="single"/>
        </w:rPr>
        <w:t>                    </w:t>
      </w:r>
    </w:p>
    <w:p>
      <w:pPr>
        <w:pStyle w:val="TextBody"/>
        <w:spacing w:lineRule="auto" w:line="240"/>
        <w:rPr/>
      </w:pPr>
      <w:r>
        <w:rPr>
          <w:color w:val="000000"/>
        </w:rPr>
        <w:t>        </w:t>
      </w:r>
      <w:r>
        <w:rPr>
          <w:color w:val="000000"/>
          <w:u w:val="single"/>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10.6(c)</w:t>
      </w:r>
    </w:p>
    <w:p>
      <w:pPr>
        <w:pStyle w:val="TextBody"/>
        <w:spacing w:before="0" w:after="0"/>
        <w:rPr/>
      </w:pPr>
      <w:r>
        <w:rPr/>
      </w:r>
    </w:p>
    <w:p>
      <w:pPr>
        <w:pStyle w:val="TextBody"/>
        <w:spacing w:before="8" w:after="283"/>
        <w:rPr/>
      </w:pPr>
      <w:r>
        <w:rPr/>
      </w:r>
    </w:p>
    <w:p>
      <w:pPr>
        <w:pStyle w:val="TextBody"/>
        <w:spacing w:lineRule="auto" w:line="240" w:before="74" w:after="283"/>
        <w:jc w:val="center"/>
        <w:rPr>
          <w:rFonts w:ascii="Times New Roman;sans-serif" w:hAnsi="Times New Roman;sans-serif"/>
          <w:b/>
          <w:color w:val="000000"/>
          <w:sz w:val="20"/>
        </w:rPr>
      </w:pPr>
      <w:r>
        <w:rPr>
          <w:rFonts w:ascii="Times New Roman;sans-serif" w:hAnsi="Times New Roman;sans-serif"/>
          <w:b/>
          <w:color w:val="000000"/>
          <w:sz w:val="20"/>
        </w:rPr>
        <w:t>THIRD AMENDMENT TO LEASE</w:t>
      </w:r>
    </w:p>
    <w:p>
      <w:pPr>
        <w:pStyle w:val="TextBody"/>
        <w:spacing w:before="1" w:after="283"/>
        <w:rPr/>
      </w:pPr>
      <w:r>
        <w:rPr/>
      </w:r>
    </w:p>
    <w:p>
      <w:pPr>
        <w:pStyle w:val="TextBody"/>
        <w:spacing w:lineRule="auto" w:line="288" w:before="0" w:after="0"/>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This is the Third Amendment (“Third Amendment”) to that certain NNN Lease dated September 1, 2017 (previously erroneously stated in the First and Second Amendments to have been executed on August 7, 2017) as amended by the First Amendment thereto dated January 21, 2018 and the Second Amendment thereto dated March 27, 2018 (as amended, the “Lease”) made and entered into by and between OUSTER, INC., a Delaware corporation (“Tenant”), and SIC-350 TREAT, LLC, a Delaware limited liability company ("Landlord").</w:t>
      </w:r>
    </w:p>
    <w:p>
      <w:pPr>
        <w:pStyle w:val="TextBody"/>
        <w:spacing w:before="0" w:after="0"/>
        <w:rPr/>
      </w:pPr>
      <w:r>
        <w:rPr/>
      </w:r>
    </w:p>
    <w:p>
      <w:pPr>
        <w:pStyle w:val="TextBody"/>
        <w:spacing w:before="10"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spacing w:before="1" w:after="283"/>
        <w:rPr/>
      </w:pPr>
      <w:r>
        <w:rPr/>
      </w:r>
    </w:p>
    <w:p>
      <w:pPr>
        <w:pStyle w:val="TextBody"/>
        <w:spacing w:lineRule="auto" w:line="288" w:before="0" w:after="0"/>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WHEREAS, Landlord and Tenant are parties to the above referenced Lease for Premises located at 350 Treat Avenue, San Francisco, California 94107 (the “Premises”) for a Lease Term that is scheduled to expire on January 31, 2023; and</w:t>
      </w:r>
    </w:p>
    <w:p>
      <w:pPr>
        <w:pStyle w:val="TextBody"/>
        <w:spacing w:before="1" w:after="283"/>
        <w:rPr/>
      </w:pPr>
      <w:r>
        <w:rPr/>
      </w:r>
    </w:p>
    <w:p>
      <w:pPr>
        <w:pStyle w:val="TextBody"/>
        <w:spacing w:lineRule="auto" w:line="288" w:before="0" w:after="0"/>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WHEREAS, Landlord and Tenant now desire to (i) extend the Term of the Lease, (ii) provide for an additional tenant improvement allowance, and (iii) amend certain other terms and conditions of the Lease, all as hereinafter set forth; and</w:t>
      </w:r>
    </w:p>
    <w:p>
      <w:pPr>
        <w:pStyle w:val="TextBody"/>
        <w:spacing w:before="10" w:after="283"/>
        <w:rPr/>
      </w:pPr>
      <w:r>
        <w:rPr/>
      </w:r>
    </w:p>
    <w:p>
      <w:pPr>
        <w:pStyle w:val="TextBody"/>
        <w:spacing w:lineRule="auto" w:line="288" w:before="0" w:after="0"/>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WHEREAS, capitalized terms which are not otherwise defined herein shall be deemed to have the same meanings herein as are ascribed to such terms in the Lease.</w:t>
      </w:r>
    </w:p>
    <w:p>
      <w:pPr>
        <w:pStyle w:val="TextBody"/>
        <w:spacing w:before="10" w:after="283"/>
        <w:rPr/>
      </w:pPr>
      <w:r>
        <w:rPr/>
      </w:r>
    </w:p>
    <w:p>
      <w:pPr>
        <w:pStyle w:val="TextBody"/>
        <w:spacing w:lineRule="auto" w:line="288" w:before="0" w:after="0"/>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and adequacy of which are hereby acknowledged, Landlord and Tenant hereby agree that the Lease is amended as follows.</w:t>
      </w:r>
    </w:p>
    <w:p>
      <w:pPr>
        <w:pStyle w:val="TextBody"/>
        <w:spacing w:before="8"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spacing w:before="11" w:after="283"/>
        <w:rPr/>
      </w:pPr>
      <w:r>
        <w:rPr/>
      </w:r>
    </w:p>
    <w:p>
      <w:pPr>
        <w:pStyle w:val="TextBody"/>
        <w:spacing w:lineRule="auto" w:line="288" w:before="0" w:after="0"/>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Extension of Term</w:t>
      </w:r>
      <w:r>
        <w:rPr>
          <w:rFonts w:ascii="Times New Roman;sans-serif" w:hAnsi="Times New Roman;sans-serif"/>
          <w:b w:val="false"/>
          <w:color w:val="000000"/>
          <w:sz w:val="20"/>
        </w:rPr>
        <w:t>. Landlord and Tenant hereby agree that the Term of the Lease is extended for four (4) years and seven (7) months and shall expire on August 31, 2027. The period from February 1, 2023 to August 31, 2027 is referred to herein as the “Extended Term”. Tenant shall continue to have the option to further extend the Term of the Lease pursuant to Article 34B of the Lease.</w:t>
      </w:r>
    </w:p>
    <w:p>
      <w:pPr>
        <w:pStyle w:val="TextBody"/>
        <w:spacing w:before="10" w:after="283"/>
        <w:rPr/>
      </w:pPr>
      <w:r>
        <w:rPr/>
      </w:r>
    </w:p>
    <w:p>
      <w:pPr>
        <w:pStyle w:val="TextBody"/>
        <w:spacing w:lineRule="auto" w:line="288" w:before="0" w:after="0"/>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Base Monthly Rent</w:t>
      </w:r>
      <w:r>
        <w:rPr>
          <w:rFonts w:ascii="Times New Roman;sans-serif" w:hAnsi="Times New Roman;sans-serif"/>
          <w:b w:val="false"/>
          <w:color w:val="000000"/>
          <w:sz w:val="20"/>
        </w:rPr>
        <w:t>. Landlord and Tenant hereby agree that the Base Monthly Rent payable under the Lease during the Extended Term shall be payable in the following amounts.</w:t>
      </w:r>
    </w:p>
    <w:p>
      <w:pPr>
        <w:pStyle w:val="TextBody"/>
        <w:spacing w:before="10" w:after="283"/>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Base Monthly Rent</w:t>
      </w:r>
    </w:p>
    <w:p>
      <w:pPr>
        <w:pStyle w:val="TextBody"/>
        <w:spacing w:before="3" w:after="283"/>
        <w:rPr/>
      </w:pPr>
      <w:r>
        <w:rPr/>
      </w:r>
    </w:p>
    <w:tbl>
      <w:tblPr>
        <w:tblW w:w="9810" w:type="dxa"/>
        <w:jc w:val="left"/>
        <w:tblInd w:w="0" w:type="dxa"/>
        <w:tblCellMar>
          <w:top w:w="28" w:type="dxa"/>
          <w:left w:w="28" w:type="dxa"/>
          <w:bottom w:w="28" w:type="dxa"/>
          <w:right w:w="28" w:type="dxa"/>
        </w:tblCellMar>
      </w:tblPr>
      <w:tblGrid>
        <w:gridCol w:w="1334"/>
        <w:gridCol w:w="1167"/>
        <w:gridCol w:w="1189"/>
        <w:gridCol w:w="522"/>
        <w:gridCol w:w="522"/>
        <w:gridCol w:w="531"/>
        <w:gridCol w:w="565"/>
        <w:gridCol w:w="565"/>
        <w:gridCol w:w="565"/>
        <w:gridCol w:w="835"/>
        <w:gridCol w:w="835"/>
        <w:gridCol w:w="1180"/>
      </w:tblGrid>
      <w:tr>
        <w:trPr/>
        <w:tc>
          <w:tcPr>
            <w:tcW w:w="1334"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top w:val="single" w:sz="6" w:space="0" w:color="000000"/>
              <w:left w:val="single" w:sz="6" w:space="0" w:color="000000"/>
            </w:tcBorders>
            <w:shd w:fill="DFDFDF" w:val="clear"/>
            <w:tcMar>
              <w:top w:w="30" w:type="dxa"/>
              <w:bottom w:w="0" w:type="dxa"/>
              <w:right w:w="0" w:type="dxa"/>
            </w:tcMar>
            <w:vAlign w:val="center"/>
          </w:tcPr>
          <w:p>
            <w:pPr>
              <w:pStyle w:val="TableContents"/>
              <w:spacing w:before="9" w:after="283"/>
              <w:jc w:val="left"/>
              <w:rPr/>
            </w:pPr>
            <w:r>
              <w:rPr/>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1575" w:type="dxa"/>
            <w:gridSpan w:val="3"/>
            <w:tcBorders>
              <w:top w:val="single" w:sz="6" w:space="0" w:color="000000"/>
              <w:left w:val="single" w:sz="6" w:space="0" w:color="000000"/>
            </w:tcBorders>
            <w:shd w:fill="DFDFDF" w:val="clear"/>
            <w:tcMar>
              <w:top w:w="30" w:type="dxa"/>
              <w:bottom w:w="0" w:type="dxa"/>
              <w:right w:w="0" w:type="dxa"/>
            </w:tcMar>
            <w:vAlign w:val="center"/>
          </w:tcPr>
          <w:p>
            <w:pPr>
              <w:pStyle w:val="TableContents"/>
              <w:spacing w:lineRule="auto" w:line="240" w:before="118" w:after="283"/>
              <w:ind w:left="0" w:right="0" w:hanging="356"/>
              <w:jc w:val="left"/>
              <w:rPr>
                <w:rFonts w:ascii="Times New Roman;sans-serif" w:hAnsi="Times New Roman;sans-serif"/>
                <w:b w:val="false"/>
                <w:color w:val="000000"/>
                <w:sz w:val="20"/>
              </w:rPr>
            </w:pPr>
            <w:r>
              <w:rPr>
                <w:rFonts w:ascii="Times New Roman;sans-serif" w:hAnsi="Times New Roman;sans-serif"/>
                <w:b w:val="false"/>
                <w:color w:val="000000"/>
                <w:sz w:val="20"/>
              </w:rPr>
              <w:t>Annual Base Rent</w:t>
            </w:r>
          </w:p>
        </w:tc>
        <w:tc>
          <w:tcPr>
            <w:tcW w:w="1695" w:type="dxa"/>
            <w:gridSpan w:val="3"/>
            <w:tcBorders>
              <w:top w:val="single" w:sz="6" w:space="0" w:color="000000"/>
              <w:left w:val="single" w:sz="6" w:space="0" w:color="000000"/>
            </w:tcBorders>
            <w:shd w:fill="DFDFDF" w:val="clear"/>
            <w:tcMar>
              <w:top w:w="30" w:type="dxa"/>
              <w:bottom w:w="0" w:type="dxa"/>
              <w:right w:w="0" w:type="dxa"/>
            </w:tcMar>
            <w:vAlign w:val="center"/>
          </w:tcPr>
          <w:p>
            <w:pPr>
              <w:pStyle w:val="TableContents"/>
              <w:spacing w:lineRule="auto" w:line="240" w:before="118" w:after="283"/>
              <w:ind w:left="0" w:right="0" w:hanging="394"/>
              <w:jc w:val="left"/>
              <w:rPr>
                <w:rFonts w:ascii="Times New Roman;sans-serif" w:hAnsi="Times New Roman;sans-serif"/>
                <w:b w:val="false"/>
                <w:color w:val="000000"/>
                <w:sz w:val="20"/>
              </w:rPr>
            </w:pPr>
            <w:r>
              <w:rPr>
                <w:rFonts w:ascii="Times New Roman;sans-serif" w:hAnsi="Times New Roman;sans-serif"/>
                <w:b w:val="false"/>
                <w:color w:val="000000"/>
                <w:sz w:val="20"/>
              </w:rPr>
              <w:t>Base Monthly Rent</w:t>
            </w:r>
          </w:p>
        </w:tc>
        <w:tc>
          <w:tcPr>
            <w:tcW w:w="2850" w:type="dxa"/>
            <w:gridSpan w:val="3"/>
            <w:tcBorders>
              <w:top w:val="single" w:sz="6" w:space="0" w:color="000000"/>
              <w:left w:val="single" w:sz="6" w:space="0" w:color="000000"/>
              <w:right w:val="single" w:sz="6" w:space="0" w:color="000000"/>
            </w:tcBorders>
            <w:shd w:fill="DFDFDF" w:val="clear"/>
            <w:tcMar>
              <w:top w:w="30" w:type="dxa"/>
              <w:bottom w:w="0" w:type="dxa"/>
            </w:tcMar>
            <w:vAlign w:val="center"/>
          </w:tcPr>
          <w:p>
            <w:pPr>
              <w:pStyle w:val="TableContents"/>
              <w:spacing w:lineRule="auto" w:line="240" w:before="0" w:after="0"/>
              <w:ind w:left="0" w:right="0" w:hanging="779"/>
              <w:jc w:val="left"/>
              <w:rPr>
                <w:rFonts w:ascii="Times New Roman;sans-serif" w:hAnsi="Times New Roman;sans-serif"/>
                <w:b w:val="false"/>
                <w:color w:val="000000"/>
                <w:sz w:val="20"/>
              </w:rPr>
            </w:pPr>
            <w:r>
              <w:rPr>
                <w:rFonts w:ascii="Times New Roman;sans-serif" w:hAnsi="Times New Roman;sans-serif"/>
                <w:b w:val="false"/>
                <w:color w:val="000000"/>
                <w:sz w:val="20"/>
              </w:rPr>
              <w:t>Rate Per Rentable Sq. Ft. per year</w:t>
            </w:r>
          </w:p>
        </w:tc>
      </w:tr>
      <w:tr>
        <w:trPr/>
        <w:tc>
          <w:tcPr>
            <w:tcW w:w="3690" w:type="dxa"/>
            <w:gridSpan w:val="3"/>
            <w:tcBorders>
              <w:top w:val="single" w:sz="12" w:space="0" w:color="000000"/>
              <w:left w:val="single" w:sz="6" w:space="0" w:color="000000"/>
            </w:tcBorders>
            <w:shd w:fill="auto" w:val="clear"/>
            <w:tcMar>
              <w:top w:w="30" w:type="dxa"/>
              <w:bottom w:w="0" w:type="dxa"/>
              <w:right w:w="0" w:type="dxa"/>
            </w:tcMar>
            <w:vAlign w:val="center"/>
          </w:tcPr>
          <w:p>
            <w:pPr>
              <w:pStyle w:val="TableContents"/>
              <w:spacing w:lineRule="auto" w:line="240" w:before="73"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through August 31, 2023*</w:t>
            </w:r>
          </w:p>
        </w:tc>
        <w:tc>
          <w:tcPr>
            <w:tcW w:w="1575" w:type="dxa"/>
            <w:gridSpan w:val="3"/>
            <w:tcBorders>
              <w:top w:val="single" w:sz="12"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$1,605,120.00*</w:t>
            </w:r>
          </w:p>
        </w:tc>
        <w:tc>
          <w:tcPr>
            <w:tcW w:w="1695" w:type="dxa"/>
            <w:gridSpan w:val="3"/>
            <w:tcBorders>
              <w:top w:val="single" w:sz="12" w:space="0" w:color="000000"/>
              <w:left w:val="single" w:sz="6" w:space="0" w:color="000000"/>
            </w:tcBorders>
            <w:shd w:fill="auto" w:val="clear"/>
            <w:tcMar>
              <w:top w:w="30" w:type="dxa"/>
              <w:left w:w="158"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$133,760.00*</w:t>
            </w:r>
          </w:p>
        </w:tc>
        <w:tc>
          <w:tcPr>
            <w:tcW w:w="2850" w:type="dxa"/>
            <w:gridSpan w:val="3"/>
            <w:tcBorders>
              <w:top w:val="single" w:sz="16" w:space="0" w:color="000000"/>
              <w:left w:val="single" w:sz="6" w:space="0" w:color="000000"/>
              <w:right w:val="single" w:sz="6" w:space="0" w:color="000000"/>
            </w:tcBorders>
            <w:shd w:fill="auto" w:val="clear"/>
            <w:tcMar>
              <w:top w:w="30" w:type="dxa"/>
              <w:left w:w="931"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$61.44*</w:t>
            </w:r>
          </w:p>
        </w:tc>
      </w:tr>
      <w:tr>
        <w:trPr/>
        <w:tc>
          <w:tcPr>
            <w:tcW w:w="369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59"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through August 31,</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7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$1,653,273.60</w:t>
            </w:r>
          </w:p>
        </w:tc>
        <w:tc>
          <w:tcPr>
            <w:tcW w:w="1695" w:type="dxa"/>
            <w:gridSpan w:val="3"/>
            <w:tcBorders>
              <w:top w:val="single" w:sz="6" w:space="0" w:color="000000"/>
              <w:left w:val="single" w:sz="6" w:space="0" w:color="000000"/>
            </w:tcBorders>
            <w:shd w:fill="auto" w:val="clear"/>
            <w:tcMar>
              <w:top w:w="30" w:type="dxa"/>
              <w:left w:w="158"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$137,772.80</w:t>
            </w:r>
          </w:p>
        </w:tc>
        <w:tc>
          <w:tcPr>
            <w:tcW w:w="2850"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59"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$63.28</w:t>
            </w:r>
          </w:p>
        </w:tc>
      </w:tr>
      <w:tr>
        <w:trPr/>
        <w:tc>
          <w:tcPr>
            <w:tcW w:w="369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58"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through August 31,</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7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$1,702,871.81</w:t>
            </w:r>
          </w:p>
        </w:tc>
        <w:tc>
          <w:tcPr>
            <w:tcW w:w="1695" w:type="dxa"/>
            <w:gridSpan w:val="3"/>
            <w:tcBorders>
              <w:top w:val="single" w:sz="6" w:space="0" w:color="000000"/>
              <w:left w:val="single" w:sz="6" w:space="0" w:color="000000"/>
            </w:tcBorders>
            <w:shd w:fill="auto" w:val="clear"/>
            <w:tcMar>
              <w:top w:w="30" w:type="dxa"/>
              <w:left w:w="239"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$141,905,98</w:t>
            </w:r>
          </w:p>
        </w:tc>
        <w:tc>
          <w:tcPr>
            <w:tcW w:w="2850"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58"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$65.18</w:t>
            </w:r>
          </w:p>
        </w:tc>
      </w:tr>
      <w:tr>
        <w:trPr/>
        <w:tc>
          <w:tcPr>
            <w:tcW w:w="369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58"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2025 through August 31,</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7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$1,753,957.96</w:t>
            </w:r>
          </w:p>
        </w:tc>
        <w:tc>
          <w:tcPr>
            <w:tcW w:w="1695" w:type="dxa"/>
            <w:gridSpan w:val="3"/>
            <w:tcBorders>
              <w:top w:val="single" w:sz="6" w:space="0" w:color="000000"/>
              <w:left w:val="single" w:sz="6" w:space="0" w:color="000000"/>
            </w:tcBorders>
            <w:shd w:fill="auto" w:val="clear"/>
            <w:tcMar>
              <w:top w:w="30" w:type="dxa"/>
              <w:left w:w="158"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$146,163.16</w:t>
            </w:r>
          </w:p>
        </w:tc>
        <w:tc>
          <w:tcPr>
            <w:tcW w:w="2850"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6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$67.14</w:t>
            </w:r>
          </w:p>
        </w:tc>
      </w:tr>
      <w:tr>
        <w:trPr/>
        <w:tc>
          <w:tcPr>
            <w:tcW w:w="3690"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58"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2026 through August 31,</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75"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$1,806,576.70</w:t>
            </w:r>
          </w:p>
        </w:tc>
        <w:tc>
          <w:tcPr>
            <w:tcW w:w="1695" w:type="dxa"/>
            <w:gridSpan w:val="3"/>
            <w:tcBorders>
              <w:top w:val="single" w:sz="6" w:space="0" w:color="000000"/>
              <w:left w:val="single" w:sz="6" w:space="0" w:color="000000"/>
              <w:bottom w:val="single" w:sz="6" w:space="0" w:color="000000"/>
            </w:tcBorders>
            <w:shd w:fill="auto" w:val="clear"/>
            <w:tcMar>
              <w:top w:w="30" w:type="dxa"/>
              <w:left w:w="158"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$150,548.06</w:t>
            </w:r>
          </w:p>
        </w:tc>
        <w:tc>
          <w:tcPr>
            <w:tcW w:w="2850"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58"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$69.15</w:t>
            </w:r>
          </w:p>
        </w:tc>
      </w:tr>
    </w:tbl>
    <w:p>
      <w:pPr>
        <w:pStyle w:val="TextBody"/>
        <w:spacing w:before="0" w:after="0"/>
        <w:rPr/>
      </w:pPr>
      <w:r>
        <w:rPr/>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 Monthly Rent payable by Tenant shall be abated during the months of February, 2023 and March, 2023 (2 months of Base Monthly Rent abatement). If prior to or during said period of abated Base Monthly Rent, Tenant commits a default under this Lease and does not cure it within the time provided for cure, if any, and such default is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6525"/>
                <wp:effectExtent l="0" t="0" r="0" b="0"/>
                <wp:wrapNone/>
                <wp:docPr id="162" name="Frame156"/>
                <a:graphic xmlns:a="http://schemas.openxmlformats.org/drawingml/2006/main">
                  <a:graphicData uri="http://schemas.microsoft.com/office/word/2010/wordprocessingShape">
                    <wps:wsp>
                      <wps:cNvSpPr txBox="1"/>
                      <wps:spPr>
                        <a:xfrm>
                          <a:off x="0" y="0"/>
                          <a:ext cx="6480175" cy="136525"/>
                        </a:xfrm>
                        <a:prstGeom prst="rect"/>
                      </wps:spPr>
                      <wps:txbx>
                        <w:txbxContent>
                          <w:p>
                            <w:pPr>
                              <w:pStyle w:val="TextBody"/>
                              <w:spacing w:lineRule="auto" w:line="192" w:before="0" w:after="0"/>
                              <w:jc w:val="center"/>
                              <w:rPr>
                                <w:rFonts w:ascii="Calibri;sans-serif" w:hAnsi="Calibri;sans-serif"/>
                                <w:b w:val="false"/>
                                <w:color w:val="000000"/>
                                <w:sz w:val="22"/>
                              </w:rPr>
                            </w:pPr>
                            <w:r>
                              <w:rPr>
                                <w:rFonts w:ascii="Calibri;sans-serif" w:hAnsi="Calibr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Calibri;sans-serif" w:hAnsi="Calibri;sans-serif"/>
                          <w:b w:val="false"/>
                          <w:color w:val="000000"/>
                          <w:sz w:val="22"/>
                        </w:rPr>
                      </w:pPr>
                      <w:r>
                        <w:rPr>
                          <w:rFonts w:ascii="Calibri;sans-serif" w:hAnsi="Calibri;sans-serif"/>
                          <w:b w:val="false"/>
                          <w:color w:val="000000"/>
                          <w:sz w:val="22"/>
                        </w:rPr>
                        <w:t>1</w:t>
                      </w:r>
                    </w:p>
                  </w:txbxContent>
                </v:textbox>
              </v:rect>
            </w:pict>
          </mc:Fallback>
        </mc:AlternateConten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waived by Landlord, the foregoing abatement of Base Monthly Rent shall immediately cease, Tenant shall promptly reimburse Landlord for the previously abated Base Monthly Rent, and Tenant shall thereafter pay the full Base Monthly Rent, without the abatement. If this Lease shall terminate prior to its scheduled Expiration Date due to a Default by Tenant, Tenant shall reimburse Landlord the amount of the abated Base Monthly Rent.</w:t>
      </w:r>
    </w:p>
    <w:p>
      <w:pPr>
        <w:pStyle w:val="TextBody"/>
        <w:spacing w:before="2" w:after="283"/>
        <w:rPr/>
      </w:pPr>
      <w:r>
        <w:rPr/>
      </w:r>
    </w:p>
    <w:p>
      <w:pPr>
        <w:pStyle w:val="TextBody"/>
        <w:spacing w:lineRule="auto" w:line="288" w:before="0" w:after="0"/>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Tenant Improvement Allowance</w:t>
      </w:r>
      <w:r>
        <w:rPr>
          <w:rFonts w:ascii="Times New Roman;sans-serif" w:hAnsi="Times New Roman;sans-serif"/>
          <w:b w:val="false"/>
          <w:color w:val="000000"/>
          <w:sz w:val="20"/>
        </w:rPr>
        <w:t>. Landlord shall provide Tenant with a Tenant Improvement Allowance in the amount of $45.00 per rentable square foot of the Building (a total of $45 x 26,125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$1,175,625.00) to be used to reimburse Tenant for real property improvements that were made to the Premises prior to the date of this Third Amendment (and not for furnishing, fixtures or equipment). The Tenant Improvement Allowance shall be disbursed by Landlord to Tenant within ten (10) business days following the full execution of this Third Amendment in accordance with payment instructions provided by Tenant to Landlord. Landlord acknowledges that Landlord has received such supporting documentation as Landlord has reasonably requested with respect to such reimbursement.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Security Deposit/Letter of Credit</w:t>
      </w:r>
      <w:r>
        <w:rPr>
          <w:rFonts w:ascii="Times New Roman;sans-serif" w:hAnsi="Times New Roman;sans-serif"/>
          <w:b w:val="false"/>
          <w:color w:val="000000"/>
          <w:sz w:val="20"/>
        </w:rPr>
        <w:t>. Pursuant to the terms of the Lease, Landlord currently holds a letter of credit as a Security Deposit in the amount of $547,963.70. Tenant shall maintain such letter of credit (or any replacement letter of credit permitted pursuant to the Lease) until the date that is three (3) months after the expiration of the Term of the Lease, as extended by this Third Amendment.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lieu of the Security Deposit Reduction provisions set forth in the Basic Lease Information provisions of the Lease, and which provisions are hereby deleted in their entirety; provided Tenant is not then in Default under the terms of the Lease, the letter of credit will be reduced as follows: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letter of credit shall be reduced on November 1, 2021 to the amount of $450,000.00. The letter of credit shall be reduced on September 1, 2025 to the amount of $300,000.00. The letter of credit shall be reduced on September 1, 2026 to the amount of $150,000.00.</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 xml:space="preserve">Status of Lease. </w:t>
      </w:r>
      <w:r>
        <w:rPr>
          <w:rFonts w:ascii="Times New Roman;sans-serif" w:hAnsi="Times New Roman;sans-serif"/>
          <w:b w:val="false"/>
          <w:color w:val="000000"/>
          <w:sz w:val="20"/>
        </w:rPr>
        <w:t>Except as set forth herein, the Lease shall remain unamended and in full force and effect. This Third Amendment and the Lease shall be construed as a whole in order to effectuate the intent of the parties to amend the Lease in the manner specified in this Third Amendment. If any provision of the Lease conflicts with the terms of this Third Amendment, then the provisions of this Third Amendment shall control.</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Representations and Warranties of Tenant</w:t>
      </w:r>
      <w:r>
        <w:rPr>
          <w:rFonts w:ascii="Times New Roman;sans-serif" w:hAnsi="Times New Roman;sans-serif"/>
          <w:b w:val="false"/>
          <w:color w:val="000000"/>
          <w:sz w:val="20"/>
        </w:rPr>
        <w:t>. As a material inducement to Landlord to enter into this Third Amendment, Tenant represents and warrants to Landlord that, as of the date of this Third Amendment, to Tenant’s knowledge, (a) there are no defaults by Tenant under the Lease, and (b) no circumstance has occurred which, but for the expiration of any applicable grace period, would constitute an event of default by Landlord or Tenant under the Lease.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 xml:space="preserve">Brokers. </w:t>
      </w:r>
      <w:r>
        <w:rPr>
          <w:rFonts w:ascii="Times New Roman;sans-serif" w:hAnsi="Times New Roman;sans-serif"/>
          <w:b w:val="false"/>
          <w:color w:val="000000"/>
          <w:sz w:val="20"/>
        </w:rPr>
        <w:t>Neither party hereto has had any dealings with any real estate broker, agent or finder, in connection with this Third Amendment other than Newmark (“Broker”) representing Tenant, and neither party hereto knows of any other real estate broker, agent or finder who is entitled to a commission in connection with this Third Amendment. Landlord shall pay Broker a procuring leasing commission per a separate agreement signed February 27, 2020. Landlord agrees to indemnify and defend Tenant against and hold Tenant harmless from any and all claims, demands, losses, liabilities, lawsuits, judgments, costs and expenses (including, without limitation, reasonable attorneys’ fees) with respect to any leasing commission, finder’s fee, or equivalent compensation owing to Broker or any party other than Broker on account of any dealings with any real estate broker, agent or finder, occurring by, through or under Landlord in connection with this Third Amendment. Tenant agrees to indemnify and defend Landlord against and hold Landlord harmless from any and all claims, demands, losses, liabilities, lawsuits, judgments, costs and expenses (including, without limitation, reasonable attorneys’ fees) with respect to any leasing commission, finder’s fee, or equivalent compensation owing to any party other than Broker on account of any dealings with any real estate broker, agent or finder, occurring by, through or under Tenant in connection with this Third Amendment.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All understandings and agreements, oral or written, previously made between the parties hereto pertaining to the subject matter hereof are merged in this Third Amendment, which alone fully and completely expresses the agreement between Landlord and Tenant. No modification, waiver or amendment of this Third Amendment or of any of its conditions or provisions shall be binding upon Landlord unless in writing signed by Landlord.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6525"/>
                <wp:effectExtent l="0" t="0" r="0" b="0"/>
                <wp:wrapNone/>
                <wp:docPr id="163" name="Frame157"/>
                <a:graphic xmlns:a="http://schemas.openxmlformats.org/drawingml/2006/main">
                  <a:graphicData uri="http://schemas.microsoft.com/office/word/2010/wordprocessingShape">
                    <wps:wsp>
                      <wps:cNvSpPr txBox="1"/>
                      <wps:spPr>
                        <a:xfrm>
                          <a:off x="0" y="0"/>
                          <a:ext cx="6480175" cy="136525"/>
                        </a:xfrm>
                        <a:prstGeom prst="rect"/>
                      </wps:spPr>
                      <wps:txbx>
                        <w:txbxContent>
                          <w:p>
                            <w:pPr>
                              <w:pStyle w:val="TextBody"/>
                              <w:spacing w:lineRule="auto" w:line="192" w:before="0" w:after="0"/>
                              <w:jc w:val="center"/>
                              <w:rPr>
                                <w:rFonts w:ascii="Calibri;sans-serif" w:hAnsi="Calibri;sans-serif"/>
                                <w:b w:val="false"/>
                                <w:color w:val="000000"/>
                                <w:sz w:val="22"/>
                              </w:rPr>
                            </w:pPr>
                            <w:r>
                              <w:rPr>
                                <w:rFonts w:ascii="Calibri;sans-serif" w:hAnsi="Calibr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jc w:val="center"/>
                        <w:rPr>
                          <w:rFonts w:ascii="Calibri;sans-serif" w:hAnsi="Calibri;sans-serif"/>
                          <w:b w:val="false"/>
                          <w:color w:val="000000"/>
                          <w:sz w:val="22"/>
                        </w:rPr>
                      </w:pPr>
                      <w:r>
                        <w:rPr>
                          <w:rFonts w:ascii="Calibri;sans-serif" w:hAnsi="Calibri;sans-serif"/>
                          <w:b w:val="false"/>
                          <w:color w:val="000000"/>
                          <w:sz w:val="22"/>
                        </w:rPr>
                        <w:t>2</w:t>
                      </w:r>
                    </w:p>
                  </w:txbxContent>
                </v:textbox>
              </v:rect>
            </w:pict>
          </mc:Fallback>
        </mc:AlternateContent>
      </w:r>
    </w:p>
    <w:p>
      <w:pPr>
        <w:pStyle w:val="TextBody"/>
        <w:spacing w:lineRule="auto" w:line="288" w:before="0" w:after="0"/>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Authority</w:t>
      </w:r>
      <w:r>
        <w:rPr>
          <w:rFonts w:ascii="Times New Roman;sans-serif" w:hAnsi="Times New Roman;sans-serif"/>
          <w:b w:val="false"/>
          <w:color w:val="000000"/>
          <w:sz w:val="20"/>
        </w:rPr>
        <w:t>. Each party to this Third Amendment represents hereby that the person signing this Third Amendment on behalf of such party has the authority to execute and deliver the same. Each provision of this Third Amendment shall extend to and shall bind and inure to the benefit not only of Landlord and Tenant, but also of their respective heirs, legal representatives, successors and assigns.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Signatures</w:t>
      </w:r>
      <w:r>
        <w:rPr>
          <w:rFonts w:ascii="Times New Roman;sans-serif" w:hAnsi="Times New Roman;sans-serif"/>
          <w:b w:val="false"/>
          <w:color w:val="000000"/>
          <w:sz w:val="20"/>
        </w:rPr>
        <w:t>. The parties hereto consent and agree that this Third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Third Amendment using electronic signature technology, by clicking “SIGN”, such party is signing this Third Amendment electronically, and (2) the electronic signatures appearing on this Third Amendment shall be treated, for purposes of validity, enforceability and admissibility, the same as handwritten signatures.</w:t>
      </w:r>
    </w:p>
    <w:p>
      <w:pPr>
        <w:pStyle w:val="TextBody"/>
        <w:spacing w:before="0" w:after="0"/>
        <w:rPr/>
      </w:pPr>
      <w:r>
        <w:rPr/>
      </w:r>
    </w:p>
    <w:p>
      <w:pPr>
        <w:pStyle w:val="TextBody"/>
        <w:spacing w:lineRule="auto" w:line="240" w:before="0" w:after="0"/>
        <w:ind w:left="0" w:right="0" w:firstLine="719"/>
        <w:rPr>
          <w:rFonts w:ascii="Times New Roman;sans-serif" w:hAnsi="Times New Roman;sans-serif"/>
          <w:b w:val="false"/>
          <w:color w:val="000000"/>
          <w:sz w:val="20"/>
        </w:rPr>
      </w:pPr>
      <w:r>
        <w:rPr>
          <w:rFonts w:ascii="Times New Roman;sans-serif" w:hAnsi="Times New Roman;sans-serif"/>
          <w:b w:val="false"/>
          <w:color w:val="000000"/>
          <w:sz w:val="20"/>
        </w:rPr>
        <w:t>IN WITNESS WHEREOF, Landlord and Tenant have executed this Third Amendment to Lease as of the 15th day of November, 2021.</w:t>
      </w:r>
    </w:p>
    <w:p>
      <w:pPr>
        <w:pStyle w:val="TextBody"/>
        <w:spacing w:before="8" w:after="283"/>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TENANT</w:t>
      </w:r>
    </w:p>
    <w:p>
      <w:pPr>
        <w:pStyle w:val="TextBody"/>
        <w:spacing w:before="10" w:after="283"/>
        <w:rPr/>
      </w:pPr>
      <w:r>
        <w:rPr/>
      </w:r>
    </w:p>
    <w:p>
      <w:pPr>
        <w:pStyle w:val="TextBody"/>
        <w:spacing w:lineRule="auto" w:line="240" w:before="0" w:after="0"/>
        <w:jc w:val="both"/>
        <w:rPr/>
      </w:pPr>
      <w:r>
        <w:rPr>
          <w:rFonts w:ascii="Times New Roman;sans-serif" w:hAnsi="Times New Roman;sans-serif"/>
          <w:b/>
          <w:color w:val="000000"/>
          <w:sz w:val="20"/>
        </w:rPr>
        <w:t xml:space="preserve">OUSTER, INC., </w:t>
      </w:r>
      <w:r>
        <w:rPr>
          <w:rFonts w:ascii="Times New Roman;sans-serif" w:hAnsi="Times New Roman;sans-serif"/>
          <w:b w:val="false"/>
          <w:color w:val="000000"/>
          <w:sz w:val="20"/>
        </w:rPr>
        <w:t>a Delaware corporation</w:t>
      </w:r>
    </w:p>
    <w:p>
      <w:pPr>
        <w:pStyle w:val="TextBody"/>
        <w:spacing w:before="0" w:after="0"/>
        <w:jc w:val="both"/>
        <w:rPr/>
      </w:pPr>
      <w:r>
        <w:rPr/>
      </w:r>
    </w:p>
    <w:tbl>
      <w:tblPr>
        <w:tblW w:w="1845" w:type="dxa"/>
        <w:jc w:val="left"/>
        <w:tblInd w:w="0" w:type="dxa"/>
        <w:tblCellMar>
          <w:top w:w="28" w:type="dxa"/>
          <w:left w:w="28" w:type="dxa"/>
          <w:bottom w:w="28" w:type="dxa"/>
          <w:right w:w="28" w:type="dxa"/>
        </w:tblCellMar>
      </w:tblPr>
      <w:tblGrid>
        <w:gridCol w:w="590"/>
        <w:gridCol w:w="518"/>
        <w:gridCol w:w="737"/>
      </w:tblGrid>
      <w:tr>
        <w:trPr/>
        <w:tc>
          <w:tcPr>
            <w:tcW w:w="59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3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/s/ Angus Pacala</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Print Name: Angus Pacala</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Its: CEO</w:t>
      </w:r>
    </w:p>
    <w:p>
      <w:pPr>
        <w:pStyle w:val="TextBody"/>
        <w:spacing w:before="5" w:after="283"/>
        <w:rPr/>
      </w:pPr>
      <w:r>
        <w:rPr/>
      </w:r>
    </w:p>
    <w:p>
      <w:pPr>
        <w:pStyle w:val="TextBody"/>
        <w:spacing w:before="5" w:after="283"/>
        <w:rPr/>
      </w:pPr>
      <w:r>
        <w:rPr/>
      </w:r>
    </w:p>
    <w:p>
      <w:pPr>
        <w:pStyle w:val="TextBody"/>
        <w:spacing w:lineRule="auto" w:line="240" w:before="74" w:after="283"/>
        <w:rPr>
          <w:rFonts w:ascii="Times New Roman;sans-serif" w:hAnsi="Times New Roman;sans-serif"/>
          <w:b/>
          <w:color w:val="000000"/>
          <w:sz w:val="20"/>
        </w:rPr>
      </w:pPr>
      <w:r>
        <w:rPr>
          <w:rFonts w:ascii="Times New Roman;sans-serif" w:hAnsi="Times New Roman;sans-serif"/>
          <w:b/>
          <w:color w:val="000000"/>
          <w:sz w:val="20"/>
        </w:rPr>
        <w:t>LANDLORD</w:t>
      </w:r>
    </w:p>
    <w:p>
      <w:pPr>
        <w:pStyle w:val="TextBody"/>
        <w:spacing w:before="8" w:after="283"/>
        <w:rPr/>
      </w:pPr>
      <w:r>
        <w:rPr/>
      </w:r>
    </w:p>
    <w:p>
      <w:pPr>
        <w:pStyle w:val="TextBody"/>
        <w:spacing w:lineRule="auto" w:line="240" w:before="0" w:after="0"/>
        <w:rPr/>
      </w:pPr>
      <w:r>
        <w:rPr>
          <w:rFonts w:ascii="Times New Roman;sans-serif" w:hAnsi="Times New Roman;sans-serif"/>
          <w:b/>
          <w:color w:val="000000"/>
          <w:sz w:val="20"/>
        </w:rPr>
        <w:t xml:space="preserve">SIC – 350 TREAT, LLC, </w:t>
      </w:r>
      <w:r>
        <w:rPr>
          <w:rFonts w:ascii="Times New Roman;sans-serif" w:hAnsi="Times New Roman;sans-serif"/>
          <w:b w:val="false"/>
          <w:color w:val="000000"/>
          <w:sz w:val="20"/>
        </w:rPr>
        <w:t>a Delaware limited liability company</w:t>
      </w:r>
    </w:p>
    <w:p>
      <w:pPr>
        <w:pStyle w:val="TextBody"/>
        <w:spacing w:before="3" w:after="283"/>
        <w:rPr/>
      </w:pPr>
      <w:r>
        <w:rPr/>
      </w:r>
    </w:p>
    <w:p>
      <w:pPr>
        <w:pStyle w:val="TextBody"/>
        <w:spacing w:lineRule="auto" w:line="240" w:before="0" w:after="0"/>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By: The Swig Company, LLC, a Delaware limited liability company Property Manager</w:t>
      </w:r>
    </w:p>
    <w:p>
      <w:pPr>
        <w:pStyle w:val="TextBody"/>
        <w:spacing w:before="1" w:after="283"/>
        <w:rPr/>
      </w:pPr>
      <w:r>
        <w:rPr/>
      </w:r>
    </w:p>
    <w:tbl>
      <w:tblPr>
        <w:tblW w:w="2355" w:type="dxa"/>
        <w:jc w:val="left"/>
        <w:tblInd w:w="0" w:type="dxa"/>
        <w:tblCellMar>
          <w:top w:w="28" w:type="dxa"/>
          <w:left w:w="28" w:type="dxa"/>
          <w:bottom w:w="28" w:type="dxa"/>
          <w:right w:w="28" w:type="dxa"/>
        </w:tblCellMar>
      </w:tblPr>
      <w:tblGrid>
        <w:gridCol w:w="754"/>
        <w:gridCol w:w="660"/>
        <w:gridCol w:w="941"/>
      </w:tblGrid>
      <w:tr>
        <w:trPr/>
        <w:tc>
          <w:tcPr>
            <w:tcW w:w="75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Philip Connor Kidd IV</w:t>
            </w:r>
          </w:p>
        </w:tc>
      </w:tr>
    </w:tbl>
    <w:p>
      <w:pPr>
        <w:pStyle w:val="TextBody"/>
        <w:spacing w:lineRule="auto" w:line="240" w:before="0" w:after="0"/>
        <w:ind w:left="0" w:right="0" w:firstLine="2610"/>
        <w:rPr>
          <w:rFonts w:ascii="Times New Roman;sans-serif" w:hAnsi="Times New Roman;sans-serif"/>
          <w:b w:val="false"/>
          <w:color w:val="000000"/>
          <w:sz w:val="20"/>
        </w:rPr>
      </w:pPr>
      <w:r>
        <w:rPr>
          <w:rFonts w:ascii="Times New Roman;sans-serif" w:hAnsi="Times New Roman;sans-serif"/>
          <w:b w:val="false"/>
          <w:color w:val="000000"/>
          <w:sz w:val="20"/>
        </w:rPr>
        <w:t>Philip Connor Kidd IV</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&amp; Director of Asset Management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10.7</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6525"/>
                <wp:effectExtent l="0" t="0" r="0" b="0"/>
                <wp:wrapNone/>
                <wp:docPr id="164" name="Frame158"/>
                <a:graphic xmlns:a="http://schemas.openxmlformats.org/drawingml/2006/main">
                  <a:graphicData uri="http://schemas.microsoft.com/office/word/2010/wordprocessingShape">
                    <wps:wsp>
                      <wps:cNvSpPr txBox="1"/>
                      <wps:spPr>
                        <a:xfrm>
                          <a:off x="0" y="0"/>
                          <a:ext cx="6480175" cy="136525"/>
                        </a:xfrm>
                        <a:prstGeom prst="rect"/>
                      </wps:spPr>
                      <wps:txbx>
                        <w:txbxContent>
                          <w:p>
                            <w:pPr>
                              <w:pStyle w:val="TextBody"/>
                              <w:spacing w:lineRule="auto" w:line="192" w:before="0" w:after="0"/>
                              <w:jc w:val="center"/>
                              <w:rPr>
                                <w:rFonts w:ascii="Calibri;sans-serif" w:hAnsi="Calibri;sans-serif"/>
                                <w:b w:val="false"/>
                                <w:color w:val="000000"/>
                                <w:sz w:val="22"/>
                              </w:rPr>
                            </w:pPr>
                            <w:r>
                              <w:rPr>
                                <w:rFonts w:ascii="Calibri;sans-serif" w:hAnsi="Calibr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192" w:before="0" w:after="0"/>
                        <w:jc w:val="center"/>
                        <w:rPr>
                          <w:rFonts w:ascii="Calibri;sans-serif" w:hAnsi="Calibri;sans-serif"/>
                          <w:b w:val="false"/>
                          <w:color w:val="000000"/>
                          <w:sz w:val="22"/>
                        </w:rPr>
                      </w:pPr>
                      <w:r>
                        <w:rPr>
                          <w:rFonts w:ascii="Calibri;sans-serif" w:hAnsi="Calibri;sans-serif"/>
                          <w:b w:val="false"/>
                          <w:color w:val="000000"/>
                          <w:sz w:val="22"/>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AMENDED AND RESTATED </w:t>
        <w:br/>
        <w:t>NON-EMPLOYEE DIRECTOR COMPENSATION PROGRAM</w: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This Ouster,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Amended and Restated Non-Employee Director Compensation Program (this “</w:t>
      </w:r>
      <w:r>
        <w:rPr>
          <w:rFonts w:ascii="Times New Roman;sans-serif" w:hAnsi="Times New Roman;sans-serif"/>
          <w:b/>
          <w:i/>
          <w:color w:val="000000"/>
          <w:sz w:val="20"/>
        </w:rPr>
        <w:t>Program</w:t>
      </w:r>
      <w:r>
        <w:rPr>
          <w:color w:val="000000"/>
        </w:rPr>
        <w:t>”</w:t>
      </w:r>
      <w:r>
        <w:rPr>
          <w:rFonts w:ascii="Times New Roman;sans-serif" w:hAnsi="Times New Roman;sans-serif"/>
          <w:b w:val="false"/>
          <w:color w:val="000000"/>
          <w:sz w:val="20"/>
        </w:rPr>
        <w:t>) has been adopted under the Company’s 2021 Incentive Award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amends and restates in its entirety the Non-Employee Director Compensation Program. This Program shall be effective as of August 6, 2021 (the “</w:t>
      </w:r>
      <w:r>
        <w:rPr>
          <w:rFonts w:ascii="Times New Roman;sans-serif" w:hAnsi="Times New Roman;sans-serif"/>
          <w:b/>
          <w:i/>
          <w:color w:val="000000"/>
          <w:sz w:val="20"/>
        </w:rPr>
        <w:t>Effective Date</w:t>
      </w:r>
      <w:r>
        <w:rPr>
          <w:color w:val="000000"/>
        </w:rPr>
        <w:t>”</w:t>
      </w:r>
      <w:r>
        <w:rPr>
          <w:rFonts w:ascii="Times New Roman;sans-serif" w:hAnsi="Times New Roman;sans-serif"/>
          <w:b w:val="false"/>
          <w:color w:val="000000"/>
          <w:sz w:val="20"/>
        </w:rPr>
        <w:t>). Capitalized terms not otherwise defined herein shall have the meaning ascribed in the Plan.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Compensation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upon the Effective Date, annual retainers will be paid in the following amounts to Non-Employee Directors: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Board Service</w:t>
      </w:r>
    </w:p>
    <w:tbl>
      <w:tblPr>
        <w:tblW w:w="2881" w:type="dxa"/>
        <w:jc w:val="left"/>
        <w:tblInd w:w="0" w:type="dxa"/>
        <w:tblCellMar>
          <w:top w:w="28" w:type="dxa"/>
          <w:left w:w="28" w:type="dxa"/>
          <w:bottom w:w="28" w:type="dxa"/>
          <w:right w:w="28" w:type="dxa"/>
        </w:tblCellMar>
      </w:tblPr>
      <w:tblGrid>
        <w:gridCol w:w="744"/>
        <w:gridCol w:w="654"/>
        <w:gridCol w:w="657"/>
        <w:gridCol w:w="242"/>
        <w:gridCol w:w="242"/>
        <w:gridCol w:w="342"/>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r>
      <w:tr>
        <w:trPr/>
        <w:tc>
          <w:tcPr>
            <w:tcW w:w="2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$51,250</w:t>
            </w:r>
          </w:p>
        </w:tc>
      </w:tr>
      <w:tr>
        <w:trPr/>
        <w:tc>
          <w:tcPr>
            <w:tcW w:w="2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Director</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Committee Service</w:t>
      </w:r>
    </w:p>
    <w:tbl>
      <w:tblPr>
        <w:tblW w:w="6767" w:type="dxa"/>
        <w:jc w:val="left"/>
        <w:tblInd w:w="0" w:type="dxa"/>
        <w:tblCellMar>
          <w:top w:w="28" w:type="dxa"/>
          <w:left w:w="28" w:type="dxa"/>
          <w:bottom w:w="28" w:type="dxa"/>
          <w:right w:w="28" w:type="dxa"/>
        </w:tblCellMar>
      </w:tblPr>
      <w:tblGrid>
        <w:gridCol w:w="1805"/>
        <w:gridCol w:w="1585"/>
        <w:gridCol w:w="1590"/>
        <w:gridCol w:w="259"/>
        <w:gridCol w:w="259"/>
        <w:gridCol w:w="263"/>
        <w:gridCol w:w="294"/>
        <w:gridCol w:w="294"/>
        <w:gridCol w:w="418"/>
      </w:tblGrid>
      <w:tr>
        <w:trPr/>
        <w:tc>
          <w:tcPr>
            <w:tcW w:w="1805"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Non-Chair</w:t>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Member</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4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Member</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r>
      <w:tr>
        <w:trPr/>
        <w:tc>
          <w:tcPr>
            <w:tcW w:w="4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 Member</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annual retainers are additive and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Election to Receive Restricted Stock Units (“RSUs”) In Lieu of Annual Retainers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2100"/>
                <wp:effectExtent l="0" t="0" r="0" b="0"/>
                <wp:wrapNone/>
                <wp:docPr id="165" name="Frame15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28"/>
        <w:gridCol w:w="289"/>
        <w:gridCol w:w="291"/>
        <w:gridCol w:w="2721"/>
        <w:gridCol w:w="2721"/>
        <w:gridCol w:w="3855"/>
      </w:tblGrid>
      <w:tr>
        <w:trPr/>
        <w:tc>
          <w:tcPr>
            <w:tcW w:w="32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c>
          <w:tcPr>
            <w:tcW w:w="3855" w:type="dxa"/>
            <w:tcBorders/>
            <w:shd w:fill="auto" w:val="clear"/>
            <w:vAlign w:val="center"/>
          </w:tcPr>
          <w:p>
            <w:pPr>
              <w:pStyle w:val="TableContents"/>
              <w:spacing w:before="0" w:after="283"/>
              <w:rPr>
                <w:sz w:val="4"/>
                <w:szCs w:val="4"/>
              </w:rPr>
            </w:pPr>
            <w:r>
              <w:rPr>
                <w:sz w:val="4"/>
                <w:szCs w:val="4"/>
              </w:rPr>
            </w:r>
          </w:p>
        </w:tc>
      </w:tr>
      <w:tr>
        <w:trPr/>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w:t>
            </w:r>
          </w:p>
        </w:tc>
        <w:tc>
          <w:tcPr>
            <w:tcW w:w="929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The Board or the Compensation Committee may, in its discretion, provide Non-Employee Directors with the opportunity to elect to convert all or a portion of their annual retainers into awards of RSUs ( “</w:t>
            </w:r>
            <w:r>
              <w:rPr>
                <w:rFonts w:ascii="Times New Roman;sans-serif" w:hAnsi="Times New Roman;sans-serif"/>
                <w:b/>
                <w:i/>
                <w:color w:val="000000"/>
                <w:sz w:val="20"/>
              </w:rPr>
              <w:t>Retainer RSU Awards</w:t>
            </w:r>
            <w:r>
              <w:rPr>
                <w:color w:val="000000"/>
              </w:rPr>
              <w:t>”</w:t>
            </w:r>
            <w:r>
              <w:rPr>
                <w:rFonts w:ascii="Times New Roman;sans-serif" w:hAnsi="Times New Roman;sans-serif"/>
                <w:b w:val="false"/>
                <w:color w:val="000000"/>
                <w:sz w:val="20"/>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sans-serif" w:hAnsi="Times New Roman;sans-serif"/>
                <w:b/>
                <w:i/>
                <w:color w:val="000000"/>
                <w:sz w:val="20"/>
              </w:rPr>
              <w:t>Retainer RSU Election</w:t>
            </w:r>
            <w:r>
              <w:rPr>
                <w:color w:val="000000"/>
              </w:rPr>
              <w:t>”</w:t>
            </w:r>
            <w:r>
              <w:rPr>
                <w:rFonts w:ascii="Times New Roman;sans-serif" w:hAnsi="Times New Roman;sans-serif"/>
                <w:b w:val="false"/>
                <w:color w:val="000000"/>
                <w:sz w:val="20"/>
              </w:rPr>
              <w:t xml:space="preserve">). </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Retainer RSU Award automatically will be granted on the fifth day of the month immediately following the end of the quarter for which the corresponding portion of the annual retainer was earned. Each Retainer RSU Award will be fully vested on the grant date.</w:t>
            </w:r>
          </w:p>
        </w:tc>
      </w:tr>
      <w:tr>
        <w:trPr/>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Election Method:</w:t>
            </w:r>
          </w:p>
        </w:tc>
        <w:tc>
          <w:tcPr>
            <w:tcW w:w="9297"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firstLine="14"/>
              <w:jc w:val="both"/>
              <w:rPr/>
            </w:pPr>
            <w:r>
              <w:rPr>
                <w:rFonts w:ascii="Times New Roman;sans-serif" w:hAnsi="Times New Roman;sans-serif"/>
                <w:b w:val="false"/>
                <w:color w:val="000000"/>
                <w:sz w:val="20"/>
              </w:rPr>
              <w:t>Each Retainer RSU Election must be submitted to the Company in the form and manner specified by the Board or its Compensation Committee (the “</w:t>
            </w:r>
            <w:r>
              <w:rPr>
                <w:rFonts w:ascii="Times New Roman;sans-serif" w:hAnsi="Times New Roman;sans-serif"/>
                <w:b/>
                <w:i/>
                <w:color w:val="000000"/>
                <w:sz w:val="20"/>
              </w:rPr>
              <w:t>Compensation Committee</w:t>
            </w:r>
            <w:r>
              <w:rPr>
                <w:color w:val="000000"/>
              </w:rPr>
              <w:t>”</w:t>
            </w:r>
            <w:r>
              <w:rPr>
                <w:rFonts w:ascii="Times New Roman;sans-serif" w:hAnsi="Times New Roman;sans-serif"/>
                <w:b w:val="false"/>
                <w:color w:val="000000"/>
                <w:sz w:val="20"/>
              </w:rPr>
              <w:t>). An individual who fails to make a timely Retainer RSU Election shall not receive a Retainer RSU Award and instead shall receive the applicable annual retainer in cash. Retainer RSU Elections must comply with the following timing requirements:</w:t>
            </w:r>
          </w:p>
          <w:p>
            <w:pPr>
              <w:pStyle w:val="TableContents"/>
              <w:spacing w:lineRule="auto" w:line="240" w:before="121" w:after="283"/>
              <w:ind w:left="0" w:right="0" w:hanging="492"/>
              <w:jc w:val="both"/>
              <w:rPr/>
            </w:pPr>
            <w:r>
              <w:rPr>
                <w:color w:val="000000"/>
              </w:rPr>
              <w:t>    </w:t>
            </w:r>
            <w:r>
              <w:rPr>
                <w:rFonts w:ascii="Times New Roman;sans-serif" w:hAnsi="Times New Roman;sans-serif"/>
                <w:b w:val="false"/>
                <w:color w:val="000000"/>
                <w:sz w:val="20"/>
                <w:u w:val="single"/>
              </w:rPr>
              <w:t>Initial Election</w:t>
            </w:r>
            <w:r>
              <w:rPr>
                <w:rFonts w:ascii="Times New Roman;sans-serif" w:hAnsi="Times New Roman;sans-serif"/>
                <w:b w:val="false"/>
                <w:color w:val="000000"/>
                <w:sz w:val="20"/>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sans-serif" w:hAnsi="Times New Roman;sans-serif"/>
                <w:b/>
                <w:i/>
                <w:color w:val="000000"/>
                <w:sz w:val="20"/>
              </w:rPr>
              <w:t>Initial Retainer RSU Election</w:t>
            </w:r>
            <w:r>
              <w:rPr>
                <w:color w:val="000000"/>
              </w:rPr>
              <w:t>”</w:t>
            </w:r>
            <w:r>
              <w:rPr>
                <w:rFonts w:ascii="Times New Roman;sans-serif" w:hAnsi="Times New Roman;sans-serif"/>
                <w:b w:val="false"/>
                <w:color w:val="000000"/>
                <w:sz w:val="20"/>
              </w:rPr>
              <w:t>). The Initial Retainer RSU Election must be submitted to the Company on or before the date that the individual first becomes a Non-Employee Director or, if later, within thirty (30) days following the date this Program is adopted (the “</w:t>
            </w:r>
            <w:r>
              <w:rPr>
                <w:rFonts w:ascii="Times New Roman;sans-serif" w:hAnsi="Times New Roman;sans-serif"/>
                <w:b/>
                <w:i/>
                <w:color w:val="000000"/>
                <w:sz w:val="20"/>
              </w:rPr>
              <w:t>Initial Election Deadline</w:t>
            </w:r>
            <w:r>
              <w:rPr>
                <w:color w:val="000000"/>
              </w:rPr>
              <w:t>”</w:t>
            </w:r>
            <w:r>
              <w:rPr>
                <w:rFonts w:ascii="Times New Roman;sans-serif" w:hAnsi="Times New Roman;sans-serif"/>
                <w:b w:val="false"/>
                <w:color w:val="000000"/>
                <w:sz w:val="20"/>
              </w:rPr>
              <w:t>), and the Initial Retainer RSU Election shall become final and irrevocable as of the Initial Election Deadline.</w:t>
            </w:r>
          </w:p>
          <w:p>
            <w:pPr>
              <w:pStyle w:val="TableContents"/>
              <w:spacing w:lineRule="auto" w:line="240" w:before="138" w:after="283"/>
              <w:ind w:left="0" w:right="0" w:hanging="493"/>
              <w:jc w:val="both"/>
              <w:rPr/>
            </w:pPr>
            <w:r>
              <w:rPr>
                <w:color w:val="000000"/>
              </w:rPr>
              <w:t>    </w:t>
            </w:r>
            <w:r>
              <w:rPr>
                <w:rFonts w:ascii="Times New Roman;sans-serif" w:hAnsi="Times New Roman;sans-serif"/>
                <w:b w:val="false"/>
                <w:color w:val="000000"/>
                <w:sz w:val="20"/>
                <w:u w:val="single"/>
              </w:rPr>
              <w:t>Annual Election</w:t>
            </w:r>
            <w:r>
              <w:rPr>
                <w:rFonts w:ascii="Times New Roman;sans-serif" w:hAnsi="Times New Roman;sans-serif"/>
                <w:b w:val="false"/>
                <w:color w:val="000000"/>
                <w:sz w:val="20"/>
              </w:rPr>
              <w:t>. No later than December 31 of each calendar year, or such earlier deadline as may be established by the Board or the Compensation Committee, in its discretion (the “</w:t>
            </w:r>
            <w:r>
              <w:rPr>
                <w:rFonts w:ascii="Times New Roman;sans-serif" w:hAnsi="Times New Roman;sans-serif"/>
                <w:b/>
                <w:i/>
                <w:color w:val="000000"/>
                <w:sz w:val="20"/>
              </w:rPr>
              <w:t>Annual Election Deadline</w:t>
            </w:r>
            <w:r>
              <w:rPr>
                <w:color w:val="000000"/>
              </w:rPr>
              <w:t>”</w:t>
            </w:r>
            <w:r>
              <w:rPr>
                <w:rFonts w:ascii="Times New Roman;sans-serif" w:hAnsi="Times New Roman;sans-serif"/>
                <w:b w:val="false"/>
                <w:color w:val="000000"/>
                <w:sz w:val="20"/>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sans-serif" w:hAnsi="Times New Roman;sans-serif"/>
                <w:b/>
                <w:i/>
                <w:color w:val="000000"/>
                <w:sz w:val="20"/>
              </w:rPr>
              <w:t>Annual Retainer RSU Election</w:t>
            </w:r>
            <w:r>
              <w:rPr>
                <w:color w:val="000000"/>
              </w:rPr>
              <w:t>”</w:t>
            </w:r>
            <w:r>
              <w:rPr>
                <w:rFonts w:ascii="Times New Roman;sans-serif" w:hAnsi="Times New Roman;sans-serif"/>
                <w:b w:val="false"/>
                <w:color w:val="000000"/>
                <w:sz w:val="20"/>
              </w:rPr>
              <w:t xml:space="preserve">). The Annual Retainer RSU Election must be submitted to the Company on or before the applicable Annual Election Deadline and shall become effective and irrevocable as of the Annual Election Deadline. </w:t>
            </w:r>
          </w:p>
        </w:tc>
      </w:tr>
    </w:tbl>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Equity Compensation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467360"/>
                <wp:effectExtent l="0" t="0" r="0" b="0"/>
                <wp:wrapNone/>
                <wp:docPr id="166" name="Frame160"/>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45"/>
        <w:gridCol w:w="243"/>
        <w:gridCol w:w="246"/>
        <w:gridCol w:w="2761"/>
        <w:gridCol w:w="2734"/>
        <w:gridCol w:w="3876"/>
      </w:tblGrid>
      <w:tr>
        <w:trPr/>
        <w:tc>
          <w:tcPr>
            <w:tcW w:w="34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734" w:type="dxa"/>
            <w:tcBorders/>
            <w:shd w:fill="auto" w:val="clear"/>
            <w:vAlign w:val="center"/>
          </w:tcPr>
          <w:p>
            <w:pPr>
              <w:pStyle w:val="TableContents"/>
              <w:spacing w:before="0" w:after="283"/>
              <w:rPr>
                <w:sz w:val="4"/>
                <w:szCs w:val="4"/>
              </w:rPr>
            </w:pPr>
            <w:r>
              <w:rPr>
                <w:sz w:val="4"/>
                <w:szCs w:val="4"/>
              </w:rPr>
            </w:r>
          </w:p>
        </w:tc>
        <w:tc>
          <w:tcPr>
            <w:tcW w:w="3876" w:type="dxa"/>
            <w:tcBorders/>
            <w:shd w:fill="auto" w:val="clear"/>
            <w:vAlign w:val="center"/>
          </w:tcPr>
          <w:p>
            <w:pPr>
              <w:pStyle w:val="TableContents"/>
              <w:spacing w:before="0" w:after="283"/>
              <w:rPr>
                <w:sz w:val="4"/>
                <w:szCs w:val="4"/>
              </w:rPr>
            </w:pPr>
            <w:r>
              <w:rPr>
                <w:sz w:val="4"/>
                <w:szCs w:val="4"/>
              </w:rPr>
            </w:r>
          </w:p>
        </w:tc>
      </w:tr>
      <w:tr>
        <w:trPr/>
        <w:tc>
          <w:tcPr>
            <w:tcW w:w="8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Initial RSU Award:</w:t>
            </w:r>
          </w:p>
        </w:tc>
        <w:tc>
          <w:tcPr>
            <w:tcW w:w="937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Each Non-Employee Director who is initially elected or appointed to serve on the Board after the Effective Date shall be granted an award of RSUs under the Plan or any other applicable Company equity incentive plan then-maintained by the Company to purchase that number of shares of Common Stock calculated by dividing (i) $300,000 by (ii) the average per share closing trading price of the Common Stock over the most recent 30 trading days as of the grant date (the “</w:t>
            </w:r>
            <w:r>
              <w:rPr>
                <w:rFonts w:ascii="Times New Roman;sans-serif" w:hAnsi="Times New Roman;sans-serif"/>
                <w:b/>
                <w:i/>
                <w:color w:val="000000"/>
                <w:sz w:val="20"/>
              </w:rPr>
              <w:t>Initial Long-Term RSU Award</w:t>
            </w:r>
            <w:r>
              <w:rPr>
                <w:color w:val="000000"/>
              </w:rPr>
              <w:t>”</w:t>
            </w:r>
            <w:r>
              <w:rPr>
                <w:rFonts w:ascii="Times New Roman;sans-serif" w:hAnsi="Times New Roman;sans-serif"/>
                <w:b w:val="false"/>
                <w:color w:val="000000"/>
                <w:sz w:val="20"/>
              </w:rPr>
              <w:t>).</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Long-Term RSU Award will be automatically granted on the date on which such Non-Employee Director commences service on the Board, and will vest as 1/12th of the shares subject thereto on each quarterly anniversary of the applicable date of grant such that the shares subject to the Initial Long-Term RSU Grant are fully vested on the third anniversary of the date of grant, subject to the Non-Employee Director continuing in service on the Board through each such vesting date.</w:t>
            </w:r>
          </w:p>
          <w:p>
            <w:pPr>
              <w:pStyle w:val="TableContents"/>
              <w:spacing w:before="0" w:after="0"/>
              <w:jc w:val="both"/>
              <w:rPr/>
            </w:pPr>
            <w:r>
              <w:rPr/>
            </w:r>
          </w:p>
          <w:p>
            <w:pPr>
              <w:pStyle w:val="TableContents"/>
              <w:spacing w:lineRule="auto" w:line="240" w:before="0" w:after="0"/>
              <w:jc w:val="both"/>
              <w:rPr/>
            </w:pPr>
            <w:r>
              <w:rPr>
                <w:rFonts w:ascii="Times New Roman;sans-serif" w:hAnsi="Times New Roman;sans-serif"/>
                <w:b w:val="false"/>
                <w:color w:val="000000"/>
                <w:sz w:val="20"/>
              </w:rPr>
              <w:t>Each Non-Employee Director who is initially elected or appointed to serve on the Board on or after the Effective Date shall be granted an award of RSUs under the Plan or any other applicable Company equity incentive plan then-maintained by the Company to purchase that number of shares of Common Stock calculated by dividing (i) the product of $175,000 multiplied times a fraction, the numerator of which is the number of full months between the date the Non-Employee Director is appointed to serve on the Board and the next scheduled annual meeting of the Company’s stockholders (an “</w:t>
            </w:r>
            <w:r>
              <w:rPr>
                <w:rFonts w:ascii="Times New Roman;sans-serif" w:hAnsi="Times New Roman;sans-serif"/>
                <w:b/>
                <w:i/>
                <w:color w:val="000000"/>
                <w:sz w:val="20"/>
              </w:rPr>
              <w:t>Annual Meeting</w:t>
            </w:r>
            <w:r>
              <w:rPr>
                <w:color w:val="000000"/>
              </w:rPr>
              <w:t>”</w:t>
            </w:r>
            <w:r>
              <w:rPr>
                <w:rFonts w:ascii="Times New Roman;sans-serif" w:hAnsi="Times New Roman;sans-serif"/>
                <w:b w:val="false"/>
                <w:color w:val="000000"/>
                <w:sz w:val="20"/>
              </w:rPr>
              <w:t>) and the denominator of which is 12, by (ii) the average per share closing trading price of the Common Stock over the most recent 30 trading days as of the grant date (the “</w:t>
            </w:r>
            <w:r>
              <w:rPr>
                <w:rFonts w:ascii="Times New Roman;sans-serif" w:hAnsi="Times New Roman;sans-serif"/>
                <w:b/>
                <w:i/>
                <w:color w:val="000000"/>
                <w:sz w:val="20"/>
              </w:rPr>
              <w:t>Initial Short-Term RSU Award</w:t>
            </w:r>
            <w:r>
              <w:rPr>
                <w:color w:val="000000"/>
              </w:rPr>
              <w:t xml:space="preserve">” </w:t>
            </w:r>
            <w:r>
              <w:rPr>
                <w:rFonts w:ascii="Times New Roman;sans-serif" w:hAnsi="Times New Roman;sans-serif"/>
                <w:b w:val="false"/>
                <w:color w:val="000000"/>
                <w:sz w:val="20"/>
              </w:rPr>
              <w:t>and, together with the Initial Long-Term RSU Award, the “</w:t>
            </w:r>
            <w:r>
              <w:rPr>
                <w:rFonts w:ascii="Times New Roman;sans-serif" w:hAnsi="Times New Roman;sans-serif"/>
                <w:b/>
                <w:i/>
                <w:color w:val="000000"/>
                <w:sz w:val="20"/>
              </w:rPr>
              <w:t>Initial RSU Awards</w:t>
            </w:r>
            <w:r>
              <w:rPr>
                <w:color w:val="000000"/>
              </w:rPr>
              <w:t>”</w:t>
            </w:r>
            <w:r>
              <w:rPr>
                <w:rFonts w:ascii="Times New Roman;sans-serif" w:hAnsi="Times New Roman;sans-serif"/>
                <w:b w:val="false"/>
                <w:color w:val="000000"/>
                <w:sz w:val="20"/>
              </w:rPr>
              <w:t>).</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Short-Term RSU Award will vest in substantially equal quarterly installments through, and with the last installment vesting on, the date of the Annual Meeting, subject to the Non-Employee Director continuing in service on the Board through the date of the applicable Annual Meeting.</w:t>
            </w:r>
          </w:p>
        </w:tc>
      </w:tr>
      <w:tr>
        <w:trPr/>
        <w:tc>
          <w:tcPr>
            <w:tcW w:w="8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RSU Award:</w:t>
            </w:r>
          </w:p>
        </w:tc>
        <w:tc>
          <w:tcPr>
            <w:tcW w:w="937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Each Non-Employee Director who is serving on the Board as of the date of an Annual Meeting and (ii) will continue to serve as a Non-Employee Director immediately following such Annual Meeting, shall be granted an award of RSUs under the Plan or any other applicable Company equity incentive plan then-maintained by the Company covering a number of shares of Common Stock calculated by dividing (i) $175,000 by (ii) the average per share closing trading price of the Common Stock over the most recent 30 trading days as of the grant date (the “</w:t>
            </w:r>
            <w:r>
              <w:rPr>
                <w:rFonts w:ascii="Times New Roman;sans-serif" w:hAnsi="Times New Roman;sans-serif"/>
                <w:b/>
                <w:i/>
                <w:color w:val="000000"/>
                <w:sz w:val="20"/>
              </w:rPr>
              <w:t>Annual RSU Award</w:t>
            </w:r>
            <w:r>
              <w:rPr>
                <w:color w:val="000000"/>
              </w:rPr>
              <w:t>”</w:t>
            </w:r>
            <w:r>
              <w:rPr>
                <w:rFonts w:ascii="Times New Roman;sans-serif" w:hAnsi="Times New Roman;sans-serif"/>
                <w:b w:val="false"/>
                <w:color w:val="000000"/>
                <w:sz w:val="20"/>
              </w:rPr>
              <w:t xml:space="preserve">). </w:t>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RSU Award will be automatically granted on the date of the applicable Annual Meeting, and will vest as to 1/4th of the shares subject thereto on each quarterly anniversary of the applicable date of grant such that the shares subject to the Annual RSU Grant are fully vested on the first anniversary of the date of grant, subject to the Non-Employee Director continuing in service on the Board through such vesting date. Notwithstanding the foregoing, in the event the next Annual Meeting occurs prior to the first anniversary of the date of grant, the Annual RSU Grant shall fully vest on the date of such Annual Meeting, subject to the Non-Employee Director continuing in service on the Board through the date of such Annual Meeting.</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determined by the Board, members of the Board who are Employees who subsequently terminate their employment with the Company and any Subsidiary and remain a member of the Board will not receive the Initial RSU Awards, but to the extent that they are otherwise eligible, will be eligible to receive, after termination from employment with the Company and any Subsidiary, Annual RSU Awards as described above.</w:t>
      </w:r>
    </w:p>
    <w:p>
      <w:pPr>
        <w:pStyle w:val="TextBody"/>
        <w:spacing w:before="0" w:after="0"/>
        <w:jc w:val="both"/>
        <w:rPr/>
      </w:pPr>
      <w:r>
        <w:rPr/>
      </w:r>
    </w:p>
    <w:p>
      <w:pPr>
        <w:pStyle w:val="TextBody"/>
        <w:spacing w:lineRule="auto" w:line="288"/>
        <w:jc w:val="both"/>
        <w:rPr>
          <w:rFonts w:ascii="Times New Roman;sans-serif" w:hAnsi="Times New Roman;sans-serif"/>
          <w:b/>
          <w:i/>
          <w:color w:val="000000"/>
          <w:sz w:val="20"/>
        </w:rPr>
      </w:pPr>
      <w:r>
        <w:rPr>
          <w:rFonts w:ascii="Times New Roman;sans-serif" w:hAnsi="Times New Roman;sans-serif"/>
          <w:b/>
          <w:i/>
          <w:color w:val="000000"/>
          <w:sz w:val="20"/>
        </w:rPr>
        <w:t>Election to Defer Issuances</w:t>
      </w:r>
      <w:r>
        <w:br w:type="page"/>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467360"/>
                <wp:effectExtent l="0" t="0" r="0" b="0"/>
                <wp:wrapNone/>
                <wp:docPr id="167" name="Frame161"/>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v:rect>
            </w:pict>
          </mc:Fallback>
        </mc:AlternateConten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17"/>
        <w:gridCol w:w="279"/>
        <w:gridCol w:w="281"/>
        <w:gridCol w:w="2727"/>
        <w:gridCol w:w="2727"/>
        <w:gridCol w:w="3874"/>
      </w:tblGrid>
      <w:tr>
        <w:trPr/>
        <w:tc>
          <w:tcPr>
            <w:tcW w:w="31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727" w:type="dxa"/>
            <w:tcBorders/>
            <w:shd w:fill="auto" w:val="clear"/>
            <w:vAlign w:val="center"/>
          </w:tcPr>
          <w:p>
            <w:pPr>
              <w:pStyle w:val="TableContents"/>
              <w:spacing w:before="0" w:after="283"/>
              <w:rPr>
                <w:sz w:val="4"/>
                <w:szCs w:val="4"/>
              </w:rPr>
            </w:pPr>
            <w:r>
              <w:rPr>
                <w:sz w:val="4"/>
                <w:szCs w:val="4"/>
              </w:rPr>
            </w:r>
          </w:p>
        </w:tc>
        <w:tc>
          <w:tcPr>
            <w:tcW w:w="2727" w:type="dxa"/>
            <w:tcBorders/>
            <w:shd w:fill="auto" w:val="clear"/>
            <w:vAlign w:val="center"/>
          </w:tcPr>
          <w:p>
            <w:pPr>
              <w:pStyle w:val="TableContents"/>
              <w:spacing w:before="0" w:after="283"/>
              <w:rPr>
                <w:sz w:val="4"/>
                <w:szCs w:val="4"/>
              </w:rPr>
            </w:pPr>
            <w:r>
              <w:rPr>
                <w:sz w:val="4"/>
                <w:szCs w:val="4"/>
              </w:rPr>
            </w:r>
          </w:p>
        </w:tc>
        <w:tc>
          <w:tcPr>
            <w:tcW w:w="3874" w:type="dxa"/>
            <w:tcBorders/>
            <w:shd w:fill="auto" w:val="clear"/>
            <w:vAlign w:val="center"/>
          </w:tcPr>
          <w:p>
            <w:pPr>
              <w:pStyle w:val="TableContents"/>
              <w:spacing w:before="0" w:after="283"/>
              <w:rPr>
                <w:sz w:val="4"/>
                <w:szCs w:val="4"/>
              </w:rPr>
            </w:pPr>
            <w:r>
              <w:rPr>
                <w:sz w:val="4"/>
                <w:szCs w:val="4"/>
              </w:rPr>
            </w:r>
          </w:p>
        </w:tc>
      </w:tr>
      <w:tr>
        <w:trPr/>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w:t>
            </w:r>
          </w:p>
        </w:tc>
        <w:tc>
          <w:tcPr>
            <w:tcW w:w="9328"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firstLine="14"/>
              <w:jc w:val="both"/>
              <w:rPr/>
            </w:pPr>
            <w:r>
              <w:rPr>
                <w:rFonts w:ascii="Times New Roman;sans-serif" w:hAnsi="Times New Roman;sans-serif"/>
                <w:b w:val="false"/>
                <w:color w:val="000000"/>
                <w:sz w:val="20"/>
              </w:rPr>
              <w:t>Each Non-Employee Director shall have the opportunity to defer the issuance of the shares underlying RSUs granted under this Program, including Retainer RSU Awards, Initial RSU Awards and Annual RSU Awards, that would otherwise be issued to the Non-Employee Director in connection with the vesting or grant of the RSUs until the earliest of a fixed date properly elected by the Non-Employee Director, the Non-Employee Director’s Termination of Service or a Change in Control. Any such deferral election (“</w:t>
            </w:r>
            <w:r>
              <w:rPr>
                <w:rFonts w:ascii="Times New Roman;sans-serif" w:hAnsi="Times New Roman;sans-serif"/>
                <w:b/>
                <w:i/>
                <w:color w:val="000000"/>
                <w:sz w:val="20"/>
              </w:rPr>
              <w:t>Deferral Election</w:t>
            </w:r>
            <w:r>
              <w:rPr>
                <w:color w:val="000000"/>
              </w:rPr>
              <w:t>”</w:t>
            </w:r>
            <w:r>
              <w:rPr>
                <w:rFonts w:ascii="Times New Roman;sans-serif" w:hAnsi="Times New Roman;sans-serif"/>
                <w:b w:val="false"/>
                <w:color w:val="000000"/>
                <w:sz w:val="20"/>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tc>
      </w:tr>
      <w:tr>
        <w:trPr/>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Election Method:</w:t>
            </w:r>
          </w:p>
        </w:tc>
        <w:tc>
          <w:tcPr>
            <w:tcW w:w="9328"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firstLine="14"/>
              <w:jc w:val="both"/>
              <w:rPr>
                <w:rFonts w:ascii="Times New Roman;sans-serif" w:hAnsi="Times New Roman;sans-serif"/>
                <w:b w:val="false"/>
                <w:color w:val="000000"/>
                <w:sz w:val="20"/>
              </w:rPr>
            </w:pPr>
            <w:r>
              <w:rPr>
                <w:rFonts w:ascii="Times New Roman;sans-serif" w:hAnsi="Times New Roman;sans-serif"/>
                <w:b w:val="false"/>
                <w:color w:val="000000"/>
                <w:sz w:val="20"/>
              </w:rPr>
              <w:t>Each Deferral Election must be submitted to the Company in the form and manner specified by the Board or its Compensation Committee. Deferral Elections must comply with the following timing requirements:</w:t>
            </w:r>
          </w:p>
          <w:p>
            <w:pPr>
              <w:pStyle w:val="TableContents"/>
              <w:spacing w:lineRule="auto" w:line="240" w:before="121" w:after="283"/>
              <w:ind w:left="0" w:right="0" w:hanging="492"/>
              <w:jc w:val="both"/>
              <w:rPr/>
            </w:pPr>
            <w:r>
              <w:rPr>
                <w:color w:val="000000"/>
              </w:rPr>
              <w:t>    </w:t>
            </w:r>
            <w:r>
              <w:rPr>
                <w:rFonts w:ascii="Times New Roman;sans-serif" w:hAnsi="Times New Roman;sans-serif"/>
                <w:b w:val="false"/>
                <w:color w:val="000000"/>
                <w:sz w:val="20"/>
                <w:u w:val="single"/>
              </w:rPr>
              <w:t>Initial Deferral Election</w:t>
            </w:r>
            <w:r>
              <w:rPr>
                <w:rFonts w:ascii="Times New Roman;sans-serif" w:hAnsi="Times New Roman;sans-serif"/>
                <w:b w:val="false"/>
                <w:color w:val="000000"/>
                <w:sz w:val="20"/>
              </w:rPr>
              <w:t>. Each individual who first becomes a Non-Employee Director may make a Deferral Election with respect to the Non-Employee Director’s Initial RSU Awards and Retainer RSU Awards to be paid in the same calendar year as such individual first becomes a Non-Employee Director (the “</w:t>
            </w:r>
            <w:r>
              <w:rPr>
                <w:rFonts w:ascii="Times New Roman;sans-serif" w:hAnsi="Times New Roman;sans-serif"/>
                <w:b/>
                <w:i/>
                <w:color w:val="000000"/>
                <w:sz w:val="20"/>
              </w:rPr>
              <w:t>Initial Deferral Election</w:t>
            </w:r>
            <w:r>
              <w:rPr>
                <w:color w:val="000000"/>
              </w:rPr>
              <w:t>”</w:t>
            </w:r>
            <w:r>
              <w:rPr>
                <w:rFonts w:ascii="Times New Roman;sans-serif" w:hAnsi="Times New Roman;sans-serif"/>
                <w:b w:val="false"/>
                <w:color w:val="000000"/>
                <w:sz w:val="20"/>
              </w:rPr>
              <w:t>). The Initial Deferral Election must be submitted to the Company on or before Initial Election Deadline, and the Initial Deferral Election shall become final and irrevocable as of the Initial Election Deadline.</w:t>
            </w:r>
          </w:p>
          <w:p>
            <w:pPr>
              <w:pStyle w:val="TableContents"/>
              <w:spacing w:lineRule="auto" w:line="240" w:before="138" w:after="283"/>
              <w:ind w:left="0" w:right="0" w:hanging="493"/>
              <w:jc w:val="both"/>
              <w:rPr/>
            </w:pPr>
            <w:r>
              <w:rPr>
                <w:color w:val="000000"/>
              </w:rPr>
              <w:t>    </w:t>
            </w:r>
            <w:r>
              <w:rPr>
                <w:rFonts w:ascii="Times New Roman;sans-serif" w:hAnsi="Times New Roman;sans-serif"/>
                <w:b w:val="false"/>
                <w:color w:val="000000"/>
                <w:sz w:val="20"/>
                <w:u w:val="single"/>
              </w:rPr>
              <w:t>Annual Deferral Election</w:t>
            </w:r>
            <w:r>
              <w:rPr>
                <w:rFonts w:ascii="Times New Roman;sans-serif" w:hAnsi="Times New Roman;sans-serif"/>
                <w:b w:val="false"/>
                <w:color w:val="000000"/>
                <w:sz w:val="20"/>
              </w:rPr>
              <w:t>. No later than the Annual Election Deadline, each individual who is a Non-Employee Director as of immediately before the Annual Election Deadline may make a Deferral Election with respect to the Annual RSU Award and Retainer RSU Awards to be granted in the following calendar year (the “</w:t>
            </w:r>
            <w:r>
              <w:rPr>
                <w:rFonts w:ascii="Times New Roman;sans-serif" w:hAnsi="Times New Roman;sans-serif"/>
                <w:b/>
                <w:i/>
                <w:color w:val="000000"/>
                <w:sz w:val="20"/>
              </w:rPr>
              <w:t>Annual Deferral Election</w:t>
            </w:r>
            <w:r>
              <w:rPr>
                <w:color w:val="000000"/>
              </w:rPr>
              <w:t>”</w:t>
            </w:r>
            <w:r>
              <w:rPr>
                <w:rFonts w:ascii="Times New Roman;sans-serif" w:hAnsi="Times New Roman;sans-serif"/>
                <w:b w:val="false"/>
                <w:color w:val="000000"/>
                <w:sz w:val="20"/>
              </w:rPr>
              <w:t xml:space="preserve">). The Annual Deferral Election must be submitted to the Company on or before the applicable Annual Election Deadline and shall become effective and irrevocable for the subsequent calendar year as of the Annual Election Deadline. </w:t>
            </w:r>
          </w:p>
        </w:tc>
      </w:tr>
    </w:tbl>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Reimbursements</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467360"/>
                <wp:effectExtent l="0" t="0" r="0" b="0"/>
                <wp:wrapNone/>
                <wp:docPr id="168" name="Frame162"/>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v:rect>
            </w:pict>
          </mc:Fallback>
        </mc:AlternateConten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Miscellaneous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w:t>
      </w:r>
    </w:p>
    <w:p>
      <w:pPr>
        <w:pStyle w:val="TextBody"/>
        <w:spacing w:before="0" w:after="0"/>
        <w:jc w:val="both"/>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 * *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10.9(a)+</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467360"/>
                <wp:effectExtent l="0" t="0" r="0" b="0"/>
                <wp:wrapNone/>
                <wp:docPr id="169" name="Frame163"/>
                <a:graphic xmlns:a="http://schemas.openxmlformats.org/drawingml/2006/main">
                  <a:graphicData uri="http://schemas.microsoft.com/office/word/2010/wordprocessingShape">
                    <wps:wsp>
                      <wps:cNvSpPr txBox="1"/>
                      <wps:spPr>
                        <a:xfrm>
                          <a:off x="0" y="0"/>
                          <a:ext cx="6480175" cy="467360"/>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SENSE PHOTONICS, INC.</w:t>
      </w:r>
    </w:p>
    <w:p>
      <w:pPr>
        <w:pStyle w:val="TextBody"/>
        <w:spacing w:lineRule="auto" w:line="288" w:before="0" w:after="480"/>
        <w:jc w:val="center"/>
        <w:rPr>
          <w:rFonts w:ascii="Times New Roman;sans-serif" w:hAnsi="Times New Roman;sans-serif"/>
          <w:b/>
          <w:color w:val="000000"/>
          <w:sz w:val="20"/>
        </w:rPr>
      </w:pPr>
      <w:r>
        <w:rPr>
          <w:rFonts w:ascii="Times New Roman;sans-serif" w:hAnsi="Times New Roman;sans-serif"/>
          <w:b/>
          <w:color w:val="000000"/>
          <w:sz w:val="20"/>
        </w:rPr>
        <w:t>2017 EQUITY INCENTIVE PLAN</w:t>
        <w:br/>
        <w:br/>
        <w:t>OPTION AGREEMENT</w:t>
        <w:br/>
        <w:t>(INCENTIVE STOCK OPTION OR NONSTATUTORY STOCK OPTION)</w:t>
      </w:r>
    </w:p>
    <w:p>
      <w:pPr>
        <w:pStyle w:val="TextBody"/>
        <w:spacing w:lineRule="auto" w:line="288" w:before="0" w:after="240"/>
        <w:ind w:left="0" w:right="0" w:firstLine="720"/>
        <w:jc w:val="both"/>
        <w:rPr/>
      </w:pPr>
      <w:r>
        <w:rPr>
          <w:rFonts w:ascii="Times New Roman;sans-serif" w:hAnsi="Times New Roman;sans-serif"/>
          <w:b w:val="false"/>
          <w:color w:val="000000"/>
          <w:sz w:val="20"/>
        </w:rPr>
        <w:t>Pursuant to your Stock Option Grant Notice (“</w:t>
      </w:r>
      <w:r>
        <w:rPr>
          <w:rFonts w:ascii="Times New Roman;sans-serif" w:hAnsi="Times New Roman;sans-serif"/>
          <w:b/>
          <w:i/>
          <w:color w:val="000000"/>
          <w:sz w:val="20"/>
        </w:rPr>
        <w:t>Grant Notice</w:t>
      </w:r>
      <w:r>
        <w:rPr>
          <w:color w:val="000000"/>
        </w:rPr>
        <w:t>”</w:t>
      </w:r>
      <w:r>
        <w:rPr>
          <w:rFonts w:ascii="Times New Roman;sans-serif" w:hAnsi="Times New Roman;sans-serif"/>
          <w:b w:val="false"/>
          <w:color w:val="000000"/>
          <w:sz w:val="20"/>
        </w:rPr>
        <w:t xml:space="preserve">) and this Option Agreement, </w:t>
      </w:r>
      <w:r>
        <w:rPr>
          <w:rFonts w:ascii="Times New Roman;sans-serif" w:hAnsi="Times New Roman;sans-serif"/>
          <w:b/>
          <w:color w:val="000000"/>
          <w:sz w:val="20"/>
        </w:rPr>
        <w:t>Sense Photonics, Inc.</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granted you an option under its 2017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sans-serif" w:hAnsi="Times New Roman;sans-serif"/>
          <w:b/>
          <w:i/>
          <w:color w:val="000000"/>
          <w:sz w:val="20"/>
        </w:rPr>
        <w:t>Date of Grant</w:t>
      </w:r>
      <w:r>
        <w:rPr>
          <w:color w:val="000000"/>
        </w:rPr>
        <w:t>”</w:t>
      </w:r>
      <w:r>
        <w:rPr>
          <w:rFonts w:ascii="Times New Roman;sans-serif" w:hAnsi="Times New Roman;sans-serif"/>
          <w:b w:val="false"/>
          <w:color w:val="000000"/>
          <w:sz w:val="20"/>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your option, in addition to those set forth in the Grant Notice and the Plan, are as follows:</w:t>
      </w:r>
    </w:p>
    <w:p>
      <w:pPr>
        <w:pStyle w:val="TextBody"/>
        <w:spacing w:lineRule="auto" w:line="288" w:before="0" w:after="240"/>
        <w:ind w:left="0" w:right="0" w:firstLine="720"/>
        <w:jc w:val="both"/>
        <w:rPr/>
      </w:pPr>
      <w:r>
        <w:rPr>
          <w:rFonts w:ascii="Times New Roman;sans-serif" w:hAnsi="Times New Roman;sans-serif"/>
          <w:b/>
          <w:color w:val="000000"/>
          <w:sz w:val="20"/>
        </w:rPr>
        <w:t>1.    Vesting</w:t>
      </w:r>
      <w:r>
        <w:rPr>
          <w:rFonts w:ascii="Times New Roman;sans-serif" w:hAnsi="Times New Roman;sans-serif"/>
          <w:b w:val="false"/>
          <w:color w:val="000000"/>
          <w:sz w:val="20"/>
        </w:rPr>
        <w:t>. Your option will vest as provided in your Grant Notice. Vesting will cease upon the termination of your Continuous Service.</w:t>
      </w:r>
    </w:p>
    <w:p>
      <w:pPr>
        <w:pStyle w:val="TextBody"/>
        <w:spacing w:lineRule="auto" w:line="288" w:before="0" w:after="240"/>
        <w:ind w:left="0" w:right="0" w:firstLine="720"/>
        <w:jc w:val="both"/>
        <w:rPr/>
      </w:pPr>
      <w:r>
        <w:rPr>
          <w:rFonts w:ascii="Times New Roman;sans-serif" w:hAnsi="Times New Roman;sans-serif"/>
          <w:b/>
          <w:color w:val="000000"/>
          <w:sz w:val="20"/>
        </w:rPr>
        <w:t>2.    Number of Shares and Exercise Price</w:t>
      </w:r>
      <w:r>
        <w:rPr>
          <w:rFonts w:ascii="Times New Roman;sans-serif" w:hAnsi="Times New Roman;sans-serif"/>
          <w:b w:val="false"/>
          <w:color w:val="000000"/>
          <w:sz w:val="20"/>
        </w:rPr>
        <w:t>. The number of shares of Common Stock subject to your option and your exercise price per share in your Grant Notice will be adjusted for Capitalization Adjustments.</w:t>
      </w:r>
    </w:p>
    <w:p>
      <w:pPr>
        <w:pStyle w:val="TextBody"/>
        <w:spacing w:lineRule="auto" w:line="288" w:before="0" w:after="240"/>
        <w:ind w:left="0" w:right="0" w:firstLine="720"/>
        <w:jc w:val="both"/>
        <w:rPr/>
      </w:pPr>
      <w:r>
        <w:rPr>
          <w:rFonts w:ascii="Times New Roman;sans-serif" w:hAnsi="Times New Roman;sans-serif"/>
          <w:b/>
          <w:color w:val="000000"/>
          <w:sz w:val="20"/>
        </w:rPr>
        <w:t>3.    Exercise Restriction for Non-Exempt Employees</w:t>
      </w:r>
      <w:r>
        <w:rPr>
          <w:rFonts w:ascii="Times New Roman;sans-serif" w:hAnsi="Times New Roman;sans-serif"/>
          <w:b w:val="false"/>
          <w:color w:val="000000"/>
          <w:sz w:val="20"/>
        </w:rPr>
        <w:t>. If you are an Employee eligible for overtime compensation under the Fair Labor Standards Act of 1938, as amended (that is, a “</w:t>
      </w:r>
      <w:r>
        <w:rPr>
          <w:rFonts w:ascii="Times New Roman;sans-serif" w:hAnsi="Times New Roman;sans-serif"/>
          <w:b/>
          <w:i/>
          <w:color w:val="000000"/>
          <w:sz w:val="20"/>
        </w:rPr>
        <w:t>Non-Exempt Employee</w:t>
      </w:r>
      <w:r>
        <w:rPr>
          <w:color w:val="000000"/>
        </w:rPr>
        <w:t>”</w:t>
      </w:r>
      <w:r>
        <w:rPr>
          <w:rFonts w:ascii="Times New Roman;sans-serif" w:hAnsi="Times New Roman;sans-serif"/>
          <w:b w:val="false"/>
          <w:color w:val="000000"/>
          <w:sz w:val="20"/>
        </w:rPr>
        <w:t xml:space="preserve">),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 </w:t>
      </w:r>
    </w:p>
    <w:p>
      <w:pPr>
        <w:pStyle w:val="TextBody"/>
        <w:spacing w:lineRule="auto" w:line="288" w:before="0" w:after="240"/>
        <w:ind w:left="0" w:right="0" w:firstLine="720"/>
        <w:jc w:val="both"/>
        <w:rPr/>
      </w:pPr>
      <w:r>
        <w:rPr>
          <w:rFonts w:ascii="Times New Roman;sans-serif" w:hAnsi="Times New Roman;sans-serif"/>
          <w:b/>
          <w:color w:val="000000"/>
          <w:sz w:val="20"/>
        </w:rPr>
        <w:t>4.    Exercise prior to Vesting (“Early Exercise”)</w:t>
      </w:r>
      <w:r>
        <w:rPr>
          <w:rFonts w:ascii="Times New Roman;sans-serif" w:hAnsi="Times New Roman;sans-serif"/>
          <w:b w:val="false"/>
          <w:color w:val="000000"/>
          <w:sz w:val="20"/>
        </w:rPr>
        <w:t>. If permitted in your Grant Notice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the “Exercise 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w:t>
      </w:r>
    </w:p>
    <w:p>
      <w:pPr>
        <w:pStyle w:val="TextBody"/>
        <w:spacing w:lineRule="auto" w:line="288" w:before="0" w:after="240"/>
        <w:ind w:left="0" w:right="0" w:firstLine="1440"/>
        <w:jc w:val="both"/>
        <w:rPr/>
      </w:pPr>
      <w:r>
        <w:rPr>
          <w:rFonts w:ascii="Times New Roman;sans-serif" w:hAnsi="Times New Roman;sans-serif"/>
          <w:b/>
          <w:color w:val="000000"/>
          <w:sz w:val="20"/>
        </w:rPr>
        <w:t>(a)    </w:t>
      </w:r>
      <w:r>
        <w:rPr>
          <w:rFonts w:ascii="Times New Roman;sans-serif" w:hAnsi="Times New Roman;sans-serif"/>
          <w:b w:val="false"/>
          <w:color w:val="000000"/>
          <w:sz w:val="20"/>
        </w:rPr>
        <w:t>a partial exercise of your option will be deemed to cover first vested shares of Common Stock and then the earliest vesting installment of unvested shares of Common Stock;</w:t>
      </w:r>
    </w:p>
    <w:p>
      <w:pPr>
        <w:pStyle w:val="TextBody"/>
        <w:spacing w:lineRule="auto" w:line="288" w:before="0" w:after="240"/>
        <w:ind w:left="0" w:right="0" w:firstLine="1440"/>
        <w:jc w:val="both"/>
        <w:rPr/>
      </w:pPr>
      <w:r>
        <w:rPr>
          <w:rFonts w:ascii="Times New Roman;sans-serif" w:hAnsi="Times New Roman;sans-serif"/>
          <w:b/>
          <w:color w:val="000000"/>
          <w:sz w:val="20"/>
        </w:rPr>
        <w:t>(b)    </w:t>
      </w:r>
      <w:r>
        <w:rPr>
          <w:rFonts w:ascii="Times New Roman;sans-serif" w:hAnsi="Times New Roman;sans-serif"/>
          <w:b w:val="false"/>
          <w:color w:val="000000"/>
          <w:sz w:val="20"/>
        </w:rPr>
        <w:t>any shares of Common Stock so purchased from installments that have not vested as of the date of exercise will be subject to the purchase option in favor of the Company as described in the Company’s form of Early Exercise Stock Purchase Agreement;</w:t>
      </w:r>
    </w:p>
    <w:p>
      <w:pPr>
        <w:pStyle w:val="TextBody"/>
        <w:spacing w:lineRule="auto" w:line="288" w:before="0" w:after="240"/>
        <w:ind w:left="0" w:right="0" w:firstLine="1440"/>
        <w:jc w:val="both"/>
        <w:rPr/>
      </w:pPr>
      <w:r>
        <w:rPr>
          <w:rFonts w:ascii="Times New Roman;sans-serif" w:hAnsi="Times New Roman;sans-serif"/>
          <w:b/>
          <w:color w:val="000000"/>
          <w:sz w:val="20"/>
        </w:rPr>
        <w:t>(c)    </w:t>
      </w:r>
      <w:r>
        <w:rPr>
          <w:rFonts w:ascii="Times New Roman;sans-serif" w:hAnsi="Times New Roman;sans-serif"/>
          <w:b w:val="false"/>
          <w:color w:val="000000"/>
          <w:sz w:val="20"/>
        </w:rPr>
        <w:t>you will enter into the Company’s form of Early Exercise Stock Purchase Agreement with a vesting schedule that will result in the same vesting as if no early exercise had occurred; and</w:t>
      </w:r>
    </w:p>
    <w:p>
      <w:pPr>
        <w:pStyle w:val="TextBody"/>
        <w:spacing w:lineRule="auto" w:line="288" w:before="0" w:after="240"/>
        <w:ind w:left="0" w:right="0" w:firstLine="1440"/>
        <w:jc w:val="both"/>
        <w:rPr/>
      </w:pPr>
      <w:r>
        <w:rPr>
          <w:rFonts w:ascii="Times New Roman;sans-serif" w:hAnsi="Times New Roman;sans-serif"/>
          <w:b/>
          <w:color w:val="000000"/>
          <w:sz w:val="20"/>
        </w:rPr>
        <w:t>(d)    </w:t>
      </w:r>
      <w:r>
        <w:rPr>
          <w:rFonts w:ascii="Times New Roman;sans-serif" w:hAnsi="Times New Roman;sans-serif"/>
          <w:b w:val="false"/>
          <w:color w:val="000000"/>
          <w:sz w:val="20"/>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35915"/>
                <wp:effectExtent l="0" t="0" r="0" b="0"/>
                <wp:wrapNone/>
                <wp:docPr id="170" name="Frame164"/>
                <a:graphic xmlns:a="http://schemas.openxmlformats.org/drawingml/2006/main">
                  <a:graphicData uri="http://schemas.microsoft.com/office/word/2010/wordprocessingShape">
                    <wps:wsp>
                      <wps:cNvSpPr txBox="1"/>
                      <wps:spPr>
                        <a:xfrm>
                          <a:off x="0" y="0"/>
                          <a:ext cx="6480175" cy="33591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0"/>
        </w:rPr>
        <w:t>5.    Method of Payment</w:t>
      </w:r>
      <w:r>
        <w:rPr>
          <w:rFonts w:ascii="Times New Roman;sans-serif" w:hAnsi="Times New Roman;sans-serif"/>
          <w:b w:val="false"/>
          <w:color w:val="000000"/>
          <w:sz w:val="20"/>
        </w:rPr>
        <w:t xml:space="preserve">. You must pay the full amount of the exercise price for the shares you wish to exercise. You may pay the exercise price in cash or by check, bank draft or money order payable to the Company or in any other manner </w:t>
      </w:r>
      <w:r>
        <w:rPr>
          <w:rFonts w:ascii="Times New Roman;sans-serif" w:hAnsi="Times New Roman;sans-serif"/>
          <w:b/>
          <w:i/>
          <w:color w:val="000000"/>
          <w:sz w:val="20"/>
        </w:rPr>
        <w:t>permitted by your Grant Notice,</w:t>
      </w:r>
      <w:r>
        <w:rPr>
          <w:color w:val="000000"/>
        </w:rPr>
        <w:t xml:space="preserve"> </w:t>
      </w:r>
      <w:r>
        <w:rPr>
          <w:rFonts w:ascii="Times New Roman;sans-serif" w:hAnsi="Times New Roman;sans-serif"/>
          <w:b w:val="false"/>
          <w:color w:val="000000"/>
          <w:sz w:val="20"/>
        </w:rPr>
        <w:t>which may include one or more of the following:</w:t>
      </w:r>
    </w:p>
    <w:p>
      <w:pPr>
        <w:pStyle w:val="TextBody"/>
        <w:spacing w:lineRule="auto" w:line="288" w:before="0" w:after="240"/>
        <w:ind w:left="0" w:right="0" w:firstLine="1440"/>
        <w:jc w:val="both"/>
        <w:rPr/>
      </w:pPr>
      <w:r>
        <w:rPr>
          <w:rFonts w:ascii="Times New Roman;sans-serif" w:hAnsi="Times New Roman;sans-serif"/>
          <w:b/>
          <w:color w:val="000000"/>
          <w:sz w:val="20"/>
        </w:rPr>
        <w:t>(a)    </w:t>
      </w:r>
      <w:r>
        <w:rPr>
          <w:rFonts w:ascii="Times New Roman;sans-serif" w:hAnsi="Times New Roman;sans-serif"/>
          <w:b w:val="false"/>
          <w:color w:val="000000"/>
          <w:sz w:val="20"/>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spacing w:lineRule="auto" w:line="288" w:before="0" w:after="240"/>
        <w:ind w:left="0" w:right="0" w:firstLine="1440"/>
        <w:jc w:val="both"/>
        <w:rPr/>
      </w:pPr>
      <w:r>
        <w:rPr>
          <w:rFonts w:ascii="Times New Roman;sans-serif" w:hAnsi="Times New Roman;sans-serif"/>
          <w:b/>
          <w:color w:val="000000"/>
          <w:sz w:val="20"/>
        </w:rPr>
        <w:t>(b)    </w:t>
      </w:r>
      <w:r>
        <w:rPr>
          <w:rFonts w:ascii="Times New Roman;sans-serif" w:hAnsi="Times New Roman;sans-serif"/>
          <w:b w:val="false"/>
          <w:color w:val="000000"/>
          <w:sz w:val="20"/>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pStyle w:val="TextBody"/>
        <w:spacing w:lineRule="auto" w:line="288" w:before="0" w:after="240"/>
        <w:ind w:left="0" w:right="0" w:firstLine="1440"/>
        <w:jc w:val="both"/>
        <w:rPr/>
      </w:pPr>
      <w:r>
        <w:rPr>
          <w:rFonts w:ascii="Times New Roman;sans-serif" w:hAnsi="Times New Roman;sans-serif"/>
          <w:b/>
          <w:color w:val="000000"/>
          <w:sz w:val="20"/>
        </w:rPr>
        <w:t>(c)    </w:t>
      </w:r>
      <w:r>
        <w:rPr>
          <w:rFonts w:ascii="Times New Roman;sans-serif" w:hAnsi="Times New Roman;sans-serif"/>
          <w:b w:val="false"/>
          <w:color w:val="000000"/>
          <w:sz w:val="20"/>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pStyle w:val="TextBody"/>
        <w:spacing w:lineRule="auto" w:line="288" w:before="0" w:after="240"/>
        <w:ind w:left="0" w:right="0" w:firstLine="720"/>
        <w:jc w:val="both"/>
        <w:rPr/>
      </w:pPr>
      <w:r>
        <w:rPr>
          <w:rFonts w:ascii="Times New Roman;sans-serif" w:hAnsi="Times New Roman;sans-serif"/>
          <w:b/>
          <w:color w:val="000000"/>
          <w:sz w:val="20"/>
        </w:rPr>
        <w:t>6.    Whole Shares</w:t>
      </w:r>
      <w:r>
        <w:rPr>
          <w:rFonts w:ascii="Times New Roman;sans-serif" w:hAnsi="Times New Roman;sans-serif"/>
          <w:b w:val="false"/>
          <w:color w:val="000000"/>
          <w:sz w:val="20"/>
        </w:rPr>
        <w:t>. You may exercise your option only for whole shares of Common Stock.</w:t>
      </w:r>
    </w:p>
    <w:p>
      <w:pPr>
        <w:pStyle w:val="TextBody"/>
        <w:spacing w:lineRule="auto" w:line="288" w:before="0" w:after="240"/>
        <w:ind w:left="0" w:right="0" w:firstLine="720"/>
        <w:jc w:val="both"/>
        <w:rPr/>
      </w:pPr>
      <w:r>
        <w:rPr>
          <w:rFonts w:ascii="Times New Roman;sans-serif" w:hAnsi="Times New Roman;sans-serif"/>
          <w:b/>
          <w:color w:val="000000"/>
          <w:sz w:val="20"/>
        </w:rPr>
        <w:t>7.    Securities Law Compliance</w:t>
      </w:r>
      <w:r>
        <w:rPr>
          <w:rFonts w:ascii="Times New Roman;sans-serif" w:hAnsi="Times New Roman;sans-serif"/>
          <w:b w:val="false"/>
          <w:color w:val="000000"/>
          <w:sz w:val="20"/>
        </w:rPr>
        <w:t>. In no event may you exercise your option unless the shares of Common Stock 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pStyle w:val="TextBody"/>
        <w:spacing w:lineRule="auto" w:line="288" w:before="0" w:after="240"/>
        <w:ind w:left="0" w:right="0" w:firstLine="720"/>
        <w:jc w:val="both"/>
        <w:rPr/>
      </w:pPr>
      <w:r>
        <w:rPr>
          <w:rFonts w:ascii="Times New Roman;sans-serif" w:hAnsi="Times New Roman;sans-serif"/>
          <w:b/>
          <w:color w:val="000000"/>
          <w:sz w:val="20"/>
        </w:rPr>
        <w:t>8.    Term</w:t>
      </w:r>
      <w:r>
        <w:rPr>
          <w:rFonts w:ascii="Times New Roman;sans-serif" w:hAnsi="Times New Roman;sans-serif"/>
          <w:b w:val="false"/>
          <w:color w:val="000000"/>
          <w:sz w:val="20"/>
        </w:rPr>
        <w:t>. You may not exercise your option before the Date of Grant or after the expiration of the option’s term. Except as set forth in your Grant Notice, the term of your option expires, subject to the provisions of Section 5(h) of the Plan, upon the earliest of the following:</w:t>
      </w:r>
    </w:p>
    <w:p>
      <w:pPr>
        <w:pStyle w:val="TextBody"/>
        <w:spacing w:lineRule="auto" w:line="288" w:before="0" w:after="240"/>
        <w:ind w:left="0" w:right="0" w:firstLine="1440"/>
        <w:jc w:val="both"/>
        <w:rPr/>
      </w:pPr>
      <w:r>
        <w:rPr>
          <w:rFonts w:ascii="Times New Roman;sans-serif" w:hAnsi="Times New Roman;sans-serif"/>
          <w:b/>
          <w:color w:val="000000"/>
          <w:sz w:val="20"/>
        </w:rPr>
        <w:t>(a)    </w:t>
      </w:r>
      <w:r>
        <w:rPr>
          <w:rFonts w:ascii="Times New Roman;sans-serif" w:hAnsi="Times New Roman;sans-serif"/>
          <w:b w:val="false"/>
          <w:color w:val="000000"/>
          <w:sz w:val="20"/>
        </w:rPr>
        <w:t>immediately upon the termination of your Continuous Service for Cause;</w:t>
      </w:r>
    </w:p>
    <w:p>
      <w:pPr>
        <w:pStyle w:val="TextBody"/>
        <w:spacing w:lineRule="auto" w:line="288" w:before="0" w:after="240"/>
        <w:ind w:left="0" w:right="0" w:firstLine="1440"/>
        <w:jc w:val="both"/>
        <w:rPr/>
      </w:pPr>
      <w:r>
        <w:rPr>
          <w:rFonts w:ascii="Times New Roman;sans-serif" w:hAnsi="Times New Roman;sans-serif"/>
          <w:b/>
          <w:color w:val="000000"/>
          <w:sz w:val="20"/>
        </w:rPr>
        <w:t>(b)    </w:t>
      </w:r>
      <w:r>
        <w:rPr>
          <w:rFonts w:ascii="Times New Roman;sans-serif" w:hAnsi="Times New Roman;sans-serif"/>
          <w:b w:val="false"/>
          <w:color w:val="000000"/>
          <w:sz w:val="20"/>
        </w:rPr>
        <w:t>three months after the termination of your Continuous Service for any reason other than Cause,</w:t>
      </w:r>
      <w:r>
        <w:rPr>
          <w:color w:val="0070C0"/>
        </w:rPr>
        <w:t xml:space="preserve"> </w:t>
      </w:r>
      <w:r>
        <w:rPr>
          <w:rFonts w:ascii="Times New Roman;sans-serif" w:hAnsi="Times New Roman;sans-serif"/>
          <w:b w:val="false"/>
          <w:color w:val="000000"/>
          <w:sz w:val="20"/>
        </w:rPr>
        <w:t xml:space="preserve">your Disability or your death (except as otherwise provided in Section 8(d) below);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 xml:space="preserve">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that if (i) you are a Non-Exempt Employee, (ii) your Continuous Service terminates within six months after the Date of Grant, and (iii) you have vested in a portion of your option at the time of your termination of Continuous Service, your option will not expire until the earlier of (x) the later of (A) the date that is seven months after the Date of Grant, and (B) the date that is three months after the termination of your Continuous Service, and (y) the Expiration Date;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34645"/>
                <wp:effectExtent l="0" t="0" r="0" b="0"/>
                <wp:wrapNone/>
                <wp:docPr id="171" name="Frame165"/>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2.</w:t>
                      </w:r>
                    </w:p>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pPr>
      <w:r>
        <w:rPr>
          <w:rFonts w:ascii="Times New Roman;sans-serif" w:hAnsi="Times New Roman;sans-serif"/>
          <w:b/>
          <w:color w:val="000000"/>
          <w:sz w:val="20"/>
        </w:rPr>
        <w:t>(c)    </w:t>
      </w:r>
      <w:r>
        <w:rPr>
          <w:rFonts w:ascii="Times New Roman;sans-serif" w:hAnsi="Times New Roman;sans-serif"/>
          <w:b w:val="false"/>
          <w:color w:val="000000"/>
          <w:sz w:val="20"/>
        </w:rPr>
        <w:t>12 months after the termination of your Continuous Service due to your Disability (except as otherwise provided in Section 8(d)) below;</w:t>
      </w:r>
    </w:p>
    <w:p>
      <w:pPr>
        <w:pStyle w:val="TextBody"/>
        <w:spacing w:lineRule="auto" w:line="288" w:before="0" w:after="240"/>
        <w:ind w:left="0" w:right="0" w:firstLine="1440"/>
        <w:jc w:val="both"/>
        <w:rPr/>
      </w:pPr>
      <w:r>
        <w:rPr>
          <w:rFonts w:ascii="Times New Roman;sans-serif" w:hAnsi="Times New Roman;sans-serif"/>
          <w:b/>
          <w:color w:val="000000"/>
          <w:sz w:val="20"/>
        </w:rPr>
        <w:t>(d)    </w:t>
      </w:r>
      <w:r>
        <w:rPr>
          <w:rFonts w:ascii="Times New Roman;sans-serif" w:hAnsi="Times New Roman;sans-serif"/>
          <w:b w:val="false"/>
          <w:color w:val="000000"/>
          <w:sz w:val="20"/>
        </w:rPr>
        <w:t>18 months after your death if you die either during your Continuous Service or within three (3) months after your Continuous Service terminates for any reason other than Cause;</w:t>
      </w:r>
    </w:p>
    <w:p>
      <w:pPr>
        <w:pStyle w:val="TextBody"/>
        <w:spacing w:lineRule="auto" w:line="288" w:before="0" w:after="240"/>
        <w:ind w:left="0" w:right="0" w:firstLine="1440"/>
        <w:jc w:val="both"/>
        <w:rPr/>
      </w:pPr>
      <w:r>
        <w:rPr>
          <w:rFonts w:ascii="Times New Roman;sans-serif" w:hAnsi="Times New Roman;sans-serif"/>
          <w:b/>
          <w:color w:val="000000"/>
          <w:sz w:val="20"/>
        </w:rPr>
        <w:t>(e)    </w:t>
      </w:r>
      <w:r>
        <w:rPr>
          <w:rFonts w:ascii="Times New Roman;sans-serif" w:hAnsi="Times New Roman;sans-serif"/>
          <w:b w:val="false"/>
          <w:color w:val="000000"/>
          <w:sz w:val="20"/>
        </w:rPr>
        <w:t>the Expiration Date indicated in your Grant Notice; or</w:t>
      </w:r>
    </w:p>
    <w:p>
      <w:pPr>
        <w:pStyle w:val="TextBody"/>
        <w:spacing w:lineRule="auto" w:line="288" w:before="0" w:after="240"/>
        <w:ind w:left="0" w:right="0" w:firstLine="1440"/>
        <w:jc w:val="both"/>
        <w:rPr/>
      </w:pPr>
      <w:r>
        <w:rPr>
          <w:rFonts w:ascii="Times New Roman;sans-serif" w:hAnsi="Times New Roman;sans-serif"/>
          <w:b/>
          <w:color w:val="000000"/>
          <w:sz w:val="20"/>
        </w:rPr>
        <w:t>(f)    </w:t>
      </w:r>
      <w:r>
        <w:rPr>
          <w:rFonts w:ascii="Times New Roman;sans-serif" w:hAnsi="Times New Roman;sans-serif"/>
          <w:b w:val="false"/>
          <w:color w:val="000000"/>
          <w:sz w:val="20"/>
        </w:rPr>
        <w:t>the day before the 10th anniversary of the Date of Grant.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pStyle w:val="TextBody"/>
        <w:spacing w:lineRule="auto" w:line="288" w:before="0" w:after="240"/>
        <w:ind w:left="0" w:right="0" w:firstLine="720"/>
        <w:jc w:val="both"/>
        <w:rPr/>
      </w:pPr>
      <w:r>
        <w:rPr>
          <w:rFonts w:ascii="Times New Roman;sans-serif" w:hAnsi="Times New Roman;sans-serif"/>
          <w:b/>
          <w:color w:val="000000"/>
          <w:sz w:val="20"/>
        </w:rPr>
        <w:t>9.    Exercise</w:t>
      </w:r>
      <w:r>
        <w:rPr>
          <w:rFonts w:ascii="Times New Roman;sans-serif" w:hAnsi="Times New Roman;sans-serif"/>
          <w:b w:val="false"/>
          <w:color w:val="000000"/>
          <w:sz w:val="20"/>
        </w:rPr>
        <w:t>.</w:t>
      </w:r>
    </w:p>
    <w:p>
      <w:pPr>
        <w:pStyle w:val="TextBody"/>
        <w:spacing w:lineRule="auto" w:line="288" w:before="0" w:after="240"/>
        <w:ind w:left="0" w:right="0" w:firstLine="1440"/>
        <w:jc w:val="both"/>
        <w:rPr/>
      </w:pPr>
      <w:r>
        <w:rPr>
          <w:rFonts w:ascii="Times New Roman;sans-serif" w:hAnsi="Times New Roman;sans-serif"/>
          <w:b/>
          <w:color w:val="000000"/>
          <w:sz w:val="20"/>
        </w:rPr>
        <w:t>(a)    </w:t>
      </w:r>
      <w:r>
        <w:rPr>
          <w:rFonts w:ascii="Times New Roman;sans-serif" w:hAnsi="Times New Roman;sans-serif"/>
          <w:b w:val="false"/>
          <w:color w:val="000000"/>
          <w:sz w:val="20"/>
        </w:rPr>
        <w:t xml:space="preserve">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 </w:t>
      </w:r>
      <w:r>
        <w:rPr>
          <w:rFonts w:ascii="Times New Roman;sans-serif" w:hAnsi="Times New Roman;sans-serif"/>
          <w:b/>
          <w:color w:val="000000"/>
          <w:sz w:val="20"/>
          <w:u w:val="single"/>
        </w:rPr>
        <w:t>(including, without limitation, any voting agreement or other agreement between the Company and certain of its stockholders)</w:t>
      </w:r>
      <w:r>
        <w:rPr>
          <w:rFonts w:ascii="Times New Roman;sans-serif" w:hAnsi="Times New Roman;sans-serif"/>
          <w:b w:val="false"/>
          <w:color w:val="000000"/>
          <w:sz w:val="20"/>
        </w:rPr>
        <w:t>.</w:t>
      </w:r>
    </w:p>
    <w:p>
      <w:pPr>
        <w:pStyle w:val="TextBody"/>
        <w:spacing w:lineRule="auto" w:line="288" w:before="0" w:after="240"/>
        <w:ind w:left="0" w:right="0" w:firstLine="1440"/>
        <w:jc w:val="both"/>
        <w:rPr/>
      </w:pPr>
      <w:r>
        <w:rPr>
          <w:rFonts w:ascii="Times New Roman;sans-serif" w:hAnsi="Times New Roman;sans-serif"/>
          <w:b/>
          <w:color w:val="000000"/>
          <w:sz w:val="20"/>
        </w:rPr>
        <w:t>(b)    </w:t>
      </w:r>
      <w:r>
        <w:rPr>
          <w:rFonts w:ascii="Times New Roman;sans-serif" w:hAnsi="Times New Roman;sans-serif"/>
          <w:b w:val="false"/>
          <w:color w:val="000000"/>
          <w:sz w:val="20"/>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pStyle w:val="TextBody"/>
        <w:spacing w:lineRule="auto" w:line="288" w:before="0" w:after="240"/>
        <w:ind w:left="0" w:right="0" w:firstLine="1440"/>
        <w:jc w:val="both"/>
        <w:rPr/>
      </w:pPr>
      <w:r>
        <w:rPr>
          <w:rFonts w:ascii="Times New Roman;sans-serif" w:hAnsi="Times New Roman;sans-serif"/>
          <w:b/>
          <w:color w:val="000000"/>
          <w:sz w:val="20"/>
        </w:rPr>
        <w:t>(c)    </w:t>
      </w:r>
      <w:r>
        <w:rPr>
          <w:rFonts w:ascii="Times New Roman;sans-serif" w:hAnsi="Times New Roman;sans-serif"/>
          <w:b w:val="false"/>
          <w:color w:val="000000"/>
          <w:sz w:val="20"/>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pStyle w:val="TextBody"/>
        <w:spacing w:lineRule="auto" w:line="288" w:before="0" w:after="240"/>
        <w:ind w:left="0" w:right="0" w:firstLine="1440"/>
        <w:jc w:val="both"/>
        <w:rPr/>
      </w:pPr>
      <w:r>
        <w:rPr>
          <w:rFonts w:ascii="Times New Roman;sans-serif" w:hAnsi="Times New Roman;sans-serif"/>
          <w:b/>
          <w:color w:val="000000"/>
          <w:sz w:val="20"/>
        </w:rPr>
        <w:t>(d)    </w:t>
      </w:r>
      <w:r>
        <w:rPr>
          <w:rFonts w:ascii="Times New Roman;sans-serif" w:hAnsi="Times New Roman;sans-serif"/>
          <w:b w:val="false"/>
          <w:color w:val="000000"/>
          <w:sz w:val="20"/>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w:t>
      </w:r>
      <w:r>
        <w:rPr>
          <w:rFonts w:ascii="Times New Roman;sans-serif" w:hAnsi="Times New Roman;sans-serif"/>
          <w:b w:val="false"/>
          <w:strike/>
          <w:color w:val="000000"/>
          <w:sz w:val="20"/>
        </w:rPr>
        <w:t xml:space="preserve">s </w:t>
      </w:r>
      <w:r>
        <w:rPr>
          <w:rFonts w:ascii="Times New Roman;sans-serif" w:hAnsi="Times New Roman;sans-serif"/>
          <w:b w:val="false"/>
          <w:color w:val="000000"/>
          <w:sz w:val="20"/>
        </w:rPr>
        <w:t>or regulation (the “</w:t>
      </w:r>
      <w:r>
        <w:rPr>
          <w:rFonts w:ascii="Times New Roman;sans-serif" w:hAnsi="Times New Roman;sans-serif"/>
          <w:b/>
          <w:i/>
          <w:color w:val="000000"/>
          <w:sz w:val="20"/>
        </w:rPr>
        <w:t>Lock-Up Period</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34645"/>
                <wp:effectExtent l="0" t="0" r="0" b="0"/>
                <wp:wrapNone/>
                <wp:docPr id="172" name="Frame166"/>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3.</w:t>
                      </w:r>
                    </w:p>
                    <w:p>
                      <w:pPr>
                        <w:pStyle w:val="TextBody"/>
                        <w:spacing w:before="0" w:after="0"/>
                        <w:rPr/>
                      </w:pPr>
                      <w:r>
                        <w:rPr/>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color w:val="000000"/>
          <w:sz w:val="20"/>
        </w:rPr>
        <w:t>10.    Transferability</w:t>
      </w:r>
      <w:r>
        <w:rPr>
          <w:rFonts w:ascii="Times New Roman;sans-serif" w:hAnsi="Times New Roman;sans-serif"/>
          <w:b w:val="false"/>
          <w:color w:val="000000"/>
          <w:sz w:val="20"/>
        </w:rPr>
        <w:t xml:space="preserve">. Except as otherwise provided in this Section 10, your option is not transferable, except by will or by the laws of descent and distribution, and is exercisable during your life only by you. </w:t>
      </w:r>
    </w:p>
    <w:p>
      <w:pPr>
        <w:pStyle w:val="TextBody"/>
        <w:spacing w:lineRule="auto" w:line="288" w:before="0" w:after="240"/>
        <w:ind w:left="0" w:right="0" w:firstLine="1440"/>
        <w:jc w:val="both"/>
        <w:rPr/>
      </w:pPr>
      <w:r>
        <w:rPr>
          <w:rFonts w:ascii="Times New Roman;sans-serif" w:hAnsi="Times New Roman;sans-serif"/>
          <w:b/>
          <w:color w:val="000000"/>
          <w:sz w:val="20"/>
        </w:rPr>
        <w:t>(a)    Certain Trusts</w:t>
      </w:r>
      <w:r>
        <w:rPr>
          <w:rFonts w:ascii="Times New Roman;sans-serif" w:hAnsi="Times New Roman;sans-serif"/>
          <w:b w:val="false"/>
          <w:color w:val="000000"/>
          <w:sz w:val="20"/>
        </w:rPr>
        <w:t xml:space="preserve">. Upon receiving written permission from the Board or its duly authorized 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 </w:t>
      </w:r>
    </w:p>
    <w:p>
      <w:pPr>
        <w:pStyle w:val="TextBody"/>
        <w:spacing w:lineRule="auto" w:line="288" w:before="0" w:after="240"/>
        <w:ind w:left="0" w:right="0" w:firstLine="1440"/>
        <w:jc w:val="both"/>
        <w:rPr/>
      </w:pPr>
      <w:r>
        <w:rPr>
          <w:rFonts w:ascii="Times New Roman;sans-serif" w:hAnsi="Times New Roman;sans-serif"/>
          <w:b/>
          <w:color w:val="000000"/>
          <w:sz w:val="20"/>
        </w:rPr>
        <w:t>(b)    Domestic Relations Orders</w:t>
      </w:r>
      <w:r>
        <w:rPr>
          <w:rFonts w:ascii="Times New Roman;sans-serif" w:hAnsi="Times New Roman;sans-serif"/>
          <w:b w:val="false"/>
          <w:color w:val="000000"/>
          <w:sz w:val="20"/>
        </w:rPr>
        <w:t>. Upon receiving written permission from the Board or its 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pStyle w:val="TextBody"/>
        <w:spacing w:lineRule="auto" w:line="288" w:before="0" w:after="240"/>
        <w:ind w:left="0" w:right="0" w:firstLine="1440"/>
        <w:jc w:val="both"/>
        <w:rPr/>
      </w:pPr>
      <w:r>
        <w:rPr>
          <w:rFonts w:ascii="Times New Roman;sans-serif" w:hAnsi="Times New Roman;sans-serif"/>
          <w:b/>
          <w:color w:val="000000"/>
          <w:sz w:val="20"/>
        </w:rPr>
        <w:t>(c)    Beneficiary Designation</w:t>
      </w:r>
      <w:r>
        <w:rPr>
          <w:rFonts w:ascii="Times New Roman;sans-serif" w:hAnsi="Times New Roman;sans-serif"/>
          <w:b w:val="false"/>
          <w:color w:val="000000"/>
          <w:sz w:val="20"/>
        </w:rPr>
        <w:t>. Upon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pStyle w:val="TextBody"/>
        <w:spacing w:lineRule="auto" w:line="288" w:before="0" w:after="240"/>
        <w:ind w:left="0" w:right="0" w:firstLine="720"/>
        <w:jc w:val="both"/>
        <w:rPr/>
      </w:pPr>
      <w:r>
        <w:rPr>
          <w:rFonts w:ascii="Times New Roman;sans-serif" w:hAnsi="Times New Roman;sans-serif"/>
          <w:b/>
          <w:color w:val="000000"/>
          <w:sz w:val="20"/>
        </w:rPr>
        <w:t>11.    Option not a Service Contract</w:t>
      </w:r>
      <w:r>
        <w:rPr>
          <w:rFonts w:ascii="Times New Roman;sans-serif" w:hAnsi="Times New Roman;sans-serif"/>
          <w:b w:val="false"/>
          <w:color w:val="000000"/>
          <w:sz w:val="20"/>
        </w:rPr>
        <w:t>. Your option is not an employment or service contract, and 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pStyle w:val="TextBody"/>
        <w:spacing w:lineRule="auto" w:line="288" w:before="0" w:after="240"/>
        <w:ind w:left="0" w:right="0" w:firstLine="720"/>
        <w:jc w:val="both"/>
        <w:rPr/>
      </w:pPr>
      <w:r>
        <w:rPr>
          <w:rFonts w:ascii="Times New Roman;sans-serif" w:hAnsi="Times New Roman;sans-serif"/>
          <w:b/>
          <w:color w:val="000000"/>
          <w:sz w:val="20"/>
        </w:rPr>
        <w:t>12.    Withholding Obligations</w:t>
      </w:r>
      <w:r>
        <w:rPr>
          <w:rFonts w:ascii="Times New Roman;sans-serif" w:hAnsi="Times New Roman;sans-serif"/>
          <w:b w:val="false"/>
          <w:color w:val="000000"/>
          <w:sz w:val="20"/>
        </w:rPr>
        <w:t>.</w:t>
      </w:r>
    </w:p>
    <w:p>
      <w:pPr>
        <w:pStyle w:val="TextBody"/>
        <w:spacing w:lineRule="auto" w:line="288" w:before="0" w:after="240"/>
        <w:ind w:left="0" w:right="0" w:firstLine="1440"/>
        <w:jc w:val="both"/>
        <w:rPr/>
      </w:pPr>
      <w:r>
        <w:rPr>
          <w:rFonts w:ascii="Times New Roman;sans-serif" w:hAnsi="Times New Roman;sans-serif"/>
          <w:b/>
          <w:color w:val="000000"/>
          <w:sz w:val="20"/>
        </w:rPr>
        <w:t>(a)    </w:t>
      </w:r>
      <w:r>
        <w:rPr>
          <w:rFonts w:ascii="Times New Roman;sans-serif" w:hAnsi="Times New Roman;sans-serif"/>
          <w:b w:val="false"/>
          <w:color w:val="000000"/>
          <w:sz w:val="20"/>
        </w:rPr>
        <w:t xml:space="preserve">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 </w:t>
      </w:r>
    </w:p>
    <w:p>
      <w:pPr>
        <w:pStyle w:val="TextBody"/>
        <w:spacing w:lineRule="auto" w:line="288" w:before="0" w:after="240"/>
        <w:ind w:left="0" w:right="0" w:firstLine="1440"/>
        <w:jc w:val="both"/>
        <w:rPr/>
      </w:pPr>
      <w:r>
        <w:rPr>
          <w:rFonts w:ascii="Times New Roman;sans-serif" w:hAnsi="Times New Roman;sans-serif"/>
          <w:b/>
          <w:color w:val="000000"/>
          <w:sz w:val="20"/>
        </w:rPr>
        <w:t>(b)    </w:t>
      </w:r>
      <w:r>
        <w:rPr>
          <w:rFonts w:ascii="Times New Roman;sans-serif" w:hAnsi="Times New Roman;sans-serif"/>
          <w:b w:val="false"/>
          <w:color w:val="000000"/>
          <w:sz w:val="20"/>
        </w:rPr>
        <w:t xml:space="preserve">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34645"/>
                <wp:effectExtent l="0" t="0" r="0" b="0"/>
                <wp:wrapNone/>
                <wp:docPr id="173" name="Frame167"/>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4.</w:t>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exercise of your option that are otherwise issuable to you upon such exercise. Any adverse consequences to you arising in connection with such share withholding procedure shall be your sole responsibility.</w:t>
      </w:r>
    </w:p>
    <w:p>
      <w:pPr>
        <w:pStyle w:val="TextBody"/>
        <w:spacing w:lineRule="auto" w:line="288" w:before="0" w:after="240"/>
        <w:ind w:left="0" w:right="0" w:firstLine="1440"/>
        <w:jc w:val="both"/>
        <w:rPr/>
      </w:pPr>
      <w:r>
        <w:rPr>
          <w:rFonts w:ascii="Times New Roman;sans-serif" w:hAnsi="Times New Roman;sans-serif"/>
          <w:b/>
          <w:color w:val="000000"/>
          <w:sz w:val="20"/>
        </w:rPr>
        <w:t>(c)    </w:t>
      </w:r>
      <w:r>
        <w:rPr>
          <w:rFonts w:ascii="Times New Roman;sans-serif" w:hAnsi="Times New Roman;sans-serif"/>
          <w:b w:val="false"/>
          <w:color w:val="000000"/>
          <w:sz w:val="20"/>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pStyle w:val="TextBody"/>
        <w:spacing w:lineRule="auto" w:line="288" w:before="0" w:after="240"/>
        <w:ind w:left="0" w:right="0" w:firstLine="720"/>
        <w:jc w:val="both"/>
        <w:rPr/>
      </w:pPr>
      <w:r>
        <w:rPr>
          <w:rFonts w:ascii="Times New Roman;sans-serif" w:hAnsi="Times New Roman;sans-serif"/>
          <w:b/>
          <w:color w:val="000000"/>
          <w:sz w:val="20"/>
        </w:rPr>
        <w:t>13.    Tax Consequences</w:t>
      </w:r>
      <w:r>
        <w:rPr>
          <w:rFonts w:ascii="Times New Roman;sans-serif" w:hAnsi="Times New Roman;sans-serif"/>
          <w:b w:val="false"/>
          <w:color w:val="000000"/>
          <w:sz w:val="20"/>
        </w:rPr>
        <w:t>.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pStyle w:val="TextBody"/>
        <w:spacing w:lineRule="auto" w:line="288" w:before="0" w:after="240"/>
        <w:ind w:left="0" w:right="0" w:firstLine="720"/>
        <w:jc w:val="both"/>
        <w:rPr/>
      </w:pPr>
      <w:r>
        <w:rPr>
          <w:rFonts w:ascii="Times New Roman;sans-serif" w:hAnsi="Times New Roman;sans-serif"/>
          <w:b/>
          <w:color w:val="000000"/>
          <w:sz w:val="20"/>
        </w:rPr>
        <w:t>14.    Notices</w:t>
      </w:r>
      <w:r>
        <w:rPr>
          <w:rFonts w:ascii="Times New Roman;sans-serif" w:hAnsi="Times New Roman;sans-serif"/>
          <w:b w:val="false"/>
          <w:color w:val="000000"/>
          <w:sz w:val="20"/>
        </w:rPr>
        <w:t>. Any notices provided for in your option or the Plan will be given in writing (including electronically) and will 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pStyle w:val="TextBody"/>
        <w:spacing w:lineRule="auto" w:line="288" w:before="0" w:after="240"/>
        <w:ind w:left="0" w:right="0" w:firstLine="720"/>
        <w:jc w:val="both"/>
        <w:rPr/>
      </w:pPr>
      <w:r>
        <w:rPr>
          <w:rFonts w:ascii="Times New Roman;sans-serif" w:hAnsi="Times New Roman;sans-serif"/>
          <w:b/>
          <w:color w:val="000000"/>
          <w:sz w:val="20"/>
        </w:rPr>
        <w:t>15.    Governing Plan Document</w:t>
      </w:r>
      <w:r>
        <w:rPr>
          <w:rFonts w:ascii="Times New Roman;sans-serif" w:hAnsi="Times New Roman;sans-serif"/>
          <w:b w:val="false"/>
          <w:color w:val="000000"/>
          <w:sz w:val="20"/>
        </w:rPr>
        <w:t>. 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21.1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34645"/>
                <wp:effectExtent l="0" t="0" r="0" b="0"/>
                <wp:wrapNone/>
                <wp:docPr id="174" name="Frame168"/>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18" w:before="0" w:after="0"/>
                        <w:rPr>
                          <w:color w:val="000000"/>
                        </w:rPr>
                      </w:pPr>
                      <w:r>
                        <w:rPr>
                          <w:color w:val="000000"/>
                        </w:rPr>
                        <w:t>    </w:t>
                      </w:r>
                      <w:r>
                        <w:rPr>
                          <w:rFonts w:ascii="Times New Roman;sans-serif" w:hAnsi="Times New Roman;sans-serif"/>
                          <w:b w:val="false"/>
                          <w:color w:val="000000"/>
                          <w:sz w:val="22"/>
                        </w:rPr>
                        <w:t>5.</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direct and indirect subsidiaries of Ouster, Inc., that is current as of December 31, 2021:</w:t>
      </w:r>
    </w:p>
    <w:p>
      <w:pPr>
        <w:pStyle w:val="TextBody"/>
        <w:spacing w:before="0" w:after="0"/>
        <w:rPr/>
      </w:pPr>
      <w:r>
        <w:rPr/>
      </w:r>
    </w:p>
    <w:p>
      <w:pPr>
        <w:pStyle w:val="TextBody"/>
        <w:spacing w:before="0" w:after="0"/>
        <w:rPr/>
      </w:pPr>
      <w:r>
        <w:rPr/>
      </w:r>
    </w:p>
    <w:p>
      <w:pPr>
        <w:pStyle w:val="TextBody"/>
        <w:spacing w:before="0" w:after="0"/>
        <w:rPr/>
      </w:pPr>
      <w:r>
        <w:rPr/>
      </w:r>
    </w:p>
    <w:tbl>
      <w:tblPr>
        <w:tblW w:w="5789" w:type="dxa"/>
        <w:jc w:val="left"/>
        <w:tblInd w:w="0" w:type="dxa"/>
        <w:tblCellMar>
          <w:top w:w="28" w:type="dxa"/>
          <w:left w:w="28" w:type="dxa"/>
          <w:bottom w:w="28" w:type="dxa"/>
          <w:right w:w="28" w:type="dxa"/>
        </w:tblCellMar>
      </w:tblPr>
      <w:tblGrid>
        <w:gridCol w:w="1490"/>
        <w:gridCol w:w="1308"/>
        <w:gridCol w:w="1311"/>
        <w:gridCol w:w="492"/>
        <w:gridCol w:w="492"/>
        <w:gridCol w:w="696"/>
      </w:tblGrid>
      <w:tr>
        <w:trPr/>
        <w:tc>
          <w:tcPr>
            <w:tcW w:w="1490"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Jurisdiction</w:t>
            </w:r>
          </w:p>
          <w:p>
            <w:pPr>
              <w:pStyle w:val="TableContents"/>
              <w:spacing w:lineRule="auto" w:line="240" w:before="0" w:after="0"/>
              <w:jc w:val="left"/>
              <w:rPr>
                <w:color w:val="000000"/>
              </w:rPr>
            </w:pPr>
            <w:r>
              <w:rPr>
                <w:color w:val="000000"/>
              </w:rPr>
              <w:t> </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Hong Kong Limited</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China</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(Suzhou) Intelligent Technology Co., Ltd.</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mainland</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(Thailand) Co., Ltd.</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Canada Limited</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France SAS</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UK Limited</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Netherlands, B.V.</w:t>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48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480"/>
        <w:rPr/>
      </w:pPr>
      <w:r>
        <w:rPr>
          <w:rFonts w:ascii="Times New Roman;sans-serif" w:hAnsi="Times New Roman;sans-serif"/>
          <w:b w:val="false"/>
          <w:color w:val="000000"/>
          <w:sz w:val="20"/>
        </w:rPr>
        <w:t xml:space="preserve">We hereby consent to the incorporation by reference in the Registration Statements on Form S-8 (Nos. 333-260576 and </w:t>
      </w:r>
      <w:r>
        <w:rPr>
          <w:rFonts w:ascii="Times New Roman;sans-serif" w:hAnsi="Times New Roman;sans-serif"/>
          <w:b w:val="false"/>
          <w:color w:val="000000"/>
          <w:sz w:val="20"/>
          <w:highlight w:val="white"/>
        </w:rPr>
        <w:t>333-257859</w:t>
      </w:r>
      <w:r>
        <w:rPr>
          <w:rFonts w:ascii="Times New Roman;sans-serif" w:hAnsi="Times New Roman;sans-serif"/>
          <w:b w:val="false"/>
          <w:color w:val="000000"/>
          <w:sz w:val="20"/>
        </w:rPr>
        <w:t>) of Ouster, Inc of our report dated February 28, 2022 relating to the financial statements, which appears in this Form 10-K.</w:t>
      </w:r>
    </w:p>
    <w:p>
      <w:pPr>
        <w:pStyle w:val="TextBody"/>
        <w:spacing w:before="0" w:after="12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/s/PricewaterhouseCoopers LLP</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San Jose, CA</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75" w:after="283"/>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24.1</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75" w:after="283"/>
        <w:jc w:val="right"/>
        <w:rPr/>
      </w:pPr>
      <w:r>
        <w:rPr/>
      </w:r>
    </w:p>
    <w:p>
      <w:pPr>
        <w:pStyle w:val="TextBody"/>
        <w:spacing w:before="6" w:after="283"/>
        <w:rPr/>
      </w:pPr>
      <w:r>
        <w:rPr/>
      </w:r>
    </w:p>
    <w:p>
      <w:pPr>
        <w:pStyle w:val="TextBody"/>
        <w:spacing w:lineRule="auto" w:line="240" w:before="75"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before="8" w:after="283"/>
        <w:rPr/>
      </w:pPr>
      <w:r>
        <w:rPr/>
      </w:r>
    </w:p>
    <w:p>
      <w:pPr>
        <w:pStyle w:val="TextBody"/>
        <w:spacing w:lineRule="auto" w:line="266" w:before="0" w:after="0"/>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OUSTER, INC., a Delaware corporation (the “Company”), and each of the undersigned directors of the Company, hereby constitutes and appoints Angus Pacala and Anna Brunelle, and each of them (with full power to each of them to act alone), his or her true and lawful attorney-in-fact and agent, with full power of substitution and resubstitution, for him or her and on his or her behalf in his or her name, place and stead, in any and all capacities to sign, execute, affix his or her seal thereto and file, or cause such actions to be taken with regards to, the Company’s Annual Report on Form 10-K for the year ended December 31, 2021 under the Securities Exchange Act of 1934, as amended, including any amendment or amendments thereto, with all exhibits and any all documents required to be filed with respect thereto with any regulatory authority.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is hereby granted to said attorneys-in-fact and agents, and each of them, full power and authority to do and perform each and every act and thing, requisite and necessary to be done in respect of the foregoing as fully as he or she might or could do if personally present, thereby ratifying and confirming all that said attorneys-in-fact and agents, or their substitute or substitutes may lawfully do or cause to be done by virtue hereof.</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Power of Attorney may be executed in any number of counterparts, each of which shall be an original, but all of which taken together shall constitute one and the same instrument and any of the undersigned directors may execute this Power of Attorney by signing any such counterpart.</w:t>
      </w:r>
    </w:p>
    <w:p>
      <w:pPr>
        <w:pStyle w:val="TextBody"/>
        <w:spacing w:before="0" w:after="0"/>
        <w:rPr/>
      </w:pPr>
      <w:r>
        <w:rPr/>
      </w:r>
    </w:p>
    <w:tbl>
      <w:tblPr>
        <w:tblW w:w="4545" w:type="dxa"/>
        <w:jc w:val="left"/>
        <w:tblInd w:w="0" w:type="dxa"/>
        <w:tblCellMar>
          <w:top w:w="28" w:type="dxa"/>
          <w:left w:w="28" w:type="dxa"/>
          <w:bottom w:w="28" w:type="dxa"/>
          <w:right w:w="28" w:type="dxa"/>
        </w:tblCellMar>
      </w:tblPr>
      <w:tblGrid>
        <w:gridCol w:w="775"/>
        <w:gridCol w:w="682"/>
        <w:gridCol w:w="687"/>
        <w:gridCol w:w="254"/>
        <w:gridCol w:w="254"/>
        <w:gridCol w:w="258"/>
        <w:gridCol w:w="477"/>
        <w:gridCol w:w="477"/>
        <w:gridCol w:w="681"/>
      </w:tblGrid>
      <w:tr>
        <w:trPr/>
        <w:tc>
          <w:tcPr>
            <w:tcW w:w="77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766"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1635"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Jorge del Calvo</w:t>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23, 2022</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Jorge del Calvo</w:t>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Emmanuel Hernandez</w:t>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2022</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Emmanuel Hernandez</w:t>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Heystee</w:t>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2022</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Heystee</w:t>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/s/ Sundari</w:t>
            </w:r>
            <w:r>
              <w:rPr>
                <w:color w:val="000000"/>
              </w:rPr>
              <w:t xml:space="preserve"> </w:t>
            </w:r>
            <w:r>
              <w:rPr>
                <w:rFonts w:ascii="Times New Roman;sans-serif" w:hAnsi="Times New Roman;sans-serif"/>
                <w:b w:val="false"/>
                <w:color w:val="000000"/>
                <w:sz w:val="20"/>
              </w:rPr>
              <w:t>Mitra</w:t>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2022</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Sundari</w:t>
            </w:r>
            <w:r>
              <w:rPr>
                <w:color w:val="000000"/>
              </w:rPr>
              <w:t xml:space="preserve"> </w:t>
            </w:r>
            <w:r>
              <w:rPr>
                <w:rFonts w:ascii="Times New Roman;sans-serif" w:hAnsi="Times New Roman;sans-serif"/>
                <w:b w:val="false"/>
                <w:color w:val="000000"/>
                <w:sz w:val="20"/>
              </w:rPr>
              <w:t>Mitra</w:t>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Karin Rådström</w:t>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23, 2022</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Rådström</w:t>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Remy Trafelet</w:t>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vMerge w:val="restart"/>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2022</w:t>
            </w:r>
          </w:p>
        </w:tc>
      </w:tr>
      <w:tr>
        <w:trPr/>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Remy Trafelet</w:t>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1635"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31.1</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CERTIFICATION </w:t>
      </w:r>
    </w:p>
    <w:p>
      <w:pPr>
        <w:pStyle w:val="TextBody"/>
        <w:spacing w:lineRule="auto" w:line="333"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Angus Pacala, certify that:</w:t>
      </w:r>
    </w:p>
    <w:p>
      <w:pPr>
        <w:pStyle w:val="TextBody"/>
        <w:spacing w:before="0" w:after="0"/>
        <w:rPr/>
      </w:pPr>
      <w:r>
        <w:rPr/>
      </w:r>
    </w:p>
    <w:tbl>
      <w:tblPr>
        <w:tblW w:w="5757" w:type="dxa"/>
        <w:jc w:val="left"/>
        <w:tblInd w:w="0" w:type="dxa"/>
        <w:tblCellMar>
          <w:top w:w="28" w:type="dxa"/>
          <w:left w:w="28" w:type="dxa"/>
          <w:bottom w:w="28" w:type="dxa"/>
          <w:right w:w="28" w:type="dxa"/>
        </w:tblCellMar>
      </w:tblPr>
      <w:tblGrid>
        <w:gridCol w:w="124"/>
        <w:gridCol w:w="109"/>
        <w:gridCol w:w="109"/>
        <w:gridCol w:w="1583"/>
        <w:gridCol w:w="1583"/>
        <w:gridCol w:w="22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Ouster, Inc.;</w:t>
            </w:r>
          </w:p>
        </w:tc>
      </w:tr>
    </w:tbl>
    <w:p>
      <w:pPr>
        <w:pStyle w:val="TextBody"/>
        <w:spacing w:before="120" w:after="283"/>
        <w:rPr/>
      </w:pPr>
      <w:r>
        <w:rPr/>
      </w:r>
    </w:p>
    <w:tbl>
      <w:tblPr>
        <w:tblW w:w="9492" w:type="dxa"/>
        <w:jc w:val="left"/>
        <w:tblInd w:w="0" w:type="dxa"/>
        <w:tblCellMar>
          <w:top w:w="28" w:type="dxa"/>
          <w:left w:w="28" w:type="dxa"/>
          <w:bottom w:w="28" w:type="dxa"/>
          <w:right w:w="28" w:type="dxa"/>
        </w:tblCellMar>
      </w:tblPr>
      <w:tblGrid>
        <w:gridCol w:w="124"/>
        <w:gridCol w:w="109"/>
        <w:gridCol w:w="109"/>
        <w:gridCol w:w="2679"/>
        <w:gridCol w:w="2679"/>
        <w:gridCol w:w="37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37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this report does not contain any untrue statement of a material fact or omit to state a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fact necessary to make the statements made, in light of the circumstances under which such statements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were made, not misleading with respect to the period covered by this report;</w:t>
            </w:r>
          </w:p>
        </w:tc>
      </w:tr>
    </w:tbl>
    <w:p>
      <w:pPr>
        <w:pStyle w:val="TextBody"/>
        <w:spacing w:before="120" w:after="283"/>
        <w:rPr/>
      </w:pPr>
      <w:r>
        <w:rPr/>
      </w:r>
    </w:p>
    <w:tbl>
      <w:tblPr>
        <w:tblW w:w="9537" w:type="dxa"/>
        <w:jc w:val="left"/>
        <w:tblInd w:w="0" w:type="dxa"/>
        <w:tblCellMar>
          <w:top w:w="28" w:type="dxa"/>
          <w:left w:w="28" w:type="dxa"/>
          <w:bottom w:w="28" w:type="dxa"/>
          <w:right w:w="28" w:type="dxa"/>
        </w:tblCellMar>
      </w:tblPr>
      <w:tblGrid>
        <w:gridCol w:w="124"/>
        <w:gridCol w:w="109"/>
        <w:gridCol w:w="109"/>
        <w:gridCol w:w="2690"/>
        <w:gridCol w:w="2690"/>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the financial statements, and other financial information included in this report, fairly </w:t>
              <w:br/>
              <w:t xml:space="preserve">present in all material respects the financial condition, results of operations and cash flows of the registrant as </w:t>
              <w:br/>
              <w:t>of, and for, the periods presented in this report;</w:t>
            </w:r>
          </w:p>
        </w:tc>
      </w:tr>
    </w:tbl>
    <w:p>
      <w:pPr>
        <w:pStyle w:val="TextBody"/>
        <w:spacing w:before="120" w:after="283"/>
        <w:rPr/>
      </w:pPr>
      <w:r>
        <w:rPr/>
      </w:r>
    </w:p>
    <w:tbl>
      <w:tblPr>
        <w:tblW w:w="9432" w:type="dxa"/>
        <w:jc w:val="left"/>
        <w:tblInd w:w="0" w:type="dxa"/>
        <w:tblCellMar>
          <w:top w:w="28" w:type="dxa"/>
          <w:left w:w="28" w:type="dxa"/>
          <w:bottom w:w="28" w:type="dxa"/>
          <w:right w:w="28" w:type="dxa"/>
        </w:tblCellMar>
      </w:tblPr>
      <w:tblGrid>
        <w:gridCol w:w="124"/>
        <w:gridCol w:w="109"/>
        <w:gridCol w:w="109"/>
        <w:gridCol w:w="2661"/>
        <w:gridCol w:w="2661"/>
        <w:gridCol w:w="37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37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other certifying officer and I are responsible for establishing and maintaining disclosure </w:t>
              <w:br/>
              <w:t xml:space="preserve">controls and procedures (as defined in Exchange Act Rules 13a-15(e) and 15d-15(e)) and internal control over </w:t>
              <w:br/>
              <w:t>financial reporting (as defined in Exchange Act Rules 13a-15(f) and 15d-15(f)) for the registrant and have:</w:t>
            </w:r>
          </w:p>
        </w:tc>
      </w:tr>
    </w:tbl>
    <w:p>
      <w:pPr>
        <w:pStyle w:val="TextBody"/>
        <w:spacing w:before="120" w:after="283"/>
        <w:rPr/>
      </w:pPr>
      <w:r>
        <w:rPr/>
      </w:r>
    </w:p>
    <w:tbl>
      <w:tblPr>
        <w:tblW w:w="9473" w:type="dxa"/>
        <w:jc w:val="left"/>
        <w:tblInd w:w="0" w:type="dxa"/>
        <w:tblCellMar>
          <w:top w:w="28" w:type="dxa"/>
          <w:left w:w="28" w:type="dxa"/>
          <w:bottom w:w="28" w:type="dxa"/>
          <w:right w:w="28" w:type="dxa"/>
        </w:tblCellMar>
      </w:tblPr>
      <w:tblGrid>
        <w:gridCol w:w="124"/>
        <w:gridCol w:w="109"/>
        <w:gridCol w:w="109"/>
        <w:gridCol w:w="109"/>
        <w:gridCol w:w="109"/>
        <w:gridCol w:w="109"/>
        <w:gridCol w:w="2573"/>
        <w:gridCol w:w="2573"/>
        <w:gridCol w:w="36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36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4"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disclosure controls and procedures, or caused such disclosure controls and procedures to be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under our supervision, to ensure that material information relating to the registrant, including its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subsidiaries, is made known to us by others within those entities, particularly during the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in which this report is being prepared;</w:t>
            </w:r>
          </w:p>
        </w:tc>
      </w:tr>
    </w:tbl>
    <w:p>
      <w:pPr>
        <w:pStyle w:val="TextBody"/>
        <w:spacing w:before="120" w:after="283"/>
        <w:rPr/>
      </w:pPr>
      <w:r>
        <w:rPr/>
      </w:r>
    </w:p>
    <w:tbl>
      <w:tblPr>
        <w:tblW w:w="9521" w:type="dxa"/>
        <w:jc w:val="left"/>
        <w:tblInd w:w="0" w:type="dxa"/>
        <w:tblCellMar>
          <w:top w:w="28" w:type="dxa"/>
          <w:left w:w="28" w:type="dxa"/>
          <w:bottom w:w="28" w:type="dxa"/>
          <w:right w:w="28" w:type="dxa"/>
        </w:tblCellMar>
      </w:tblPr>
      <w:tblGrid>
        <w:gridCol w:w="124"/>
        <w:gridCol w:w="109"/>
        <w:gridCol w:w="109"/>
        <w:gridCol w:w="110"/>
        <w:gridCol w:w="110"/>
        <w:gridCol w:w="110"/>
        <w:gridCol w:w="2590"/>
        <w:gridCol w:w="2590"/>
        <w:gridCol w:w="36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w:t>
              <w:br/>
              <w:t xml:space="preserve">reporting to be designed under our supervision, to provide reasonable assurance regarding the reliability of </w:t>
              <w:br/>
              <w:t xml:space="preserve">financial reporting and the preparation of financial statements for external purposes in accordance with </w:t>
              <w:br/>
              <w:t>generally accepted accounting principles;</w:t>
            </w:r>
          </w:p>
        </w:tc>
      </w:tr>
    </w:tbl>
    <w:p>
      <w:pPr>
        <w:pStyle w:val="TextBody"/>
        <w:spacing w:before="120" w:after="283"/>
        <w:rPr/>
      </w:pPr>
      <w:r>
        <w:rPr/>
      </w:r>
    </w:p>
    <w:tbl>
      <w:tblPr>
        <w:tblW w:w="9264" w:type="dxa"/>
        <w:jc w:val="left"/>
        <w:tblInd w:w="0" w:type="dxa"/>
        <w:tblCellMar>
          <w:top w:w="28" w:type="dxa"/>
          <w:left w:w="28" w:type="dxa"/>
          <w:bottom w:w="28" w:type="dxa"/>
          <w:right w:w="28" w:type="dxa"/>
        </w:tblCellMar>
      </w:tblPr>
      <w:tblGrid>
        <w:gridCol w:w="124"/>
        <w:gridCol w:w="109"/>
        <w:gridCol w:w="109"/>
        <w:gridCol w:w="109"/>
        <w:gridCol w:w="109"/>
        <w:gridCol w:w="109"/>
        <w:gridCol w:w="2512"/>
        <w:gridCol w:w="2512"/>
        <w:gridCol w:w="35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8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the effectiveness of the registrant’s disclosure controls and procedures and presented in this </w:t>
              <w:br/>
              <w:t xml:space="preserve">report our conclusions about the effectiveness of the disclosure controls and procedures, as of the end of </w:t>
              <w:br/>
              <w:t>the period covered by this report based on such evaluation; and</w:t>
            </w:r>
          </w:p>
        </w:tc>
      </w:tr>
    </w:tbl>
    <w:p>
      <w:pPr>
        <w:pStyle w:val="TextBody"/>
        <w:spacing w:before="120" w:after="283"/>
        <w:rPr/>
      </w:pPr>
      <w:r>
        <w:rPr/>
      </w:r>
    </w:p>
    <w:tbl>
      <w:tblPr>
        <w:tblW w:w="9552" w:type="dxa"/>
        <w:jc w:val="left"/>
        <w:tblInd w:w="0" w:type="dxa"/>
        <w:tblCellMar>
          <w:top w:w="28" w:type="dxa"/>
          <w:left w:w="28" w:type="dxa"/>
          <w:bottom w:w="28" w:type="dxa"/>
          <w:right w:w="28" w:type="dxa"/>
        </w:tblCellMar>
      </w:tblPr>
      <w:tblGrid>
        <w:gridCol w:w="124"/>
        <w:gridCol w:w="109"/>
        <w:gridCol w:w="109"/>
        <w:gridCol w:w="110"/>
        <w:gridCol w:w="110"/>
        <w:gridCol w:w="110"/>
        <w:gridCol w:w="2594"/>
        <w:gridCol w:w="2594"/>
        <w:gridCol w:w="36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36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Disclosed in this report any change in the registrant’s internal control over financial reporting that occurred </w:t>
              <w:br/>
              <w:t xml:space="preserve">during the registrant’s most recent fiscal quarter (the registrant’s fourth fiscal quarter in the case of an </w:t>
              <w:br/>
              <w:t xml:space="preserve">annual report) that has materially affected, or is reasonably likely to materially affect, the registrant’s </w:t>
              <w:br/>
              <w:t>internal control over financial reporting; and</w:t>
            </w:r>
          </w:p>
        </w:tc>
      </w:tr>
    </w:tbl>
    <w:p>
      <w:pPr>
        <w:pStyle w:val="TextBody"/>
        <w:spacing w:lineRule="auto" w:line="333" w:before="0" w:after="0"/>
        <w:jc w:val="right"/>
        <w:rPr>
          <w:rFonts w:ascii="Times New Roman;sans-serif" w:hAnsi="Times New Roman;sans-serif"/>
          <w:b/>
          <w:color w:val="000000"/>
          <w:sz w:val="20"/>
          <w:highlight w:val="white"/>
        </w:rPr>
      </w:pPr>
      <w:r>
        <w:br w:type="page"/>
      </w: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31.1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120" w:after="283"/>
        <w:rPr/>
      </w:pPr>
      <w:r>
        <w:rPr/>
      </w:r>
    </w:p>
    <w:tbl>
      <w:tblPr>
        <w:tblW w:w="9431" w:type="dxa"/>
        <w:jc w:val="left"/>
        <w:tblInd w:w="0" w:type="dxa"/>
        <w:tblCellMar>
          <w:top w:w="28" w:type="dxa"/>
          <w:left w:w="28" w:type="dxa"/>
          <w:bottom w:w="28" w:type="dxa"/>
          <w:right w:w="28" w:type="dxa"/>
        </w:tblCellMar>
      </w:tblPr>
      <w:tblGrid>
        <w:gridCol w:w="124"/>
        <w:gridCol w:w="109"/>
        <w:gridCol w:w="109"/>
        <w:gridCol w:w="2655"/>
        <w:gridCol w:w="2655"/>
        <w:gridCol w:w="37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w:t>
              <w:br/>
              <w:t>control over financial reporting, to the registrant’s auditors and the audit committee of the registrant’s board of</w:t>
              <w:br/>
              <w:t>directors (or persons performing the equivalent functions):</w:t>
            </w:r>
          </w:p>
        </w:tc>
      </w:tr>
    </w:tbl>
    <w:p>
      <w:pPr>
        <w:pStyle w:val="TextBody"/>
        <w:spacing w:before="120" w:after="283"/>
        <w:rPr/>
      </w:pPr>
      <w:r>
        <w:rPr/>
      </w:r>
    </w:p>
    <w:tbl>
      <w:tblPr>
        <w:tblW w:w="9474" w:type="dxa"/>
        <w:jc w:val="left"/>
        <w:tblInd w:w="0" w:type="dxa"/>
        <w:tblCellMar>
          <w:top w:w="28" w:type="dxa"/>
          <w:left w:w="28" w:type="dxa"/>
          <w:bottom w:w="28" w:type="dxa"/>
          <w:right w:w="28" w:type="dxa"/>
        </w:tblCellMar>
      </w:tblPr>
      <w:tblGrid>
        <w:gridCol w:w="124"/>
        <w:gridCol w:w="109"/>
        <w:gridCol w:w="109"/>
        <w:gridCol w:w="109"/>
        <w:gridCol w:w="109"/>
        <w:gridCol w:w="109"/>
        <w:gridCol w:w="2579"/>
        <w:gridCol w:w="2579"/>
        <w:gridCol w:w="36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36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w:t>
              <w:br/>
              <w:t>financial reporting which are reasonably likely to adversely affect the registrant’s ability to record, process,</w:t>
              <w:br/>
              <w:t>summarize and report financial information; and</w:t>
            </w:r>
          </w:p>
        </w:tc>
      </w:tr>
    </w:tbl>
    <w:p>
      <w:pPr>
        <w:pStyle w:val="TextBody"/>
        <w:spacing w:before="120" w:after="283"/>
        <w:rPr/>
      </w:pPr>
      <w:r>
        <w:rPr/>
      </w:r>
    </w:p>
    <w:tbl>
      <w:tblPr>
        <w:tblW w:w="9296" w:type="dxa"/>
        <w:jc w:val="left"/>
        <w:tblInd w:w="0" w:type="dxa"/>
        <w:tblCellMar>
          <w:top w:w="28" w:type="dxa"/>
          <w:left w:w="28" w:type="dxa"/>
          <w:bottom w:w="28" w:type="dxa"/>
          <w:right w:w="28" w:type="dxa"/>
        </w:tblCellMar>
      </w:tblPr>
      <w:tblGrid>
        <w:gridCol w:w="124"/>
        <w:gridCol w:w="109"/>
        <w:gridCol w:w="109"/>
        <w:gridCol w:w="110"/>
        <w:gridCol w:w="110"/>
        <w:gridCol w:w="110"/>
        <w:gridCol w:w="2523"/>
        <w:gridCol w:w="2523"/>
        <w:gridCol w:w="35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35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w:t>
              <w:br/>
              <w:t>role in the registrant’s internal control over financial reporting.</w:t>
            </w:r>
          </w:p>
        </w:tc>
      </w:tr>
    </w:tbl>
    <w:p>
      <w:pPr>
        <w:pStyle w:val="TextBody"/>
        <w:spacing w:lineRule="auto" w:line="333" w:before="120" w:after="283"/>
        <w:rPr>
          <w:color w:val="000000"/>
        </w:rPr>
      </w:pPr>
      <w:r>
        <w:rPr>
          <w:color w:val="000000"/>
        </w:rPr>
        <w:t> </w:t>
      </w:r>
    </w:p>
    <w:tbl>
      <w:tblPr>
        <w:tblW w:w="6296" w:type="dxa"/>
        <w:jc w:val="left"/>
        <w:tblInd w:w="0" w:type="dxa"/>
        <w:tblCellMar>
          <w:top w:w="28" w:type="dxa"/>
          <w:left w:w="28" w:type="dxa"/>
          <w:bottom w:w="28" w:type="dxa"/>
          <w:right w:w="28" w:type="dxa"/>
        </w:tblCellMar>
      </w:tblPr>
      <w:tblGrid>
        <w:gridCol w:w="754"/>
        <w:gridCol w:w="664"/>
        <w:gridCol w:w="667"/>
        <w:gridCol w:w="134"/>
        <w:gridCol w:w="134"/>
        <w:gridCol w:w="136"/>
        <w:gridCol w:w="109"/>
        <w:gridCol w:w="109"/>
        <w:gridCol w:w="109"/>
        <w:gridCol w:w="1020"/>
        <w:gridCol w:w="1020"/>
        <w:gridCol w:w="1440"/>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/s/Angus Pacala</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0"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spacing w:lineRule="auto" w:line="333" w:before="0"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31.2</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CERTIFICATION </w:t>
      </w:r>
    </w:p>
    <w:p>
      <w:pPr>
        <w:pStyle w:val="TextBody"/>
        <w:spacing w:lineRule="auto" w:line="333"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Anna Brunelle, certify that:</w:t>
      </w:r>
    </w:p>
    <w:p>
      <w:pPr>
        <w:pStyle w:val="TextBody"/>
        <w:spacing w:before="0" w:after="0"/>
        <w:rPr/>
      </w:pPr>
      <w:r>
        <w:rPr/>
      </w:r>
    </w:p>
    <w:tbl>
      <w:tblPr>
        <w:tblW w:w="5757" w:type="dxa"/>
        <w:jc w:val="left"/>
        <w:tblInd w:w="0" w:type="dxa"/>
        <w:tblCellMar>
          <w:top w:w="28" w:type="dxa"/>
          <w:left w:w="28" w:type="dxa"/>
          <w:bottom w:w="28" w:type="dxa"/>
          <w:right w:w="28" w:type="dxa"/>
        </w:tblCellMar>
      </w:tblPr>
      <w:tblGrid>
        <w:gridCol w:w="124"/>
        <w:gridCol w:w="109"/>
        <w:gridCol w:w="109"/>
        <w:gridCol w:w="1583"/>
        <w:gridCol w:w="1583"/>
        <w:gridCol w:w="22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Ouster, Inc.;</w:t>
            </w:r>
          </w:p>
        </w:tc>
      </w:tr>
    </w:tbl>
    <w:p>
      <w:pPr>
        <w:pStyle w:val="TextBody"/>
        <w:spacing w:before="120" w:after="283"/>
        <w:rPr/>
      </w:pPr>
      <w:r>
        <w:rPr/>
      </w:r>
    </w:p>
    <w:tbl>
      <w:tblPr>
        <w:tblW w:w="9492" w:type="dxa"/>
        <w:jc w:val="left"/>
        <w:tblInd w:w="0" w:type="dxa"/>
        <w:tblCellMar>
          <w:top w:w="28" w:type="dxa"/>
          <w:left w:w="28" w:type="dxa"/>
          <w:bottom w:w="28" w:type="dxa"/>
          <w:right w:w="28" w:type="dxa"/>
        </w:tblCellMar>
      </w:tblPr>
      <w:tblGrid>
        <w:gridCol w:w="124"/>
        <w:gridCol w:w="109"/>
        <w:gridCol w:w="109"/>
        <w:gridCol w:w="2679"/>
        <w:gridCol w:w="2679"/>
        <w:gridCol w:w="37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37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5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this report does not contain any untrue statement of a material fact or omit to state a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fact necessary to make the statements made, in light of the circumstances under which such statements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were made, not misleading with respect to the period covered by this report;</w:t>
            </w:r>
          </w:p>
        </w:tc>
      </w:tr>
    </w:tbl>
    <w:p>
      <w:pPr>
        <w:pStyle w:val="TextBody"/>
        <w:spacing w:before="120" w:after="283"/>
        <w:rPr/>
      </w:pPr>
      <w:r>
        <w:rPr/>
      </w:r>
    </w:p>
    <w:tbl>
      <w:tblPr>
        <w:tblW w:w="9537" w:type="dxa"/>
        <w:jc w:val="left"/>
        <w:tblInd w:w="0" w:type="dxa"/>
        <w:tblCellMar>
          <w:top w:w="28" w:type="dxa"/>
          <w:left w:w="28" w:type="dxa"/>
          <w:bottom w:w="28" w:type="dxa"/>
          <w:right w:w="28" w:type="dxa"/>
        </w:tblCellMar>
      </w:tblPr>
      <w:tblGrid>
        <w:gridCol w:w="124"/>
        <w:gridCol w:w="109"/>
        <w:gridCol w:w="109"/>
        <w:gridCol w:w="2690"/>
        <w:gridCol w:w="2690"/>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1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the financial statements, and other financial information included in this report, fairly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in all material respects the financial condition, results of operations and cash flows of the registrant as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and for, the periods presented in this report;</w:t>
            </w:r>
          </w:p>
          <w:p>
            <w:pPr>
              <w:pStyle w:val="TableContents"/>
              <w:spacing w:before="0" w:after="0"/>
              <w:rPr/>
            </w:pPr>
            <w:r>
              <w:rPr/>
            </w:r>
          </w:p>
        </w:tc>
      </w:tr>
    </w:tbl>
    <w:p>
      <w:pPr>
        <w:pStyle w:val="TextBody"/>
        <w:spacing w:before="120" w:after="283"/>
        <w:rPr/>
      </w:pPr>
      <w:r>
        <w:rPr/>
      </w:r>
    </w:p>
    <w:tbl>
      <w:tblPr>
        <w:tblW w:w="9432" w:type="dxa"/>
        <w:jc w:val="left"/>
        <w:tblInd w:w="0" w:type="dxa"/>
        <w:tblCellMar>
          <w:top w:w="28" w:type="dxa"/>
          <w:left w:w="28" w:type="dxa"/>
          <w:bottom w:w="28" w:type="dxa"/>
          <w:right w:w="28" w:type="dxa"/>
        </w:tblCellMar>
      </w:tblPr>
      <w:tblGrid>
        <w:gridCol w:w="124"/>
        <w:gridCol w:w="109"/>
        <w:gridCol w:w="109"/>
        <w:gridCol w:w="2661"/>
        <w:gridCol w:w="2661"/>
        <w:gridCol w:w="37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37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09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other certifying officer and I are responsible for establishing and maintaining disclosure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controls and procedures (as defined in Exchange Act Rules 13a-15(e) and 15d-15(e)) and internal control over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reporting (as defined in Exchange Act Rules 13a-15(f) and 15d-15(f)) for the registrant and have:</w:t>
            </w:r>
          </w:p>
          <w:p>
            <w:pPr>
              <w:pStyle w:val="TableContents"/>
              <w:spacing w:before="0" w:after="0"/>
              <w:rPr/>
            </w:pPr>
            <w:r>
              <w:rPr/>
            </w:r>
          </w:p>
        </w:tc>
      </w:tr>
    </w:tbl>
    <w:p>
      <w:pPr>
        <w:pStyle w:val="TextBody"/>
        <w:spacing w:before="120" w:after="283"/>
        <w:rPr/>
      </w:pPr>
      <w:r>
        <w:rPr/>
      </w:r>
    </w:p>
    <w:tbl>
      <w:tblPr>
        <w:tblW w:w="9473" w:type="dxa"/>
        <w:jc w:val="left"/>
        <w:tblInd w:w="0" w:type="dxa"/>
        <w:tblCellMar>
          <w:top w:w="28" w:type="dxa"/>
          <w:left w:w="28" w:type="dxa"/>
          <w:bottom w:w="28" w:type="dxa"/>
          <w:right w:w="28" w:type="dxa"/>
        </w:tblCellMar>
      </w:tblPr>
      <w:tblGrid>
        <w:gridCol w:w="124"/>
        <w:gridCol w:w="109"/>
        <w:gridCol w:w="109"/>
        <w:gridCol w:w="109"/>
        <w:gridCol w:w="109"/>
        <w:gridCol w:w="109"/>
        <w:gridCol w:w="2573"/>
        <w:gridCol w:w="2573"/>
        <w:gridCol w:w="36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36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disclosure controls and procedures, or caused such disclosure controls and procedures to be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under our supervision, to ensure that material information relating to the registrant, including its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subsidiaries, is made known to us by others within those entities, particularly during the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in which this report is being prepared;</w:t>
            </w:r>
          </w:p>
        </w:tc>
      </w:tr>
    </w:tbl>
    <w:p>
      <w:pPr>
        <w:pStyle w:val="TextBody"/>
        <w:spacing w:before="120" w:after="283"/>
        <w:rPr/>
      </w:pPr>
      <w:r>
        <w:rPr/>
      </w:r>
    </w:p>
    <w:tbl>
      <w:tblPr>
        <w:tblW w:w="9521" w:type="dxa"/>
        <w:jc w:val="left"/>
        <w:tblInd w:w="0" w:type="dxa"/>
        <w:tblCellMar>
          <w:top w:w="28" w:type="dxa"/>
          <w:left w:w="28" w:type="dxa"/>
          <w:bottom w:w="28" w:type="dxa"/>
          <w:right w:w="28" w:type="dxa"/>
        </w:tblCellMar>
      </w:tblPr>
      <w:tblGrid>
        <w:gridCol w:w="124"/>
        <w:gridCol w:w="109"/>
        <w:gridCol w:w="109"/>
        <w:gridCol w:w="110"/>
        <w:gridCol w:w="110"/>
        <w:gridCol w:w="110"/>
        <w:gridCol w:w="2590"/>
        <w:gridCol w:w="2590"/>
        <w:gridCol w:w="36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84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reporting to be designed under our supervision, to provide reasonable assurance regarding the reliability of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reporting and the preparation of financial statements for external purposes in accordance with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w:t>
            </w:r>
          </w:p>
        </w:tc>
      </w:tr>
    </w:tbl>
    <w:p>
      <w:pPr>
        <w:pStyle w:val="TextBody"/>
        <w:spacing w:before="120" w:after="283"/>
        <w:rPr/>
      </w:pPr>
      <w:r>
        <w:rPr/>
      </w:r>
    </w:p>
    <w:tbl>
      <w:tblPr>
        <w:tblW w:w="9264" w:type="dxa"/>
        <w:jc w:val="left"/>
        <w:tblInd w:w="0" w:type="dxa"/>
        <w:tblCellMar>
          <w:top w:w="28" w:type="dxa"/>
          <w:left w:w="28" w:type="dxa"/>
          <w:bottom w:w="28" w:type="dxa"/>
          <w:right w:w="28" w:type="dxa"/>
        </w:tblCellMar>
      </w:tblPr>
      <w:tblGrid>
        <w:gridCol w:w="124"/>
        <w:gridCol w:w="109"/>
        <w:gridCol w:w="109"/>
        <w:gridCol w:w="109"/>
        <w:gridCol w:w="109"/>
        <w:gridCol w:w="109"/>
        <w:gridCol w:w="2512"/>
        <w:gridCol w:w="2512"/>
        <w:gridCol w:w="35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85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the effectiveness of the registrant’s disclosure controls and procedures and presented in this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our conclusions about the effectiveness of the disclosure controls and procedures, as of the end of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period covered by this report based on such evaluation; and</w:t>
            </w:r>
          </w:p>
        </w:tc>
      </w:tr>
    </w:tbl>
    <w:p>
      <w:pPr>
        <w:pStyle w:val="TextBody"/>
        <w:spacing w:before="120" w:after="283"/>
        <w:rPr/>
      </w:pPr>
      <w:r>
        <w:rPr/>
      </w:r>
    </w:p>
    <w:tbl>
      <w:tblPr>
        <w:tblW w:w="9552" w:type="dxa"/>
        <w:jc w:val="left"/>
        <w:tblInd w:w="0" w:type="dxa"/>
        <w:tblCellMar>
          <w:top w:w="28" w:type="dxa"/>
          <w:left w:w="28" w:type="dxa"/>
          <w:bottom w:w="28" w:type="dxa"/>
          <w:right w:w="28" w:type="dxa"/>
        </w:tblCellMar>
      </w:tblPr>
      <w:tblGrid>
        <w:gridCol w:w="124"/>
        <w:gridCol w:w="109"/>
        <w:gridCol w:w="109"/>
        <w:gridCol w:w="110"/>
        <w:gridCol w:w="110"/>
        <w:gridCol w:w="110"/>
        <w:gridCol w:w="2594"/>
        <w:gridCol w:w="2594"/>
        <w:gridCol w:w="36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36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8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Disclosed in this report any change in the registrant’s internal control over financial reporting that occurred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registrant’s most recent fiscal quarter (the registrant’s fourth fiscal quarter in the case of an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annual report) that has materially affected, or is reasonably likely to materially affect, the registrant’s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and</w:t>
            </w:r>
          </w:p>
          <w:p>
            <w:pPr>
              <w:pStyle w:val="TableContents"/>
              <w:spacing w:before="0" w:after="0"/>
              <w:rPr/>
            </w:pPr>
            <w:r>
              <w:rPr/>
            </w:r>
          </w:p>
        </w:tc>
      </w:tr>
    </w:tbl>
    <w:p>
      <w:pPr>
        <w:pStyle w:val="TextBody"/>
        <w:spacing w:lineRule="auto" w:line="333" w:before="0" w:after="0"/>
        <w:jc w:val="right"/>
        <w:rPr>
          <w:rFonts w:ascii="Times New Roman;sans-serif" w:hAnsi="Times New Roman;sans-serif"/>
          <w:b/>
          <w:color w:val="000000"/>
          <w:sz w:val="20"/>
          <w:highlight w:val="white"/>
        </w:rPr>
      </w:pPr>
      <w:r>
        <w:br w:type="page"/>
      </w: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31.2</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120" w:after="283"/>
        <w:rPr/>
      </w:pPr>
      <w:r>
        <w:rPr/>
      </w:r>
    </w:p>
    <w:tbl>
      <w:tblPr>
        <w:tblW w:w="9431" w:type="dxa"/>
        <w:jc w:val="left"/>
        <w:tblInd w:w="0" w:type="dxa"/>
        <w:tblCellMar>
          <w:top w:w="28" w:type="dxa"/>
          <w:left w:w="28" w:type="dxa"/>
          <w:bottom w:w="28" w:type="dxa"/>
          <w:right w:w="28" w:type="dxa"/>
        </w:tblCellMar>
      </w:tblPr>
      <w:tblGrid>
        <w:gridCol w:w="124"/>
        <w:gridCol w:w="109"/>
        <w:gridCol w:w="109"/>
        <w:gridCol w:w="2655"/>
        <w:gridCol w:w="2655"/>
        <w:gridCol w:w="37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0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 over financial reporting, to the registrant’s auditors and the audit committee of the registrant’s board of</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directors (or persons performing the equivalent functions):</w:t>
            </w:r>
          </w:p>
        </w:tc>
      </w:tr>
    </w:tbl>
    <w:p>
      <w:pPr>
        <w:pStyle w:val="TextBody"/>
        <w:spacing w:before="120" w:after="283"/>
        <w:rPr/>
      </w:pPr>
      <w:r>
        <w:rPr/>
      </w:r>
    </w:p>
    <w:tbl>
      <w:tblPr>
        <w:tblW w:w="9474" w:type="dxa"/>
        <w:jc w:val="left"/>
        <w:tblInd w:w="0" w:type="dxa"/>
        <w:tblCellMar>
          <w:top w:w="28" w:type="dxa"/>
          <w:left w:w="28" w:type="dxa"/>
          <w:bottom w:w="28" w:type="dxa"/>
          <w:right w:w="28" w:type="dxa"/>
        </w:tblCellMar>
      </w:tblPr>
      <w:tblGrid>
        <w:gridCol w:w="124"/>
        <w:gridCol w:w="109"/>
        <w:gridCol w:w="109"/>
        <w:gridCol w:w="109"/>
        <w:gridCol w:w="109"/>
        <w:gridCol w:w="109"/>
        <w:gridCol w:w="2579"/>
        <w:gridCol w:w="2579"/>
        <w:gridCol w:w="36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36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reporting which are reasonably likely to adversely affect the registrant’s ability to record, process,</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summarize and report financial information; and</w:t>
            </w:r>
          </w:p>
        </w:tc>
      </w:tr>
    </w:tbl>
    <w:p>
      <w:pPr>
        <w:pStyle w:val="TextBody"/>
        <w:spacing w:before="120" w:after="283"/>
        <w:rPr/>
      </w:pPr>
      <w:r>
        <w:rPr/>
      </w:r>
    </w:p>
    <w:tbl>
      <w:tblPr>
        <w:tblW w:w="9296" w:type="dxa"/>
        <w:jc w:val="left"/>
        <w:tblInd w:w="0" w:type="dxa"/>
        <w:tblCellMar>
          <w:top w:w="28" w:type="dxa"/>
          <w:left w:w="28" w:type="dxa"/>
          <w:bottom w:w="28" w:type="dxa"/>
          <w:right w:w="28" w:type="dxa"/>
        </w:tblCellMar>
      </w:tblPr>
      <w:tblGrid>
        <w:gridCol w:w="124"/>
        <w:gridCol w:w="109"/>
        <w:gridCol w:w="109"/>
        <w:gridCol w:w="110"/>
        <w:gridCol w:w="110"/>
        <w:gridCol w:w="110"/>
        <w:gridCol w:w="2523"/>
        <w:gridCol w:w="2523"/>
        <w:gridCol w:w="35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35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62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role in the registrant’s internal control over financial reporting.</w:t>
            </w:r>
          </w:p>
          <w:p>
            <w:pPr>
              <w:pStyle w:val="TableContents"/>
              <w:spacing w:before="0" w:after="0"/>
              <w:rPr/>
            </w:pPr>
            <w:r>
              <w:rPr/>
            </w:r>
          </w:p>
        </w:tc>
      </w:tr>
    </w:tbl>
    <w:p>
      <w:pPr>
        <w:pStyle w:val="TextBody"/>
        <w:spacing w:lineRule="auto" w:line="333" w:before="120" w:after="283"/>
        <w:rPr>
          <w:color w:val="000000"/>
        </w:rPr>
      </w:pPr>
      <w:r>
        <w:rPr>
          <w:color w:val="000000"/>
        </w:rPr>
        <w:t> </w:t>
      </w:r>
    </w:p>
    <w:tbl>
      <w:tblPr>
        <w:tblW w:w="5230" w:type="dxa"/>
        <w:jc w:val="left"/>
        <w:tblInd w:w="0" w:type="dxa"/>
        <w:tblCellMar>
          <w:top w:w="28" w:type="dxa"/>
          <w:left w:w="28" w:type="dxa"/>
          <w:bottom w:w="28" w:type="dxa"/>
          <w:right w:w="28" w:type="dxa"/>
        </w:tblCellMar>
      </w:tblPr>
      <w:tblGrid>
        <w:gridCol w:w="754"/>
        <w:gridCol w:w="664"/>
        <w:gridCol w:w="667"/>
        <w:gridCol w:w="134"/>
        <w:gridCol w:w="134"/>
        <w:gridCol w:w="136"/>
        <w:gridCol w:w="109"/>
        <w:gridCol w:w="109"/>
        <w:gridCol w:w="109"/>
        <w:gridCol w:w="705"/>
        <w:gridCol w:w="705"/>
        <w:gridCol w:w="1004"/>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Brunelle</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Brunelle</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4"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333" w:before="0" w:after="3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spacing w:lineRule="auto" w:line="333" w:before="120" w:after="283"/>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32.1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rPr>
          <w:color w:val="000000"/>
        </w:rPr>
      </w:pPr>
      <w:r>
        <w:rPr>
          <w:color w:val="000000"/>
        </w:rPr>
        <w:t>  </w:t>
      </w:r>
    </w:p>
    <w:p>
      <w:pPr>
        <w:pStyle w:val="TextBody"/>
        <w:spacing w:before="0" w:after="0"/>
        <w:jc w:val="right"/>
        <w:rPr/>
      </w:pPr>
      <w:r>
        <w:rPr/>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before="0" w:after="0"/>
        <w:jc w:val="center"/>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of Ouster, Inc. (the “Company”) for the period ended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2021 as filed with the Securities and Exchange Commission on the date hereof (the “Report”), I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certify, pursuant to 18 U.S.C. § 1350, as adopted pursuant to § 906 of the Sarbanes-Oxley Act of 2002, that:</w:t>
      </w:r>
    </w:p>
    <w:p>
      <w:pPr>
        <w:pStyle w:val="TextBody"/>
        <w:spacing w:before="0" w:after="0"/>
        <w:rPr/>
      </w:pPr>
      <w:r>
        <w:rPr/>
      </w:r>
    </w:p>
    <w:tbl>
      <w:tblPr>
        <w:tblW w:w="9281" w:type="dxa"/>
        <w:jc w:val="left"/>
        <w:tblInd w:w="0" w:type="dxa"/>
        <w:tblCellMar>
          <w:top w:w="28" w:type="dxa"/>
          <w:left w:w="28" w:type="dxa"/>
          <w:bottom w:w="28" w:type="dxa"/>
          <w:right w:w="28" w:type="dxa"/>
        </w:tblCellMar>
      </w:tblPr>
      <w:tblGrid>
        <w:gridCol w:w="124"/>
        <w:gridCol w:w="109"/>
        <w:gridCol w:w="109"/>
        <w:gridCol w:w="110"/>
        <w:gridCol w:w="110"/>
        <w:gridCol w:w="110"/>
        <w:gridCol w:w="2516"/>
        <w:gridCol w:w="2516"/>
        <w:gridCol w:w="35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35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br/>
              <w:t>of 1934; and</w:t>
            </w:r>
          </w:p>
        </w:tc>
      </w:tr>
    </w:tbl>
    <w:p>
      <w:pPr>
        <w:pStyle w:val="TextBody"/>
        <w:spacing w:before="120" w:after="283"/>
        <w:rPr/>
      </w:pPr>
      <w:r>
        <w:rPr/>
      </w:r>
    </w:p>
    <w:tbl>
      <w:tblPr>
        <w:tblW w:w="9492" w:type="dxa"/>
        <w:jc w:val="left"/>
        <w:tblInd w:w="0" w:type="dxa"/>
        <w:tblCellMar>
          <w:top w:w="28" w:type="dxa"/>
          <w:left w:w="28" w:type="dxa"/>
          <w:bottom w:w="28" w:type="dxa"/>
          <w:right w:w="28" w:type="dxa"/>
        </w:tblCellMar>
      </w:tblPr>
      <w:tblGrid>
        <w:gridCol w:w="124"/>
        <w:gridCol w:w="109"/>
        <w:gridCol w:w="109"/>
        <w:gridCol w:w="110"/>
        <w:gridCol w:w="110"/>
        <w:gridCol w:w="110"/>
        <w:gridCol w:w="2580"/>
        <w:gridCol w:w="2580"/>
        <w:gridCol w:w="36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36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br/>
              <w:t>results of operations of the Company.</w:t>
            </w:r>
          </w:p>
        </w:tc>
      </w:tr>
    </w:tbl>
    <w:p>
      <w:pPr>
        <w:pStyle w:val="TextBody"/>
        <w:spacing w:lineRule="auto" w:line="333" w:before="120" w:after="283"/>
        <w:rPr>
          <w:color w:val="000000"/>
        </w:rPr>
      </w:pPr>
      <w:r>
        <w:rPr>
          <w:color w:val="000000"/>
        </w:rPr>
        <w:t> </w:t>
      </w:r>
    </w:p>
    <w:tbl>
      <w:tblPr>
        <w:tblW w:w="6296" w:type="dxa"/>
        <w:jc w:val="left"/>
        <w:tblInd w:w="0" w:type="dxa"/>
        <w:tblCellMar>
          <w:top w:w="28" w:type="dxa"/>
          <w:left w:w="28" w:type="dxa"/>
          <w:bottom w:w="28" w:type="dxa"/>
          <w:right w:w="28" w:type="dxa"/>
        </w:tblCellMar>
      </w:tblPr>
      <w:tblGrid>
        <w:gridCol w:w="754"/>
        <w:gridCol w:w="664"/>
        <w:gridCol w:w="667"/>
        <w:gridCol w:w="134"/>
        <w:gridCol w:w="134"/>
        <w:gridCol w:w="136"/>
        <w:gridCol w:w="109"/>
        <w:gridCol w:w="109"/>
        <w:gridCol w:w="109"/>
        <w:gridCol w:w="1020"/>
        <w:gridCol w:w="1020"/>
        <w:gridCol w:w="1440"/>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/s/Angus Pacala</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0"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spacing w:lineRule="auto" w:line="333" w:before="0" w:after="3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spacing w:lineRule="auto" w:line="333" w:before="120" w:after="283"/>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32.2</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333"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before="24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of Ouster, Inc. (the “Company”) for the period ended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2021 as filed with the Securities and Exchange Commission on the date hereof (the “Report”), I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certify, pursuant to 18 U.S.C. § 1350, as adopted pursuant to § 906 of the Sarbanes-Oxley Act of 2002, that:</w:t>
      </w:r>
    </w:p>
    <w:p>
      <w:pPr>
        <w:pStyle w:val="TextBody"/>
        <w:spacing w:before="0" w:after="0"/>
        <w:rPr/>
      </w:pPr>
      <w:r>
        <w:rPr/>
      </w:r>
    </w:p>
    <w:tbl>
      <w:tblPr>
        <w:tblW w:w="9281" w:type="dxa"/>
        <w:jc w:val="left"/>
        <w:tblInd w:w="0" w:type="dxa"/>
        <w:tblCellMar>
          <w:top w:w="28" w:type="dxa"/>
          <w:left w:w="28" w:type="dxa"/>
          <w:bottom w:w="28" w:type="dxa"/>
          <w:right w:w="28" w:type="dxa"/>
        </w:tblCellMar>
      </w:tblPr>
      <w:tblGrid>
        <w:gridCol w:w="124"/>
        <w:gridCol w:w="109"/>
        <w:gridCol w:w="109"/>
        <w:gridCol w:w="110"/>
        <w:gridCol w:w="110"/>
        <w:gridCol w:w="110"/>
        <w:gridCol w:w="2516"/>
        <w:gridCol w:w="2516"/>
        <w:gridCol w:w="35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35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br/>
              <w:t>of 1934; and</w:t>
            </w:r>
          </w:p>
        </w:tc>
      </w:tr>
    </w:tbl>
    <w:p>
      <w:pPr>
        <w:pStyle w:val="TextBody"/>
        <w:spacing w:before="120" w:after="283"/>
        <w:rPr/>
      </w:pPr>
      <w:r>
        <w:rPr/>
      </w:r>
    </w:p>
    <w:tbl>
      <w:tblPr>
        <w:tblW w:w="9492" w:type="dxa"/>
        <w:jc w:val="left"/>
        <w:tblInd w:w="0" w:type="dxa"/>
        <w:tblCellMar>
          <w:top w:w="28" w:type="dxa"/>
          <w:left w:w="28" w:type="dxa"/>
          <w:bottom w:w="28" w:type="dxa"/>
          <w:right w:w="28" w:type="dxa"/>
        </w:tblCellMar>
      </w:tblPr>
      <w:tblGrid>
        <w:gridCol w:w="124"/>
        <w:gridCol w:w="109"/>
        <w:gridCol w:w="109"/>
        <w:gridCol w:w="110"/>
        <w:gridCol w:w="110"/>
        <w:gridCol w:w="110"/>
        <w:gridCol w:w="2580"/>
        <w:gridCol w:w="2580"/>
        <w:gridCol w:w="36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36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br/>
              <w:t>results of operations of the Company.</w:t>
            </w:r>
          </w:p>
        </w:tc>
      </w:tr>
    </w:tbl>
    <w:p>
      <w:pPr>
        <w:pStyle w:val="TextBody"/>
        <w:spacing w:lineRule="auto" w:line="333" w:before="120" w:after="283"/>
        <w:rPr>
          <w:color w:val="000000"/>
        </w:rPr>
      </w:pPr>
      <w:r>
        <w:rPr>
          <w:color w:val="000000"/>
        </w:rPr>
        <w:t> </w:t>
      </w:r>
    </w:p>
    <w:tbl>
      <w:tblPr>
        <w:tblW w:w="5230" w:type="dxa"/>
        <w:jc w:val="left"/>
        <w:tblInd w:w="0" w:type="dxa"/>
        <w:tblCellMar>
          <w:top w:w="28" w:type="dxa"/>
          <w:left w:w="28" w:type="dxa"/>
          <w:bottom w:w="28" w:type="dxa"/>
          <w:right w:w="28" w:type="dxa"/>
        </w:tblCellMar>
      </w:tblPr>
      <w:tblGrid>
        <w:gridCol w:w="754"/>
        <w:gridCol w:w="664"/>
        <w:gridCol w:w="667"/>
        <w:gridCol w:w="134"/>
        <w:gridCol w:w="134"/>
        <w:gridCol w:w="136"/>
        <w:gridCol w:w="109"/>
        <w:gridCol w:w="109"/>
        <w:gridCol w:w="109"/>
        <w:gridCol w:w="705"/>
        <w:gridCol w:w="705"/>
        <w:gridCol w:w="1004"/>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Brunelle</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Brunelle</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4"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333" w:before="0" w:after="3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spacing w:lineRule="auto" w:line="333" w:before="120" w:after="283"/>
        <w:rPr>
          <w:color w:val="000000"/>
        </w:rPr>
      </w:pPr>
      <w:r>
        <w:rPr>
          <w:color w:val="000000"/>
        </w:rPr>
        <w:t> </w:t>
      </w:r>
    </w:p>
    <w:p>
      <w:pPr>
        <w:pStyle w:val="TextBody"/>
        <w:spacing w:lineRule="auto" w:line="333" w:before="240" w:after="283"/>
        <w:rPr>
          <w:color w:val="000000"/>
        </w:rPr>
      </w:pPr>
      <w:r>
        <w:rPr>
          <w:color w:val="000000"/>
        </w:rPr>
        <w:t> </w:t>
      </w:r>
      <w:r>
        <w:br w:type="page"/>
      </w:r>
    </w:p>
    <w:p>
      <w:pPr>
        <w:pStyle w:val="TextBody"/>
        <w:spacing w:before="0" w:after="283"/>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Times">
    <w:altName w:val="Times New Roman"/>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0001816581/000119312521076326/d149743dex31.htm" TargetMode="External"/><Relationship Id="rId9" Type="http://schemas.openxmlformats.org/officeDocument/2006/relationships/hyperlink" Target="https://www.sec.gov/Archives/edgar/data/0001816581/000119312521076326/d149743dex31.htm" TargetMode="External"/><Relationship Id="rId10" Type="http://schemas.openxmlformats.org/officeDocument/2006/relationships/hyperlink" Target="https://www.sec.gov/Archives/edgar/data/0001816581/000119312521076326/d149743dex32.htm" TargetMode="External"/><Relationship Id="rId11" Type="http://schemas.openxmlformats.org/officeDocument/2006/relationships/hyperlink" Target="https://www.sec.gov/Archives/edgar/data/0001816581/000119312521076326/d149743dex32.htm" TargetMode="External"/><Relationship Id="rId12" Type="http://schemas.openxmlformats.org/officeDocument/2006/relationships/hyperlink" Target="https://www.sec.gov/Archives/edgar/data/0001816581/000119312520229870/d938278dex41.htm" TargetMode="External"/><Relationship Id="rId13" Type="http://schemas.openxmlformats.org/officeDocument/2006/relationships/hyperlink" Target="https://www.sec.gov/Archives/edgar/data/0001816581/000119312520229870/d938278dex41.htm" TargetMode="External"/><Relationship Id="rId14" Type="http://schemas.openxmlformats.org/officeDocument/2006/relationships/hyperlink" Target="https://www.sec.gov/Archives/edgar/data/0001816581/000119312520229870/d938278dex41.htm" TargetMode="External"/><Relationship Id="rId15" Type="http://schemas.openxmlformats.org/officeDocument/2006/relationships/hyperlink" Target="https://www.sec.gov/Archives/edgar/data/0001816581/000119312520229870/d938278dex41.htm" TargetMode="External"/><Relationship Id="rId16" Type="http://schemas.openxmlformats.org/officeDocument/2006/relationships/hyperlink" Target="https://www.sec.gov/Archives/edgar/data/0001816581/000119312520209451/d937985dex43.htm" TargetMode="External"/><Relationship Id="rId17" Type="http://schemas.openxmlformats.org/officeDocument/2006/relationships/hyperlink" Target="https://www.sec.gov/Archives/edgar/data/0001816581/000119312520209451/d937985dex43.htm" TargetMode="External"/><Relationship Id="rId18" Type="http://schemas.openxmlformats.org/officeDocument/2006/relationships/hyperlink" Target="https://www.sec.gov/Archives/edgar/data/0001816581/000119312520209451/d937985dex43.htm" TargetMode="External"/><Relationship Id="rId19" Type="http://schemas.openxmlformats.org/officeDocument/2006/relationships/hyperlink" Target="https://www.sec.gov/Archives/edgar/data/0001816581/000119312521080038/d122652dex102.htm" TargetMode="External"/><Relationship Id="rId20" Type="http://schemas.openxmlformats.org/officeDocument/2006/relationships/hyperlink" Target="https://www.sec.gov/Archives/edgar/data/0001816581/000119312521080038/d122652dex102.htm" TargetMode="External"/><Relationship Id="rId21" Type="http://schemas.openxmlformats.org/officeDocument/2006/relationships/hyperlink" Target="https://www.sec.gov/Archives/edgar/data/0001816581/000119312521080038/d122652dex103.htm" TargetMode="External"/><Relationship Id="rId22" Type="http://schemas.openxmlformats.org/officeDocument/2006/relationships/hyperlink" Target="https://www.sec.gov/Archives/edgar/data/0001816581/000119312521080038/d122652dex103.htm" TargetMode="External"/><Relationship Id="rId23" Type="http://schemas.openxmlformats.org/officeDocument/2006/relationships/hyperlink" Target="https://www.sec.gov/Archives/edgar/data/0001816581/000119312521080038/d122652dex103.htm" TargetMode="External"/><Relationship Id="rId24" Type="http://schemas.openxmlformats.org/officeDocument/2006/relationships/hyperlink" Target="http://www.sec.gov/Archives/edgar/data/1816581/000119312520324674/d10549dex105a.htm" TargetMode="External"/><Relationship Id="rId25" Type="http://schemas.openxmlformats.org/officeDocument/2006/relationships/hyperlink" Target="http://www.sec.gov/Archives/edgar/data/1816581/000119312520324674/d10549dex105a.htm" TargetMode="External"/><Relationship Id="rId26" Type="http://schemas.openxmlformats.org/officeDocument/2006/relationships/hyperlink" Target="http://www.sec.gov/Archives/edgar/data/1816581/000119312521080038/d122652dex103b.htm" TargetMode="External"/><Relationship Id="rId27" Type="http://schemas.openxmlformats.org/officeDocument/2006/relationships/hyperlink" Target="http://www.sec.gov/Archives/edgar/data/1816581/000119312521080038/d122652dex103b.htm" TargetMode="External"/><Relationship Id="rId28" Type="http://schemas.openxmlformats.org/officeDocument/2006/relationships/hyperlink" Target="http://www.sec.gov/Archives/edgar/data/1816581/000119312520324674/d10549dex106.htm" TargetMode="External"/><Relationship Id="rId29" Type="http://schemas.openxmlformats.org/officeDocument/2006/relationships/hyperlink" Target="http://www.sec.gov/Archives/edgar/data/1816581/000119312520324674/d10549dex106.htm" TargetMode="External"/><Relationship Id="rId30" Type="http://schemas.openxmlformats.org/officeDocument/2006/relationships/hyperlink" Target="http://www.sec.gov/Archives/edgar/data/1816581/000119312521019642/d10549dex1013.htm" TargetMode="External"/><Relationship Id="rId31" Type="http://schemas.openxmlformats.org/officeDocument/2006/relationships/hyperlink" Target="http://www.sec.gov/Archives/edgar/data/1816581/000119312521019642/d10549dex1013.htm" TargetMode="External"/><Relationship Id="rId32" Type="http://schemas.openxmlformats.org/officeDocument/2006/relationships/hyperlink" Target="http://www.sec.gov/Archives/edgar/data/1816581/000119312521019642/d10549dex1013a.htm" TargetMode="External"/><Relationship Id="rId33" Type="http://schemas.openxmlformats.org/officeDocument/2006/relationships/hyperlink" Target="http://www.sec.gov/Archives/edgar/data/1816581/000119312521019642/d10549dex1013a.htm" TargetMode="External"/><Relationship Id="rId34" Type="http://schemas.openxmlformats.org/officeDocument/2006/relationships/hyperlink" Target="http://www.sec.gov/Archives/edgar/data/1816581/000119312521019642/d10549dex1013b.htm" TargetMode="External"/><Relationship Id="rId35" Type="http://schemas.openxmlformats.org/officeDocument/2006/relationships/hyperlink" Target="http://www.sec.gov/Archives/edgar/data/1816581/000119312521019642/d10549dex1013b.htm" TargetMode="External"/><Relationship Id="rId36" Type="http://schemas.openxmlformats.org/officeDocument/2006/relationships/hyperlink" Target="http://www.sec.gov/Archives/edgar/data/1816581/000119312521019642/d10549dex1013c.htm" TargetMode="External"/><Relationship Id="rId37" Type="http://schemas.openxmlformats.org/officeDocument/2006/relationships/hyperlink" Target="http://www.sec.gov/Archives/edgar/data/1816581/000119312521019642/d10549dex1013c.htm" TargetMode="External"/><Relationship Id="rId38" Type="http://schemas.openxmlformats.org/officeDocument/2006/relationships/hyperlink" Target="http://www.sec.gov/Archives/edgar/data/1816581/000119312521019642/d10549dex1013d.htm" TargetMode="External"/><Relationship Id="rId39" Type="http://schemas.openxmlformats.org/officeDocument/2006/relationships/hyperlink" Target="http://www.sec.gov/Archives/edgar/data/1816581/000119312521019642/d10549dex1013d.htm" TargetMode="External"/><Relationship Id="rId40" Type="http://schemas.openxmlformats.org/officeDocument/2006/relationships/hyperlink" Target="http://www.sec.gov/Archives/edgar/data/1816581/000119312521019642/d10549dex1013e.htm" TargetMode="External"/><Relationship Id="rId41" Type="http://schemas.openxmlformats.org/officeDocument/2006/relationships/hyperlink" Target="http://www.sec.gov/Archives/edgar/data/1816581/000119312521019642/d10549dex1013e.htm" TargetMode="External"/><Relationship Id="rId42" Type="http://schemas.openxmlformats.org/officeDocument/2006/relationships/hyperlink" Target="http://www.sec.gov/Archives/edgar/data/1816581/000119312521019642/d10549dex1013f.htm" TargetMode="External"/><Relationship Id="rId43" Type="http://schemas.openxmlformats.org/officeDocument/2006/relationships/hyperlink" Target="http://www.sec.gov/Archives/edgar/data/1816581/000119312521019642/d10549dex1013f.htm" TargetMode="External"/><Relationship Id="rId44" Type="http://schemas.openxmlformats.org/officeDocument/2006/relationships/hyperlink" Target="http://www.sec.gov/Archives/edgar/data/1816581/000119312521019642/d10549dex1013g.htm" TargetMode="External"/><Relationship Id="rId45" Type="http://schemas.openxmlformats.org/officeDocument/2006/relationships/hyperlink" Target="http://www.sec.gov/Archives/edgar/data/1816581/000119312521019642/d10549dex1013g.htm" TargetMode="External"/><Relationship Id="rId46" Type="http://schemas.openxmlformats.org/officeDocument/2006/relationships/hyperlink" Target="http://www.sec.gov/Archives/edgar/data/1816581/000119312521019642/d10549dex1014.htm" TargetMode="External"/><Relationship Id="rId47" Type="http://schemas.openxmlformats.org/officeDocument/2006/relationships/hyperlink" Target="http://www.sec.gov/Archives/edgar/data/1816581/000119312521019642/d10549dex1014.htm" TargetMode="External"/><Relationship Id="rId48" Type="http://schemas.openxmlformats.org/officeDocument/2006/relationships/hyperlink" Target="http://www.sec.gov/Archives/edgar/data/1816581/000119312521019642/d10549dex1014a.htm" TargetMode="External"/><Relationship Id="rId49" Type="http://schemas.openxmlformats.org/officeDocument/2006/relationships/hyperlink" Target="http://www.sec.gov/Archives/edgar/data/1816581/000119312521019642/d10549dex1014a.htm" TargetMode="External"/><Relationship Id="rId50" Type="http://schemas.openxmlformats.org/officeDocument/2006/relationships/hyperlink" Target="http://www.sec.gov/Archives/edgar/data/1816581/000119312521019642/d10549dex1014b.htm" TargetMode="External"/><Relationship Id="rId51" Type="http://schemas.openxmlformats.org/officeDocument/2006/relationships/hyperlink" Target="http://www.sec.gov/Archives/edgar/data/1816581/000119312521019642/d10549dex1014b.htm" TargetMode="External"/><Relationship Id="rId52" Type="http://schemas.openxmlformats.org/officeDocument/2006/relationships/hyperlink" Target="https://www.sec.gov/Archives/edgar/data/0001816581/000119312521291627/d217527dex21.htm" TargetMode="External"/><Relationship Id="rId53" Type="http://schemas.openxmlformats.org/officeDocument/2006/relationships/hyperlink" Target="https://www.sec.gov/Archives/edgar/data/0001816581/000119312521291627/d217527dex21.htm" TargetMode="External"/><Relationship Id="rId54" Type="http://schemas.openxmlformats.org/officeDocument/2006/relationships/hyperlink" Target="https://www.sec.gov/Archives/edgar/data/0001816581/000119312521311897/d245371dex991.htm" TargetMode="External"/><Relationship Id="rId55" Type="http://schemas.openxmlformats.org/officeDocument/2006/relationships/hyperlink" Target="https://www.sec.gov/Archives/edgar/data/0001816581/000119312521311897/d245371dex991.htm" TargetMode="External"/><Relationship Id="rId56" Type="http://schemas.openxmlformats.org/officeDocument/2006/relationships/hyperlink" Target="http://www.sec.gov/Archives/edgar/data/1816581/000119312521104385/d156556dex109.htm" TargetMode="External"/><Relationship Id="rId57" Type="http://schemas.openxmlformats.org/officeDocument/2006/relationships/hyperlink" Target="http://www.sec.gov/Archives/edgar/data/1816581/000119312521104385/d156556dex109.htm" TargetMode="External"/><Relationship Id="rId58" Type="http://schemas.openxmlformats.org/officeDocument/2006/relationships/hyperlink" Target="http://www.sec.gov/Archives/edgar/data/1816581/000119312521104385/d156556dex109a.htm" TargetMode="External"/><Relationship Id="rId59" Type="http://schemas.openxmlformats.org/officeDocument/2006/relationships/hyperlink" Target="http://www.sec.gov/Archives/edgar/data/1816581/000119312521104385/d156556dex109a.htm" TargetMode="External"/><Relationship Id="rId60" Type="http://schemas.openxmlformats.org/officeDocument/2006/relationships/hyperlink" Target="http://www.sec.gov/Archives/edgar/data/1816581/000119312521104385/d156556dex109b.htm" TargetMode="External"/><Relationship Id="rId61" Type="http://schemas.openxmlformats.org/officeDocument/2006/relationships/hyperlink" Target="http://www.sec.gov/Archives/edgar/data/1816581/000119312521104385/d156556dex109b.htm" TargetMode="External"/><Relationship Id="rId62" Type="http://schemas.openxmlformats.org/officeDocument/2006/relationships/hyperlink" Target="http://www.sec.gov/Archives/edgar/data/1816581/000119312521104385/d156556dex109c.htm" TargetMode="External"/><Relationship Id="rId63" Type="http://schemas.openxmlformats.org/officeDocument/2006/relationships/hyperlink" Target="http://www.sec.gov/Archives/edgar/data/1816581/000119312521104385/d156556dex109c.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50</Pages>
  <Words>106597</Words>
  <CharactersWithSpaces>689060</CharactersWithSpaces>
  <Paragraphs>5766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