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7"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(Mark One)</w:t>
      </w:r>
    </w:p>
    <w:p>
      <w:pPr>
        <w:spacing w:after="0" w:line="35" w:lineRule="exact"/>
        <w:rPr>
          <w:sz w:val="24"/>
          <w:szCs w:val="24"/>
          <w:color w:val="auto"/>
        </w:rPr>
      </w:pPr>
    </w:p>
    <w:p>
      <w:pPr>
        <w:ind w:left="1760" w:hanging="686"/>
        <w:spacing w:after="0"/>
        <w:tabs>
          <w:tab w:leader="none" w:pos="17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78" w:lineRule="exact"/>
        <w:rPr>
          <w:sz w:val="24"/>
          <w:szCs w:val="24"/>
          <w:color w:val="auto"/>
        </w:rPr>
      </w:pPr>
    </w:p>
    <w:p>
      <w:pPr>
        <w:ind w:left="1760" w:hanging="686"/>
        <w:spacing w:after="0"/>
        <w:tabs>
          <w:tab w:leader="none" w:pos="17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240"/>
          </w:cols>
          <w:pgMar w:left="320" w:top="1295" w:right="339" w:bottom="484" w:gutter="0" w:footer="0" w:header="0"/>
        </w:sectPr>
      </w:pPr>
    </w:p>
    <w:p>
      <w:pPr>
        <w:spacing w:after="0" w:line="358"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For the transition period from</w:t>
      </w:r>
    </w:p>
    <w:p>
      <w:pPr>
        <w:spacing w:after="0" w:line="23" w:lineRule="exact"/>
        <w:rPr>
          <w:sz w:val="24"/>
          <w:szCs w:val="24"/>
          <w:color w:val="auto"/>
        </w:rPr>
      </w:pPr>
    </w:p>
    <w:p>
      <w:pPr>
        <w:ind w:left="4260"/>
        <w:spacing w:after="0"/>
        <w:rPr>
          <w:sz w:val="20"/>
          <w:szCs w:val="20"/>
          <w:color w:val="auto"/>
        </w:rPr>
      </w:pPr>
      <w:r>
        <w:rPr>
          <w:rFonts w:ascii="Arial" w:cs="Arial" w:eastAsia="Arial" w:hAnsi="Arial"/>
          <w:sz w:val="16"/>
          <w:szCs w:val="16"/>
          <w:color w:val="auto"/>
        </w:rPr>
        <w:t>Commission File Number: 001-39463</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601" w:lineRule="exact"/>
        <w:rPr>
          <w:sz w:val="24"/>
          <w:szCs w:val="24"/>
          <w:color w:val="auto"/>
        </w:rPr>
      </w:pPr>
    </w:p>
    <w:p>
      <w:pPr>
        <w:sectPr>
          <w:pgSz w:w="11900" w:h="16838" w:orient="portrait"/>
          <w:cols w:equalWidth="0" w:num="2">
            <w:col w:w="7000" w:space="120"/>
            <w:col w:w="4120"/>
          </w:cols>
          <w:pgMar w:left="320" w:top="1295" w:right="339" w:bottom="484" w:gutter="0" w:footer="0" w:header="0"/>
          <w:type w:val="continuous"/>
        </w:sectPr>
      </w:pPr>
    </w:p>
    <w:tbl>
      <w:tblPr>
        <w:tblLayout w:type="fixed"/>
        <w:tblInd w:w="0" w:type="dxa"/>
        <w:tblCellMar>
          <w:top w:w="0" w:type="dxa"/>
          <w:left w:w="0" w:type="dxa"/>
          <w:bottom w:w="0" w:type="dxa"/>
          <w:right w:w="0" w:type="dxa"/>
        </w:tblCellMar>
      </w:tblPr>
      <w:tr>
        <w:trPr>
          <w:trHeight w:val="443"/>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400"/>
              <w:spacing w:after="0"/>
              <w:rPr>
                <w:sz w:val="20"/>
                <w:szCs w:val="20"/>
                <w:color w:val="auto"/>
              </w:rPr>
            </w:pPr>
            <w:r>
              <w:rPr>
                <w:rFonts w:ascii="Arial" w:cs="Arial" w:eastAsia="Arial" w:hAnsi="Arial"/>
                <w:sz w:val="36"/>
                <w:szCs w:val="36"/>
                <w:b w:val="1"/>
                <w:bCs w:val="1"/>
                <w:color w:val="auto"/>
                <w:w w:val="90"/>
              </w:rPr>
              <w:t>Ouster, Inc.</w:t>
            </w:r>
          </w:p>
        </w:tc>
        <w:tc>
          <w:tcPr>
            <w:tcW w:w="3260" w:type="dxa"/>
            <w:vAlign w:val="bottom"/>
          </w:tcPr>
          <w:p>
            <w:pPr>
              <w:spacing w:after="0"/>
              <w:rPr>
                <w:sz w:val="24"/>
                <w:szCs w:val="24"/>
                <w:color w:val="auto"/>
              </w:rPr>
            </w:pPr>
          </w:p>
        </w:tc>
      </w:tr>
      <w:tr>
        <w:trPr>
          <w:trHeight w:val="195"/>
        </w:trPr>
        <w:tc>
          <w:tcPr>
            <w:tcW w:w="7980" w:type="dxa"/>
            <w:vAlign w:val="bottom"/>
            <w:gridSpan w:val="6"/>
          </w:tcPr>
          <w:p>
            <w:pPr>
              <w:jc w:val="center"/>
              <w:ind w:left="319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260" w:type="dxa"/>
            <w:vAlign w:val="bottom"/>
          </w:tcPr>
          <w:p>
            <w:pPr>
              <w:spacing w:after="0"/>
              <w:rPr>
                <w:sz w:val="16"/>
                <w:szCs w:val="16"/>
                <w:color w:val="auto"/>
              </w:rPr>
            </w:pPr>
          </w:p>
        </w:tc>
      </w:tr>
      <w:tr>
        <w:trPr>
          <w:trHeight w:val="274"/>
        </w:trPr>
        <w:tc>
          <w:tcPr>
            <w:tcW w:w="4180" w:type="dxa"/>
            <w:vAlign w:val="bottom"/>
          </w:tcPr>
          <w:p>
            <w:pPr>
              <w:spacing w:after="0"/>
              <w:rPr>
                <w:sz w:val="23"/>
                <w:szCs w:val="23"/>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22"/>
                <w:szCs w:val="22"/>
                <w:color w:val="auto"/>
                <w:w w:val="88"/>
              </w:rPr>
              <w:t>_______________________</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395"/>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3"/>
              </w:rPr>
              <w:t>Delaware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jc w:val="center"/>
              <w:ind w:right="375"/>
              <w:spacing w:after="0"/>
              <w:rPr>
                <w:sz w:val="20"/>
                <w:szCs w:val="20"/>
                <w:color w:val="auto"/>
              </w:rPr>
            </w:pPr>
            <w:r>
              <w:rPr>
                <w:rFonts w:ascii="Arial" w:cs="Arial" w:eastAsia="Arial" w:hAnsi="Arial"/>
                <w:sz w:val="18"/>
                <w:szCs w:val="18"/>
                <w:b w:val="1"/>
                <w:bCs w:val="1"/>
                <w:color w:val="auto"/>
                <w:w w:val="91"/>
              </w:rPr>
              <w:t>86-2528989</w:t>
            </w:r>
          </w:p>
        </w:tc>
      </w:tr>
      <w:tr>
        <w:trPr>
          <w:trHeight w:val="252"/>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1"/>
              </w:rPr>
              <w:t>(State or other jurisdiction</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60" w:type="dxa"/>
            <w:vAlign w:val="bottom"/>
          </w:tcPr>
          <w:p>
            <w:pPr>
              <w:jc w:val="center"/>
              <w:ind w:right="355"/>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0"/>
              </w:rPr>
              <w:t>of incorporation)</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60" w:type="dxa"/>
            <w:vAlign w:val="bottom"/>
          </w:tcPr>
          <w:p>
            <w:pPr>
              <w:jc w:val="center"/>
              <w:ind w:right="375"/>
              <w:spacing w:after="0"/>
              <w:rPr>
                <w:sz w:val="20"/>
                <w:szCs w:val="20"/>
                <w:color w:val="auto"/>
              </w:rPr>
            </w:pPr>
            <w:r>
              <w:rPr>
                <w:rFonts w:ascii="Arial" w:cs="Arial" w:eastAsia="Arial" w:hAnsi="Arial"/>
                <w:sz w:val="18"/>
                <w:szCs w:val="18"/>
                <w:b w:val="1"/>
                <w:bCs w:val="1"/>
                <w:color w:val="auto"/>
                <w:w w:val="92"/>
              </w:rPr>
              <w:t>Identification No.)</w:t>
            </w:r>
          </w:p>
        </w:tc>
      </w:tr>
      <w:tr>
        <w:trPr>
          <w:trHeight w:val="319"/>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89"/>
              </w:rPr>
              <w:t>350 Treat Avenue</w:t>
            </w:r>
          </w:p>
        </w:tc>
        <w:tc>
          <w:tcPr>
            <w:tcW w:w="32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3800" w:type="dxa"/>
            <w:vAlign w:val="bottom"/>
            <w:gridSpan w:val="5"/>
          </w:tcPr>
          <w:p>
            <w:pPr>
              <w:jc w:val="center"/>
              <w:ind w:right="920"/>
              <w:spacing w:after="0"/>
              <w:rPr>
                <w:sz w:val="20"/>
                <w:szCs w:val="20"/>
                <w:color w:val="auto"/>
              </w:rPr>
            </w:pPr>
            <w:r>
              <w:rPr>
                <w:rFonts w:ascii="Arial" w:cs="Arial" w:eastAsia="Arial" w:hAnsi="Arial"/>
                <w:sz w:val="18"/>
                <w:szCs w:val="18"/>
                <w:b w:val="1"/>
                <w:bCs w:val="1"/>
                <w:color w:val="auto"/>
                <w:w w:val="89"/>
              </w:rPr>
              <w:t>San Francisco, California 94110</w:t>
            </w:r>
          </w:p>
        </w:tc>
        <w:tc>
          <w:tcPr>
            <w:tcW w:w="3260" w:type="dxa"/>
            <w:vAlign w:val="bottom"/>
          </w:tcPr>
          <w:p>
            <w:pPr>
              <w:spacing w:after="0"/>
              <w:rPr>
                <w:sz w:val="18"/>
                <w:szCs w:val="18"/>
                <w:color w:val="auto"/>
              </w:rPr>
            </w:pPr>
          </w:p>
        </w:tc>
      </w:tr>
      <w:tr>
        <w:trPr>
          <w:trHeight w:val="216"/>
        </w:trPr>
        <w:tc>
          <w:tcPr>
            <w:tcW w:w="7980" w:type="dxa"/>
            <w:vAlign w:val="bottom"/>
            <w:gridSpan w:val="6"/>
          </w:tcPr>
          <w:p>
            <w:pPr>
              <w:jc w:val="center"/>
              <w:ind w:left="3193"/>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32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18"/>
                <w:szCs w:val="18"/>
                <w:b w:val="1"/>
                <w:bCs w:val="1"/>
                <w:color w:val="auto"/>
                <w:w w:val="90"/>
              </w:rPr>
              <w:t>(415) 949-0108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4"/>
        </w:trPr>
        <w:tc>
          <w:tcPr>
            <w:tcW w:w="7980" w:type="dxa"/>
            <w:vAlign w:val="bottom"/>
            <w:gridSpan w:val="6"/>
          </w:tcPr>
          <w:p>
            <w:pPr>
              <w:jc w:val="center"/>
              <w:ind w:left="3193"/>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260" w:type="dxa"/>
            <w:vAlign w:val="bottom"/>
          </w:tcPr>
          <w:p>
            <w:pPr>
              <w:spacing w:after="0"/>
              <w:rPr>
                <w:sz w:val="20"/>
                <w:szCs w:val="20"/>
                <w:color w:val="auto"/>
              </w:rPr>
            </w:pPr>
          </w:p>
        </w:tc>
      </w:tr>
      <w:tr>
        <w:trPr>
          <w:trHeight w:val="346"/>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rPr>
              <w:t>N/A</w:t>
            </w:r>
          </w:p>
        </w:tc>
        <w:tc>
          <w:tcPr>
            <w:tcW w:w="3260" w:type="dxa"/>
            <w:vAlign w:val="bottom"/>
          </w:tcPr>
          <w:p>
            <w:pPr>
              <w:spacing w:after="0"/>
              <w:rPr>
                <w:sz w:val="24"/>
                <w:szCs w:val="24"/>
                <w:color w:val="auto"/>
              </w:rPr>
            </w:pPr>
          </w:p>
        </w:tc>
      </w:tr>
      <w:tr>
        <w:trPr>
          <w:trHeight w:val="226"/>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r>
      <w:tr>
        <w:trPr>
          <w:trHeight w:val="274"/>
        </w:trPr>
        <w:tc>
          <w:tcPr>
            <w:tcW w:w="4180" w:type="dxa"/>
            <w:vAlign w:val="bottom"/>
          </w:tcPr>
          <w:p>
            <w:pPr>
              <w:spacing w:after="0"/>
              <w:rPr>
                <w:sz w:val="23"/>
                <w:szCs w:val="23"/>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22"/>
                <w:szCs w:val="22"/>
                <w:color w:val="auto"/>
                <w:w w:val="88"/>
              </w:rPr>
              <w:t>_______________________</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318"/>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Trading</w:t>
            </w:r>
          </w:p>
        </w:tc>
        <w:tc>
          <w:tcPr>
            <w:tcW w:w="3260" w:type="dxa"/>
            <w:vAlign w:val="bottom"/>
          </w:tcPr>
          <w:p>
            <w:pPr>
              <w:jc w:val="center"/>
              <w:ind w:right="455"/>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418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4180" w:type="dxa"/>
            <w:vAlign w:val="bottom"/>
          </w:tcPr>
          <w:p>
            <w:pPr>
              <w:jc w:val="center"/>
              <w:ind w:left="313"/>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5"/>
              </w:rPr>
              <w:t>OUST</w:t>
            </w:r>
          </w:p>
        </w:tc>
        <w:tc>
          <w:tcPr>
            <w:tcW w:w="3260" w:type="dxa"/>
            <w:vAlign w:val="bottom"/>
          </w:tcPr>
          <w:p>
            <w:pPr>
              <w:jc w:val="center"/>
              <w:ind w:right="45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0"/>
        </w:trPr>
        <w:tc>
          <w:tcPr>
            <w:tcW w:w="4180" w:type="dxa"/>
            <w:vAlign w:val="bottom"/>
          </w:tcPr>
          <w:p>
            <w:pPr>
              <w:jc w:val="center"/>
              <w:ind w:left="313"/>
              <w:spacing w:after="0"/>
              <w:rPr>
                <w:sz w:val="20"/>
                <w:szCs w:val="20"/>
                <w:color w:val="auto"/>
              </w:rPr>
            </w:pPr>
            <w:r>
              <w:rPr>
                <w:rFonts w:ascii="Arial" w:cs="Arial" w:eastAsia="Arial" w:hAnsi="Arial"/>
                <w:sz w:val="18"/>
                <w:szCs w:val="18"/>
                <w:b w:val="1"/>
                <w:bCs w:val="1"/>
                <w:color w:val="auto"/>
                <w:w w:val="88"/>
              </w:rPr>
              <w:t>Warrants to purchase common stock</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5"/>
              </w:rPr>
              <w:t>OUST WS</w:t>
            </w:r>
          </w:p>
        </w:tc>
        <w:tc>
          <w:tcPr>
            <w:tcW w:w="3260" w:type="dxa"/>
            <w:vAlign w:val="bottom"/>
          </w:tcPr>
          <w:p>
            <w:pPr>
              <w:jc w:val="center"/>
              <w:ind w:right="455"/>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56" w:lineRule="exact"/>
        <w:rPr>
          <w:sz w:val="24"/>
          <w:szCs w:val="24"/>
          <w:color w:val="auto"/>
        </w:rPr>
      </w:pPr>
    </w:p>
    <w:p>
      <w:pPr>
        <w:ind w:right="3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4580" w:val="left"/>
          <w:tab w:leader="none" w:pos="52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820"/>
        <w:spacing w:after="0" w:line="207" w:lineRule="exact"/>
        <w:tabs>
          <w:tab w:leader="none" w:pos="1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9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tabs>
          <w:tab w:leader="none" w:pos="88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11, 2021, the registrant had 171,604,276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95" w:right="339" w:bottom="484"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60" w:type="dxa"/>
            <w:vAlign w:val="bottom"/>
            <w:gridSpan w:val="8"/>
          </w:tcPr>
          <w:p>
            <w:pPr>
              <w:ind w:left="196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60" w:type="dxa"/>
            <w:vAlign w:val="bottom"/>
            <w:gridSpan w:val="8"/>
            <w:vMerge w:val="restart"/>
          </w:tcPr>
          <w:p>
            <w:pPr>
              <w:ind w:left="172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60" w:type="dxa"/>
            <w:vAlign w:val="bottom"/>
            <w:gridSpan w:val="8"/>
            <w:vMerge w:val="continu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FF"/>
            </w:tcBorders>
          </w:tcPr>
          <w:p>
            <w:pPr>
              <w:spacing w:after="0" w:line="190"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400" w:type="dxa"/>
            <w:vAlign w:val="bottom"/>
          </w:tcPr>
          <w:p>
            <w:pPr>
              <w:spacing w:after="0"/>
              <w:rPr>
                <w:sz w:val="16"/>
                <w:szCs w:val="16"/>
                <w:color w:val="auto"/>
              </w:rPr>
            </w:pPr>
          </w:p>
        </w:tc>
        <w:tc>
          <w:tcPr>
            <w:tcW w:w="1500" w:type="dxa"/>
            <w:vAlign w:val="bottom"/>
            <w:tcBorders>
              <w:bottom w:val="single" w:sz="8" w:color="0000FF"/>
            </w:tcBorders>
            <w:gridSpan w:val="3"/>
          </w:tcPr>
          <w:p>
            <w:pPr>
              <w:spacing w:after="0" w:line="190"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7920" w:type="dxa"/>
            <w:vAlign w:val="bottom"/>
            <w:gridSpan w:val="9"/>
          </w:tcPr>
          <w:p>
            <w:pPr>
              <w:spacing w:after="0"/>
              <w:rPr>
                <w:sz w:val="16"/>
                <w:szCs w:val="16"/>
                <w:color w:val="auto"/>
              </w:rPr>
            </w:pPr>
          </w:p>
        </w:tc>
        <w:tc>
          <w:tcPr>
            <w:tcW w:w="860" w:type="dxa"/>
            <w:vAlign w:val="bottom"/>
          </w:tcPr>
          <w:p>
            <w:pPr>
              <w:jc w:val="right"/>
              <w:spacing w:after="0" w:line="190"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(Unaudited)</w:t>
              </w:r>
            </w:hyperlink>
          </w:p>
        </w:tc>
        <w:tc>
          <w:tcPr>
            <w:tcW w:w="5580" w:type="dxa"/>
            <w:vAlign w:val="bottom"/>
            <w:gridSpan w:val="7"/>
          </w:tcPr>
          <w:p>
            <w:pPr>
              <w:spacing w:after="0"/>
              <w:rPr>
                <w:sz w:val="19"/>
                <w:szCs w:val="19"/>
                <w:color w:val="auto"/>
              </w:rPr>
            </w:pPr>
          </w:p>
        </w:tc>
        <w:tc>
          <w:tcPr>
            <w:tcW w:w="8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2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and Comprehensive Loss (Unaudited)</w:t>
              </w:r>
            </w:hyperlink>
          </w:p>
        </w:tc>
        <w:tc>
          <w:tcPr>
            <w:tcW w:w="8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Changes in Redeemable Convertible Preferred Stock and Stockholders’ Equity (Deficit)</w:t>
              </w:r>
            </w:hyperlink>
          </w:p>
        </w:tc>
        <w:tc>
          <w:tcPr>
            <w:tcW w:w="220" w:type="dxa"/>
            <w:vAlign w:val="bottom"/>
          </w:tcPr>
          <w:p>
            <w:pPr>
              <w:spacing w:after="0"/>
              <w:rPr>
                <w:sz w:val="21"/>
                <w:szCs w:val="21"/>
                <w:color w:val="auto"/>
              </w:rPr>
            </w:pPr>
          </w:p>
        </w:tc>
        <w:tc>
          <w:tcPr>
            <w:tcW w:w="86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spacing w:after="0" w:line="196"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(Unaudited)</w:t>
              </w:r>
            </w:hyperlink>
          </w:p>
        </w:tc>
        <w:tc>
          <w:tcPr>
            <w:tcW w:w="8340" w:type="dxa"/>
            <w:vAlign w:val="bottom"/>
            <w:gridSpan w:val="10"/>
            <w:vMerge w:val="restart"/>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0000FF"/>
            </w:tcBorders>
            <w:vMerge w:val="continue"/>
          </w:tcPr>
          <w:p>
            <w:pPr>
              <w:spacing w:after="0"/>
              <w:rPr>
                <w:sz w:val="5"/>
                <w:szCs w:val="5"/>
                <w:color w:val="auto"/>
              </w:rPr>
            </w:pPr>
          </w:p>
        </w:tc>
        <w:tc>
          <w:tcPr>
            <w:tcW w:w="8340" w:type="dxa"/>
            <w:vAlign w:val="bottom"/>
            <w:gridSpan w:val="10"/>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(Unaudited)</w:t>
              </w:r>
            </w:hyperlink>
          </w:p>
        </w:tc>
        <w:tc>
          <w:tcPr>
            <w:tcW w:w="4800" w:type="dxa"/>
            <w:vAlign w:val="bottom"/>
            <w:gridSpan w:val="5"/>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520" w:type="dxa"/>
            <w:vAlign w:val="bottom"/>
            <w:gridSpan w:val="4"/>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2.</w:t>
              </w:r>
            </w:hyperlink>
          </w:p>
        </w:tc>
        <w:tc>
          <w:tcPr>
            <w:tcW w:w="9420" w:type="dxa"/>
            <w:vAlign w:val="bottom"/>
            <w:gridSpan w:val="1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8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50"/>
        </w:trPr>
        <w:tc>
          <w:tcPr>
            <w:tcW w:w="920" w:type="dxa"/>
            <w:vAlign w:val="bottom"/>
            <w:tcBorders>
              <w:top w:val="single" w:sz="8" w:color="0000FF"/>
            </w:tcBorders>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6440" w:type="dxa"/>
            <w:vAlign w:val="bottom"/>
            <w:tcBorders>
              <w:top w:val="single" w:sz="8" w:color="0000FF"/>
            </w:tcBorders>
            <w:gridSpan w:val="1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2980" w:type="dxa"/>
            <w:vAlign w:val="bottom"/>
            <w:gridSpan w:val="2"/>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4.</w:t>
              </w:r>
            </w:hyperlink>
          </w:p>
        </w:tc>
        <w:tc>
          <w:tcPr>
            <w:tcW w:w="400" w:type="dxa"/>
            <w:vAlign w:val="bottom"/>
            <w:tcBorders>
              <w:top w:val="single" w:sz="8" w:color="0000FF"/>
            </w:tcBorders>
          </w:tcPr>
          <w:p>
            <w:pPr>
              <w:spacing w:after="0"/>
              <w:rPr>
                <w:sz w:val="21"/>
                <w:szCs w:val="21"/>
                <w:color w:val="auto"/>
              </w:rPr>
            </w:pPr>
          </w:p>
        </w:tc>
        <w:tc>
          <w:tcPr>
            <w:tcW w:w="17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Controls and Procedures</w:t>
              </w:r>
            </w:hyperlink>
          </w:p>
        </w:tc>
        <w:tc>
          <w:tcPr>
            <w:tcW w:w="2580" w:type="dxa"/>
            <w:vAlign w:val="bottom"/>
            <w:tcBorders>
              <w:top w:val="single" w:sz="8" w:color="0000FF"/>
            </w:tcBorders>
            <w:gridSpan w:val="2"/>
          </w:tcPr>
          <w:p>
            <w:pPr>
              <w:spacing w:after="0"/>
              <w:rPr>
                <w:sz w:val="21"/>
                <w:szCs w:val="21"/>
                <w:color w:val="auto"/>
              </w:rPr>
            </w:pPr>
          </w:p>
        </w:tc>
        <w:tc>
          <w:tcPr>
            <w:tcW w:w="5080" w:type="dxa"/>
            <w:vAlign w:val="bottom"/>
            <w:gridSpan w:val="6"/>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80" w:type="dxa"/>
            <w:vAlign w:val="bottom"/>
            <w:gridSpan w:val="2"/>
          </w:tcPr>
          <w:p>
            <w:pPr>
              <w:ind w:left="1260"/>
              <w:spacing w:after="0"/>
              <w:rPr>
                <w:sz w:val="20"/>
                <w:szCs w:val="20"/>
                <w:color w:val="auto"/>
              </w:rPr>
            </w:pPr>
            <w:r>
              <w:rPr>
                <w:rFonts w:ascii="Arial" w:cs="Arial" w:eastAsia="Arial" w:hAnsi="Arial"/>
                <w:sz w:val="18"/>
                <w:szCs w:val="18"/>
                <w:b w:val="1"/>
                <w:bCs w:val="1"/>
                <w:color w:val="auto"/>
              </w:rPr>
              <w:t>Part II - Other Information</w:t>
            </w:r>
          </w:p>
        </w:tc>
        <w:tc>
          <w:tcPr>
            <w:tcW w:w="24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Item 1.</w:t>
              </w:r>
            </w:hyperlink>
          </w:p>
        </w:tc>
        <w:tc>
          <w:tcPr>
            <w:tcW w:w="280" w:type="dxa"/>
            <w:vAlign w:val="bottom"/>
            <w:gridSpan w:val="3"/>
          </w:tcPr>
          <w:p>
            <w:pPr>
              <w:spacing w:after="0"/>
              <w:rPr>
                <w:sz w:val="17"/>
                <w:szCs w:val="17"/>
                <w:color w:val="auto"/>
              </w:rPr>
            </w:pPr>
          </w:p>
        </w:tc>
        <w:tc>
          <w:tcPr>
            <w:tcW w:w="8020" w:type="dxa"/>
            <w:vAlign w:val="bottom"/>
            <w:gridSpan w:val="8"/>
          </w:tcPr>
          <w:p>
            <w:pPr>
              <w:ind w:left="1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2400" w:type="dxa"/>
            <w:vAlign w:val="bottom"/>
          </w:tcPr>
          <w:p>
            <w:pPr>
              <w:jc w:val="right"/>
              <w:spacing w:after="0" w:line="202" w:lineRule="exact"/>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1A.</w:t>
              </w:r>
            </w:hyperlink>
          </w:p>
        </w:tc>
        <w:tc>
          <w:tcPr>
            <w:tcW w:w="8020" w:type="dxa"/>
            <w:vAlign w:val="bottom"/>
            <w:gridSpan w:val="8"/>
          </w:tcPr>
          <w:p>
            <w:pPr>
              <w:ind w:left="120"/>
              <w:spacing w:after="0"/>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2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2.</w:t>
              </w:r>
            </w:hyperlink>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6">
              <w:r>
                <w:rPr>
                  <w:rFonts w:ascii="Arial" w:cs="Arial" w:eastAsia="Arial" w:hAnsi="Arial"/>
                  <w:sz w:val="18"/>
                  <w:szCs w:val="18"/>
                  <w:color w:val="0000FF"/>
                </w:rPr>
                <w:t>Unregistered Sales of Equity Securities and Use of Proceeds</w:t>
              </w:r>
            </w:hyperlink>
          </w:p>
        </w:tc>
        <w:tc>
          <w:tcPr>
            <w:tcW w:w="2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w:t>
              </w:r>
            </w:hyperlink>
          </w:p>
        </w:tc>
        <w:tc>
          <w:tcPr>
            <w:tcW w:w="100" w:type="dxa"/>
            <w:vAlign w:val="bottom"/>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6">
              <w:r>
                <w:rPr>
                  <w:rFonts w:ascii="Arial" w:cs="Arial" w:eastAsia="Arial" w:hAnsi="Arial"/>
                  <w:sz w:val="18"/>
                  <w:szCs w:val="18"/>
                  <w:color w:val="0000FF"/>
                </w:rPr>
                <w:t>Defaults Upon Senior Securities</w:t>
              </w:r>
            </w:hyperlink>
          </w:p>
        </w:tc>
        <w:tc>
          <w:tcPr>
            <w:tcW w:w="2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4.</w:t>
              </w:r>
            </w:hyperlink>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6">
              <w:r>
                <w:rPr>
                  <w:rFonts w:ascii="Arial" w:cs="Arial" w:eastAsia="Arial" w:hAnsi="Arial"/>
                  <w:sz w:val="18"/>
                  <w:szCs w:val="18"/>
                  <w:color w:val="0000FF"/>
                </w:rPr>
                <w:t>Mine Safety Disclosures</w:t>
              </w:r>
            </w:hyperlink>
          </w:p>
        </w:tc>
        <w:tc>
          <w:tcPr>
            <w:tcW w:w="2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5.</w:t>
              </w:r>
            </w:hyperlink>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2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6.</w:t>
              </w:r>
            </w:hyperlink>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2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47</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Signature</w:t>
              </w:r>
            </w:hyperlink>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49</w:t>
              </w:r>
            </w:hyperlink>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8"/>
          </w:tcPr>
          <w:p>
            <w:pPr>
              <w:ind w:left="4760"/>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operating results and financial position, our business strategy and plans, potential acquisitions, market growth and trends, strategic customer agreements and total addressable markets, and our objectives for future operations, are forward-looking statements. The words “believe,” “may,” “will,” “estimate,” “continue,” “anticipate,” “intend,” “expect,” “could,” “would,” “project,” “plan,” “potentially,” “preliminary,” “likely,”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Ouster’s limited operating history and history of losses; the negotiating power and product standards of its customers; fluctuations in its operating results; cancellation or postponement of contracts or unsuccessful implementations; the adoption of its products and the growth of the lidar market generally; its ability to grow its sales and marketing organization; substantial research and development costs needed to develop and commercialize new products; the competitive environment in which it operates; selection of our products for inclusion in target markets; its future capital needs; its ability to use tax attributes; its dependence on key third party suppliers, in particular Benchmark Electronics, Inc., and manufacturers; ability to maintain inventory and the risk of inventory write-downs; inaccurate forecasts of market growth; its ability to manage growth; the creditworthiness of our customers; risks related to acquisitions; risks related to international operations; risks of product delivery problems or defects; costs associated with product warranties; its ability to maintain competitive average selling prices or high sales volumes or reduce product costs; conditions in its customers industries; its ability to recruit and retain key personnel; its use of professional employer organizations; its ability to adequately protect and enforce its intellectual property rights; its ability to effectively respond to evolving regulations and standards; risks related to operating as a public company; risks related to the COVID-19 pandemic, including variants; and risks related to certain of our warrants being accounted for as liabilities. Other risk factors include the important factors described in the section titled “Risk Factors” in the final prospectus, dated and filed with the Securities and Exchange Commission (the “SEC”) on August 19, 2021, and as further updated in our other filings with the SEC, that may cause our actual results, performance or achievements to differ materially and adversely from those expressed or implied by the forward-looking statements.</w:t>
      </w:r>
    </w:p>
    <w:p>
      <w:pPr>
        <w:spacing w:after="0" w:line="200" w:lineRule="exact"/>
        <w:rPr>
          <w:sz w:val="20"/>
          <w:szCs w:val="20"/>
          <w:color w:val="auto"/>
        </w:rPr>
      </w:pPr>
    </w:p>
    <w:p>
      <w:pPr>
        <w:spacing w:after="0" w:line="220"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Any forward-looking statements made herein speak only as of the date of this Quarterly Report on Form 10-Q,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on Form 10-Q or to conform these statements to actual results or revised expectations.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Unless the context otherwise indicates, references in this Quarterly Report on Form 10-Q to the terms “Ouster,” “the Company,” “we,” “our” and “us” refer to Ouster, Inc.</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filings with the SEC, webcasts, press releases and conference calls. Information contained on our website is not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242,079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21,223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4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4,461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Short-term debt</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20,917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long-term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w w:val="94"/>
              </w:rPr>
              <w:t>Warrant liabilities (At September 30, 2021 and December 31, 2020 related party $3,843 and Nil, respectively)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83,096</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20"/>
              <w:spacing w:after="0" w:line="176" w:lineRule="exact"/>
              <w:rPr>
                <w:sz w:val="20"/>
                <w:szCs w:val="20"/>
                <w:color w:val="auto"/>
              </w:rPr>
            </w:pPr>
            <w:r>
              <w:rPr>
                <w:rFonts w:ascii="Arial" w:cs="Arial" w:eastAsia="Arial" w:hAnsi="Arial"/>
                <w:sz w:val="18"/>
                <w:szCs w:val="18"/>
                <w:color w:val="auto"/>
                <w:w w:val="92"/>
              </w:rPr>
              <w:t>Redeemable convertible preferred stock, $0.0001 par value per share; Nil and 131,411,372 shares authorized at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180"/>
              <w:spacing w:after="0" w:line="176" w:lineRule="exact"/>
              <w:rPr>
                <w:sz w:val="20"/>
                <w:szCs w:val="20"/>
                <w:color w:val="auto"/>
              </w:rPr>
            </w:pPr>
            <w:r>
              <w:rPr>
                <w:rFonts w:ascii="Arial" w:cs="Arial" w:eastAsia="Arial" w:hAnsi="Arial"/>
                <w:sz w:val="18"/>
                <w:szCs w:val="18"/>
                <w:color w:val="auto"/>
                <w:w w:val="91"/>
              </w:rPr>
              <w:t>September 30, 2021 and December 31, 2020; Nil and 88,434,754 shares issued and outstanding at September</w:t>
            </w:r>
          </w:p>
        </w:tc>
        <w:tc>
          <w:tcPr>
            <w:tcW w:w="200" w:type="dxa"/>
            <w:vAlign w:val="bottom"/>
          </w:tcPr>
          <w:p>
            <w:pPr>
              <w:spacing w:after="0"/>
              <w:rPr>
                <w:sz w:val="15"/>
                <w:szCs w:val="15"/>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135"/>
        </w:trPr>
        <w:tc>
          <w:tcPr>
            <w:tcW w:w="82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w w:val="99"/>
              </w:rPr>
              <w:t>30, 2021 and December 31, 2020, respectively (aggregate liquidation preference of Nil and $41,791 at</w:t>
            </w: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2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September 30, 2021 and December 31, 2020, respectively)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 (deficit):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$0.0001 par value; 1,000,000,000 and 210,956,516 shares authorized at September 30, 2021</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80" w:type="dxa"/>
            <w:vAlign w:val="bottom"/>
          </w:tcPr>
          <w:p>
            <w:pPr>
              <w:ind w:left="520"/>
              <w:spacing w:after="0" w:line="176" w:lineRule="exact"/>
              <w:rPr>
                <w:sz w:val="20"/>
                <w:szCs w:val="20"/>
                <w:color w:val="auto"/>
              </w:rPr>
            </w:pPr>
            <w:r>
              <w:rPr>
                <w:rFonts w:ascii="Arial" w:cs="Arial" w:eastAsia="Arial" w:hAnsi="Arial"/>
                <w:sz w:val="18"/>
                <w:szCs w:val="18"/>
                <w:color w:val="auto"/>
                <w:w w:val="91"/>
              </w:rPr>
              <w:t>and December 31, 2020, respectively; 161,529,449 and 33,327,294 issued and outstanding at September</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520"/>
              <w:spacing w:after="0"/>
              <w:rPr>
                <w:sz w:val="20"/>
                <w:szCs w:val="20"/>
                <w:color w:val="auto"/>
              </w:rPr>
            </w:pPr>
            <w:r>
              <w:rPr>
                <w:rFonts w:ascii="Arial" w:cs="Arial" w:eastAsia="Arial" w:hAnsi="Arial"/>
                <w:sz w:val="18"/>
                <w:szCs w:val="18"/>
                <w:color w:val="auto"/>
              </w:rPr>
              <w:t>30, 2021 and December 31, 2020, respectively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Preferred stock, $0.0001 par value; 100,000,000 and Nil shares authorized at September 30, 2021 and</w:t>
            </w: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December 31, 2020, respectively; Nil and Nil issued and outstanding at September 30, 2021 and</w:t>
            </w:r>
          </w:p>
        </w:tc>
        <w:tc>
          <w:tcPr>
            <w:tcW w:w="20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2020, respectively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495,576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133,468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(275,012)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(209,375)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 / (deficit)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220,580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convertible preferred stock, and stockholders’ equity /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6"/>
        </w:trPr>
        <w:tc>
          <w:tcPr>
            <w:tcW w:w="52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2"/>
        </w:trPr>
        <w:tc>
          <w:tcPr>
            <w:tcW w:w="524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Service revenue</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12,962</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19,028</w:t>
            </w: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11,856</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37,189</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(37,649)</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(11,971)</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(49,620)</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 expense</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(65,637)</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(49,620)</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w w:val="89"/>
              </w:rPr>
              <w:t>Weighted-average shares used to compute basic and diluted net loss per</w:t>
            </w:r>
          </w:p>
        </w:tc>
        <w:tc>
          <w:tcPr>
            <w:tcW w:w="220" w:type="dxa"/>
            <w:vAlign w:val="bottom"/>
          </w:tcPr>
          <w:p>
            <w:pPr>
              <w:spacing w:after="0"/>
              <w:rPr>
                <w:sz w:val="20"/>
                <w:szCs w:val="20"/>
                <w:color w:val="auto"/>
              </w:rPr>
            </w:pPr>
          </w:p>
        </w:tc>
        <w:tc>
          <w:tcPr>
            <w:tcW w:w="1200" w:type="dxa"/>
            <w:vAlign w:val="bottom"/>
          </w:tcPr>
          <w:p>
            <w:pPr>
              <w:jc w:val="right"/>
              <w:spacing w:after="0" w:line="191" w:lineRule="exact"/>
              <w:rPr>
                <w:sz w:val="20"/>
                <w:szCs w:val="20"/>
                <w:color w:val="auto"/>
              </w:rPr>
            </w:pPr>
            <w:r>
              <w:rPr>
                <w:rFonts w:ascii="Arial" w:cs="Arial" w:eastAsia="Arial" w:hAnsi="Arial"/>
                <w:sz w:val="18"/>
                <w:szCs w:val="18"/>
                <w:color w:val="auto"/>
              </w:rPr>
              <w:t>156,647,259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line="191" w:lineRule="exact"/>
              <w:rPr>
                <w:sz w:val="20"/>
                <w:szCs w:val="20"/>
                <w:color w:val="auto"/>
              </w:rPr>
            </w:pPr>
            <w:r>
              <w:rPr>
                <w:rFonts w:ascii="Arial" w:cs="Arial" w:eastAsia="Arial" w:hAnsi="Arial"/>
                <w:sz w:val="18"/>
                <w:szCs w:val="18"/>
                <w:color w:val="auto"/>
              </w:rPr>
              <w:t>20,303,631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color w:val="auto"/>
              </w:rPr>
              <w:t>123,175,390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line="191" w:lineRule="exact"/>
              <w:rPr>
                <w:sz w:val="20"/>
                <w:szCs w:val="20"/>
                <w:color w:val="auto"/>
              </w:rPr>
            </w:pPr>
            <w:r>
              <w:rPr>
                <w:rFonts w:ascii="Arial" w:cs="Arial" w:eastAsia="Arial" w:hAnsi="Arial"/>
                <w:sz w:val="18"/>
                <w:szCs w:val="18"/>
                <w:color w:val="auto"/>
              </w:rPr>
              <w:t>15,753,057</w:t>
            </w:r>
          </w:p>
        </w:tc>
      </w:tr>
    </w:tbl>
    <w:p>
      <w:pPr>
        <w:ind w:left="20"/>
        <w:spacing w:after="0" w:line="202" w:lineRule="auto"/>
        <w:rPr>
          <w:sz w:val="20"/>
          <w:szCs w:val="20"/>
          <w:color w:val="auto"/>
        </w:rPr>
      </w:pPr>
      <w:r>
        <w:rPr>
          <w:rFonts w:ascii="Arial" w:cs="Arial" w:eastAsia="Arial" w:hAnsi="Arial"/>
          <w:sz w:val="18"/>
          <w:szCs w:val="18"/>
          <w:color w:val="auto"/>
        </w:rPr>
        <w:t>share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23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88"/>
              </w:rPr>
              <w:t>Redeemable Convertible</w:t>
            </w:r>
          </w:p>
        </w:tc>
        <w:tc>
          <w:tcPr>
            <w:tcW w:w="80" w:type="dxa"/>
            <w:vAlign w:val="bottom"/>
          </w:tcPr>
          <w:p>
            <w:pPr>
              <w:spacing w:after="0"/>
              <w:rPr>
                <w:sz w:val="16"/>
                <w:szCs w:val="16"/>
                <w:color w:val="auto"/>
              </w:rPr>
            </w:pPr>
          </w:p>
        </w:tc>
        <w:tc>
          <w:tcPr>
            <w:tcW w:w="2000" w:type="dxa"/>
            <w:vAlign w:val="bottom"/>
            <w:gridSpan w:val="3"/>
            <w:vMerge w:val="restart"/>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Notes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ind w:right="3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340" w:type="dxa"/>
            <w:vAlign w:val="bottom"/>
            <w:tcBorders>
              <w:right w:val="single" w:sz="8" w:color="auto"/>
            </w:tcBorders>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8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receivable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Paid-in-</w:t>
            </w:r>
          </w:p>
        </w:tc>
        <w:tc>
          <w:tcPr>
            <w:tcW w:w="140" w:type="dxa"/>
            <w:vAlign w:val="bottom"/>
          </w:tcPr>
          <w:p>
            <w:pPr>
              <w:spacing w:after="0"/>
              <w:rPr>
                <w:sz w:val="4"/>
                <w:szCs w:val="4"/>
                <w:color w:val="auto"/>
              </w:rPr>
            </w:pPr>
          </w:p>
        </w:tc>
        <w:tc>
          <w:tcPr>
            <w:tcW w:w="10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from</w:t>
            </w:r>
          </w:p>
        </w:tc>
        <w:tc>
          <w:tcPr>
            <w:tcW w:w="140" w:type="dxa"/>
            <w:vAlign w:val="bottom"/>
          </w:tcPr>
          <w:p>
            <w:pPr>
              <w:spacing w:after="0"/>
              <w:rPr>
                <w:sz w:val="4"/>
                <w:szCs w:val="4"/>
                <w:color w:val="auto"/>
              </w:rPr>
            </w:pPr>
          </w:p>
        </w:tc>
        <w:tc>
          <w:tcPr>
            <w:tcW w:w="1040" w:type="dxa"/>
            <w:vAlign w:val="bottom"/>
            <w:gridSpan w:val="2"/>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980" w:type="dxa"/>
            <w:vAlign w:val="bottom"/>
          </w:tcPr>
          <w:p>
            <w:pPr>
              <w:jc w:val="center"/>
              <w:ind w:right="58"/>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160" w:type="dxa"/>
            <w:vAlign w:val="bottom"/>
            <w:gridSpan w:val="2"/>
          </w:tcPr>
          <w:p>
            <w:pPr>
              <w:ind w:left="28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200" w:type="dxa"/>
            <w:vAlign w:val="bottom"/>
          </w:tcPr>
          <w:p>
            <w:pPr>
              <w:spacing w:after="0"/>
              <w:rPr>
                <w:sz w:val="15"/>
                <w:szCs w:val="15"/>
                <w:color w:val="auto"/>
              </w:rPr>
            </w:pPr>
          </w:p>
        </w:tc>
        <w:tc>
          <w:tcPr>
            <w:tcW w:w="98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180" w:type="dxa"/>
            <w:vAlign w:val="bottom"/>
            <w:gridSpan w:val="2"/>
          </w:tcPr>
          <w:p>
            <w:pPr>
              <w:ind w:left="30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stockholders</w:t>
            </w:r>
          </w:p>
        </w:tc>
        <w:tc>
          <w:tcPr>
            <w:tcW w:w="14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980" w:type="dxa"/>
            <w:vAlign w:val="bottom"/>
          </w:tcPr>
          <w:p>
            <w:pPr>
              <w:jc w:val="center"/>
              <w:ind w:right="38"/>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69"/>
        </w:trPr>
        <w:tc>
          <w:tcPr>
            <w:tcW w:w="188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Balance —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88,434,754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39,225</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33,327,294</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133,468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(209,375)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(75,907)</w:t>
            </w: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0"/>
              </w:rPr>
              <w:t>Issuance of common stock upon</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727,114</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Repurchase of common stock</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(220,561)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rPr>
              <w:t>Issuance of redeemable</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w w:val="97"/>
              </w:rPr>
              <w:t>convertible preferred stock</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4,232,947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58,097</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upon exercise of warrants</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Conversion of redeemable</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w w:val="89"/>
              </w:rPr>
              <w:t>convertible preferred stock to</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(92,667,701)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(97,322)</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92,667,701</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97,322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97,334</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common stock</w:t>
            </w: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0"/>
              </w:rPr>
              <w:t>Issuance of common stock upon</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w w:val="93"/>
              </w:rPr>
              <w:t>merger and private offering,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rPr>
              <w:t>net of acquired private</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rPr>
              <w:t>placement warrants of</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34,947,657</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272,061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272,064</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$19,377</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Offering costs in connection</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(26,620)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(26,620)</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with the merger</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1"/>
              </w:rPr>
              <w:t>Vesting of early exercised stock</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68"/>
        </w:trPr>
        <w:tc>
          <w:tcPr>
            <w:tcW w:w="1880" w:type="dxa"/>
            <w:vAlign w:val="bottom"/>
          </w:tcPr>
          <w:p>
            <w:pPr>
              <w:ind w:left="18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Stock-based compensation</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(20,957)</w:t>
            </w:r>
          </w:p>
        </w:tc>
        <w:tc>
          <w:tcPr>
            <w:tcW w:w="0" w:type="dxa"/>
            <w:vAlign w:val="bottom"/>
          </w:tcPr>
          <w:p>
            <w:pPr>
              <w:spacing w:after="0"/>
              <w:rPr>
                <w:sz w:val="1"/>
                <w:szCs w:val="1"/>
                <w:color w:val="auto"/>
              </w:rPr>
            </w:pPr>
          </w:p>
        </w:tc>
      </w:tr>
      <w:tr>
        <w:trPr>
          <w:trHeight w:val="175"/>
        </w:trPr>
        <w:tc>
          <w:tcPr>
            <w:tcW w:w="188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March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161,449,205</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482,071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(230,332)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251,755</w:t>
            </w:r>
          </w:p>
        </w:tc>
        <w:tc>
          <w:tcPr>
            <w:tcW w:w="0" w:type="dxa"/>
            <w:vAlign w:val="bottom"/>
          </w:tcPr>
          <w:p>
            <w:pPr>
              <w:spacing w:after="0"/>
              <w:rPr>
                <w:sz w:val="1"/>
                <w:szCs w:val="1"/>
                <w:color w:val="auto"/>
              </w:rPr>
            </w:pPr>
          </w:p>
        </w:tc>
      </w:tr>
      <w:tr>
        <w:trPr>
          <w:trHeight w:val="121"/>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1"/>
              </w:rPr>
              <w:t>Vesting of early exercised stock</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Stock-based compensation</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6,154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6,154</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(32,011)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(32,011)</w:t>
            </w:r>
          </w:p>
        </w:tc>
        <w:tc>
          <w:tcPr>
            <w:tcW w:w="0" w:type="dxa"/>
            <w:vAlign w:val="bottom"/>
          </w:tcPr>
          <w:p>
            <w:pPr>
              <w:spacing w:after="0"/>
              <w:rPr>
                <w:sz w:val="1"/>
                <w:szCs w:val="1"/>
                <w:color w:val="auto"/>
              </w:rPr>
            </w:pPr>
          </w:p>
        </w:tc>
      </w:tr>
      <w:tr>
        <w:trPr>
          <w:trHeight w:val="194"/>
        </w:trPr>
        <w:tc>
          <w:tcPr>
            <w:tcW w:w="188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June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161,449,205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488,329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(262,343)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226,002</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180"/>
              <w:spacing w:after="0" w:line="115" w:lineRule="exact"/>
              <w:rPr>
                <w:sz w:val="20"/>
                <w:szCs w:val="20"/>
                <w:color w:val="auto"/>
              </w:rPr>
            </w:pPr>
            <w:r>
              <w:rPr>
                <w:rFonts w:ascii="Arial" w:cs="Arial" w:eastAsia="Arial" w:hAnsi="Arial"/>
                <w:sz w:val="13"/>
                <w:szCs w:val="13"/>
                <w:color w:val="auto"/>
                <w:w w:val="90"/>
              </w:rPr>
              <w:t>Issuance of common stock upon</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80" w:type="dxa"/>
            <w:vAlign w:val="bottom"/>
            <w:vMerge w:val="continue"/>
          </w:tcPr>
          <w:p>
            <w:pPr>
              <w:spacing w:after="0"/>
              <w:rPr>
                <w:sz w:val="6"/>
                <w:szCs w:val="6"/>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6"/>
                <w:szCs w:val="6"/>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6"/>
                <w:szCs w:val="6"/>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186,165</w:t>
            </w: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Cancellation of previously</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(105,921)</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issued awards</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1"/>
              </w:rPr>
              <w:t>Vesting of early exercised stock</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Stock-based compensation</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7,147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7,147</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(12,669)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(12,669)</w:t>
            </w:r>
          </w:p>
        </w:tc>
        <w:tc>
          <w:tcPr>
            <w:tcW w:w="0" w:type="dxa"/>
            <w:vAlign w:val="bottom"/>
          </w:tcPr>
          <w:p>
            <w:pPr>
              <w:spacing w:after="0"/>
              <w:rPr>
                <w:sz w:val="1"/>
                <w:szCs w:val="1"/>
                <w:color w:val="auto"/>
              </w:rPr>
            </w:pPr>
          </w:p>
        </w:tc>
      </w:tr>
      <w:tr>
        <w:trPr>
          <w:trHeight w:val="194"/>
        </w:trPr>
        <w:tc>
          <w:tcPr>
            <w:tcW w:w="188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w w:val="99"/>
              </w:rPr>
              <w:t>Balance — September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161,529,449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495,576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(275,012)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220,580</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40" w:firstLine="8"/>
        <w:spacing w:after="0" w:line="255"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shares of the Company’s common and redeemable convertible preferred stock, prior to the Merger (as defined in Note 1), have been retroactively restated as shares reflecting the exchange ratio of approximately 0.703 established in the Merger as described in Note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2340" w:type="dxa"/>
            <w:vAlign w:val="bottom"/>
            <w:tcBorders>
              <w:right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Redeemable Convertible</w:t>
            </w:r>
          </w:p>
        </w:tc>
        <w:tc>
          <w:tcPr>
            <w:tcW w:w="80" w:type="dxa"/>
            <w:vAlign w:val="bottom"/>
          </w:tcPr>
          <w:p>
            <w:pPr>
              <w:spacing w:after="0"/>
              <w:rPr>
                <w:sz w:val="16"/>
                <w:szCs w:val="16"/>
                <w:color w:val="auto"/>
              </w:rPr>
            </w:pPr>
          </w:p>
        </w:tc>
        <w:tc>
          <w:tcPr>
            <w:tcW w:w="2000" w:type="dxa"/>
            <w:vAlign w:val="bottom"/>
            <w:gridSpan w:val="3"/>
            <w:vMerge w:val="restart"/>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Notes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340" w:type="dxa"/>
            <w:vAlign w:val="bottom"/>
            <w:tcBorders>
              <w:right w:val="single" w:sz="8" w:color="auto"/>
            </w:tcBorders>
            <w:gridSpan w:val="5"/>
          </w:tcPr>
          <w:p>
            <w:pPr>
              <w:ind w:left="700"/>
              <w:spacing w:after="0" w:line="122" w:lineRule="exact"/>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receivable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Paid-in-</w:t>
            </w:r>
          </w:p>
        </w:tc>
        <w:tc>
          <w:tcPr>
            <w:tcW w:w="140" w:type="dxa"/>
            <w:vAlign w:val="bottom"/>
          </w:tcPr>
          <w:p>
            <w:pPr>
              <w:spacing w:after="0"/>
              <w:rPr>
                <w:sz w:val="4"/>
                <w:szCs w:val="4"/>
                <w:color w:val="auto"/>
              </w:rPr>
            </w:pPr>
          </w:p>
        </w:tc>
        <w:tc>
          <w:tcPr>
            <w:tcW w:w="10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from</w:t>
            </w:r>
          </w:p>
        </w:tc>
        <w:tc>
          <w:tcPr>
            <w:tcW w:w="140" w:type="dxa"/>
            <w:vAlign w:val="bottom"/>
          </w:tcPr>
          <w:p>
            <w:pPr>
              <w:spacing w:after="0"/>
              <w:rPr>
                <w:sz w:val="4"/>
                <w:szCs w:val="4"/>
                <w:color w:val="auto"/>
              </w:rPr>
            </w:pPr>
          </w:p>
        </w:tc>
        <w:tc>
          <w:tcPr>
            <w:tcW w:w="1040" w:type="dxa"/>
            <w:vAlign w:val="bottom"/>
            <w:gridSpan w:val="2"/>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960" w:type="dxa"/>
            <w:vAlign w:val="bottom"/>
          </w:tcPr>
          <w:p>
            <w:pPr>
              <w:jc w:val="center"/>
              <w:ind w:right="78"/>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160" w:type="dxa"/>
            <w:vAlign w:val="bottom"/>
            <w:gridSpan w:val="2"/>
          </w:tcPr>
          <w:p>
            <w:pPr>
              <w:ind w:left="30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200" w:type="dxa"/>
            <w:vAlign w:val="bottom"/>
          </w:tcPr>
          <w:p>
            <w:pPr>
              <w:spacing w:after="0"/>
              <w:rPr>
                <w:sz w:val="15"/>
                <w:szCs w:val="15"/>
                <w:color w:val="auto"/>
              </w:rPr>
            </w:pPr>
          </w:p>
        </w:tc>
        <w:tc>
          <w:tcPr>
            <w:tcW w:w="98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180" w:type="dxa"/>
            <w:vAlign w:val="bottom"/>
            <w:gridSpan w:val="2"/>
          </w:tcPr>
          <w:p>
            <w:pPr>
              <w:ind w:left="30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stockholders</w:t>
            </w:r>
          </w:p>
        </w:tc>
        <w:tc>
          <w:tcPr>
            <w:tcW w:w="14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960" w:type="dxa"/>
            <w:vAlign w:val="bottom"/>
          </w:tcPr>
          <w:p>
            <w:pPr>
              <w:jc w:val="center"/>
              <w:ind w:right="5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188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Balance — December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4,384,348</w:t>
            </w: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40,016</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7,902,407</w:t>
            </w: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2,320</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center"/>
              <w:ind w:left="618"/>
              <w:spacing w:after="0"/>
              <w:rPr>
                <w:sz w:val="20"/>
                <w:szCs w:val="20"/>
                <w:color w:val="auto"/>
              </w:rPr>
            </w:pPr>
            <w:r>
              <w:rPr>
                <w:rFonts w:ascii="Arial" w:cs="Arial" w:eastAsia="Arial" w:hAnsi="Arial"/>
                <w:sz w:val="13"/>
                <w:szCs w:val="13"/>
                <w:color w:val="auto"/>
                <w:w w:val="94"/>
              </w:rPr>
              <w:t>(44)</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(102,595)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(100,319)</w:t>
            </w: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0"/>
              </w:rPr>
              <w:t>Issuance of common stock upon</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Reclassification of a note</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center"/>
              <w:ind w:left="638"/>
              <w:spacing w:after="0"/>
              <w:rPr>
                <w:sz w:val="20"/>
                <w:szCs w:val="20"/>
                <w:color w:val="auto"/>
              </w:rPr>
            </w:pPr>
            <w:r>
              <w:rPr>
                <w:rFonts w:ascii="Arial" w:cs="Arial" w:eastAsia="Arial" w:hAnsi="Arial"/>
                <w:sz w:val="13"/>
                <w:szCs w:val="13"/>
                <w:color w:val="auto"/>
                <w:w w:val="82"/>
              </w:rPr>
              <w:t>44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w w:val="88"/>
              </w:rPr>
              <w:t>receivable from a stockholder</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1"/>
              </w:rPr>
              <w:t>Vesting of early exercised stock</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Stock-based compensation</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(18,693)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(18,693)</w:t>
            </w:r>
          </w:p>
        </w:tc>
        <w:tc>
          <w:tcPr>
            <w:tcW w:w="0" w:type="dxa"/>
            <w:vAlign w:val="bottom"/>
          </w:tcPr>
          <w:p>
            <w:pPr>
              <w:spacing w:after="0"/>
              <w:rPr>
                <w:sz w:val="1"/>
                <w:szCs w:val="1"/>
                <w:color w:val="auto"/>
              </w:rPr>
            </w:pPr>
          </w:p>
        </w:tc>
      </w:tr>
      <w:tr>
        <w:trPr>
          <w:trHeight w:val="176"/>
        </w:trPr>
        <w:tc>
          <w:tcPr>
            <w:tcW w:w="188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March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4,384,348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40,016</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7,902,830</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ind w:left="638"/>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(121,288)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(118,779)</w:t>
            </w:r>
          </w:p>
        </w:tc>
        <w:tc>
          <w:tcPr>
            <w:tcW w:w="0" w:type="dxa"/>
            <w:vAlign w:val="bottom"/>
          </w:tcPr>
          <w:p>
            <w:pPr>
              <w:spacing w:after="0"/>
              <w:rPr>
                <w:sz w:val="1"/>
                <w:szCs w:val="1"/>
                <w:color w:val="auto"/>
              </w:rPr>
            </w:pPr>
          </w:p>
        </w:tc>
      </w:tr>
      <w:tr>
        <w:trPr>
          <w:trHeight w:val="121"/>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rPr>
              <w:t>Issuance of redeemable</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w w:val="95"/>
              </w:rPr>
              <w:t>convertible preferred stock,</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w w:val="91"/>
              </w:rPr>
              <w:t>net of discount and issuance</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43,952,862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18,330</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cost</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Conversion of redeemable</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w w:val="89"/>
              </w:rPr>
              <w:t>convertible preferred stock to</w:t>
            </w:r>
          </w:p>
        </w:tc>
        <w:tc>
          <w:tcPr>
            <w:tcW w:w="108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w w:val="90"/>
              </w:rPr>
              <w:t>(4,384,348)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(40,016)</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4,384,348</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40,016</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40,016</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common stock</w:t>
            </w: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2"/>
              </w:rPr>
              <w:t>Conversion of convertible notes</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7,201,911</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78,311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78,311</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to common stock</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Stock-based compensation</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1"/>
              </w:rPr>
              <w:t>Vesting of early exercised stock</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(11,312)</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line="141" w:lineRule="exact"/>
              <w:rPr>
                <w:sz w:val="20"/>
                <w:szCs w:val="20"/>
                <w:color w:val="auto"/>
              </w:rPr>
            </w:pPr>
            <w:r>
              <w:rPr>
                <w:rFonts w:ascii="Arial" w:cs="Arial" w:eastAsia="Arial" w:hAnsi="Arial"/>
                <w:sz w:val="13"/>
                <w:szCs w:val="13"/>
                <w:color w:val="auto"/>
              </w:rPr>
              <w:t>Balance — June 30,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43,952,862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18,330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19,489,089</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121,308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ind w:left="638"/>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(132,600)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(11,292)</w:t>
            </w:r>
          </w:p>
        </w:tc>
        <w:tc>
          <w:tcPr>
            <w:tcW w:w="0" w:type="dxa"/>
            <w:vAlign w:val="bottom"/>
          </w:tcPr>
          <w:p>
            <w:pPr>
              <w:spacing w:after="0"/>
              <w:rPr>
                <w:sz w:val="1"/>
                <w:szCs w:val="1"/>
                <w:color w:val="auto"/>
              </w:rPr>
            </w:pPr>
          </w:p>
        </w:tc>
      </w:tr>
      <w:tr>
        <w:trPr>
          <w:trHeight w:val="94"/>
        </w:trPr>
        <w:tc>
          <w:tcPr>
            <w:tcW w:w="1880" w:type="dxa"/>
            <w:vAlign w:val="bottom"/>
            <w:tcBorders>
              <w:top w:val="single" w:sz="8" w:color="CCEEFF"/>
            </w:tcBorders>
            <w:shd w:val="clear" w:color="auto" w:fill="CCEEFF"/>
          </w:tcPr>
          <w:p>
            <w:pPr>
              <w:ind w:left="180"/>
              <w:spacing w:after="0" w:line="95" w:lineRule="exact"/>
              <w:rPr>
                <w:sz w:val="20"/>
                <w:szCs w:val="20"/>
                <w:color w:val="auto"/>
              </w:rPr>
            </w:pPr>
            <w:r>
              <w:rPr>
                <w:rFonts w:ascii="Arial" w:cs="Arial" w:eastAsia="Arial" w:hAnsi="Arial"/>
                <w:sz w:val="10"/>
                <w:szCs w:val="10"/>
                <w:color w:val="auto"/>
              </w:rPr>
              <w:t>Issuance of common stock upon</w:t>
            </w:r>
          </w:p>
        </w:tc>
        <w:tc>
          <w:tcPr>
            <w:tcW w:w="10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w w:val="97"/>
              </w:rPr>
              <w:t>exercise of restricted stock</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0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1,617,264</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awards</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0"/>
              </w:rPr>
              <w:t>Issuance of common stock upon</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63,076</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Issuance of redeemable</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w w:val="95"/>
              </w:rPr>
              <w:t>convertible preferred stock,</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w w:val="91"/>
              </w:rPr>
              <w:t>net of discount and issuance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44,481,892</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20,895</w:t>
            </w: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cost</w:t>
            </w: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rPr>
              <w:t>Stock-based compensation</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7,256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7,256</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expense</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1"/>
              </w:rPr>
              <w:t>Vesting of early exercised stock</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jc w:val="center"/>
              <w:ind w:left="53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(19,615)</w:t>
            </w:r>
          </w:p>
        </w:tc>
        <w:tc>
          <w:tcPr>
            <w:tcW w:w="0" w:type="dxa"/>
            <w:vAlign w:val="bottom"/>
          </w:tcPr>
          <w:p>
            <w:pPr>
              <w:spacing w:after="0"/>
              <w:rPr>
                <w:sz w:val="1"/>
                <w:szCs w:val="1"/>
                <w:color w:val="auto"/>
              </w:rPr>
            </w:pPr>
          </w:p>
        </w:tc>
      </w:tr>
      <w:tr>
        <w:trPr>
          <w:trHeight w:val="194"/>
        </w:trPr>
        <w:tc>
          <w:tcPr>
            <w:tcW w:w="188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w w:val="99"/>
              </w:rPr>
              <w:t>Balance — September 30, 2020</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88,434,754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39,225</w:t>
            </w: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21,169,429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128,591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center"/>
              <w:ind w:left="638"/>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(152,215)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(23,624)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40" w:firstLine="8"/>
        <w:spacing w:after="0" w:line="255" w:lineRule="auto"/>
        <w:tabs>
          <w:tab w:leader="none" w:pos="178"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shares of the Company’s common and redeemable convertible preferred stock, prior to the Merger (as defined in Note 1), have been retroactively restated as shares reflecting the exchange ratio of approximately 0.703 established in the Merger as described in Note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36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(65,637)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(49,620)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7,891</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Change in right-of-use asset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 expense on notes and convertible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Amortization of debt issuance costs and debt discount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fair value of warrant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Change in fair value of derivative liability</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5,308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extinguishment of tranche right liability</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Inventory write down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110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0" w:type="dxa"/>
            <w:vAlign w:val="bottom"/>
          </w:tcPr>
          <w:p>
            <w:pPr>
              <w:spacing w:after="0"/>
              <w:rPr>
                <w:sz w:val="1"/>
                <w:szCs w:val="1"/>
                <w:color w:val="auto"/>
              </w:rPr>
            </w:pPr>
          </w:p>
        </w:tc>
      </w:tr>
      <w:tr>
        <w:trPr>
          <w:trHeight w:val="213"/>
        </w:trPr>
        <w:tc>
          <w:tcPr>
            <w:tcW w:w="8280" w:type="dxa"/>
            <w:vAlign w:val="bottom"/>
          </w:tcPr>
          <w:p>
            <w:pPr>
              <w:ind w:left="110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3"/>
        </w:trPr>
        <w:tc>
          <w:tcPr>
            <w:tcW w:w="8280" w:type="dxa"/>
            <w:vAlign w:val="bottom"/>
          </w:tcPr>
          <w:p>
            <w:pPr>
              <w:ind w:left="1100"/>
              <w:spacing w:after="0"/>
              <w:rPr>
                <w:sz w:val="20"/>
                <w:szCs w:val="20"/>
                <w:color w:val="auto"/>
              </w:rPr>
            </w:pPr>
            <w:r>
              <w:rPr>
                <w:rFonts w:ascii="Arial" w:cs="Arial" w:eastAsia="Arial" w:hAnsi="Arial"/>
                <w:sz w:val="16"/>
                <w:szCs w:val="16"/>
                <w:color w:val="auto"/>
              </w:rPr>
              <w:t>Accrued and other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Operating lease liability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(45,106)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(34,631)</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the merger and private offering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Payment of offering costs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(27,124)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Repayment of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Proceeds from issuance of promissory notes to related parties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Repayment of promissory notes to related parties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Issuance of common stock upon exercise of restricted stock awards</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issuance of Series B redeemable convertible preferred stock, net of issuance cost of $265</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41,526</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257,826</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38,543</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18,405</w:t>
            </w:r>
          </w:p>
        </w:tc>
        <w:tc>
          <w:tcPr>
            <w:tcW w:w="0" w:type="dxa"/>
            <w:vAlign w:val="bottom"/>
          </w:tcPr>
          <w:p>
            <w:pPr>
              <w:spacing w:after="0"/>
              <w:rPr>
                <w:sz w:val="1"/>
                <w:szCs w:val="1"/>
                <w:color w:val="auto"/>
              </w:rPr>
            </w:pPr>
          </w:p>
        </w:tc>
      </w:tr>
      <w:tr>
        <w:trPr>
          <w:trHeight w:val="23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223,588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OPERATING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paid for interest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color w:val="auto"/>
              </w:rPr>
              <w:t>Private placement warrants acquired as part of the merger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19,377</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Issuance of redeemable convertible preferred stock upon exercise of warrants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97,322</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40,016</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Right-of-use assets obtained in exchange for operating lease liability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6,234</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460"/>
              <w:spacing w:after="0"/>
              <w:rPr>
                <w:sz w:val="20"/>
                <w:szCs w:val="20"/>
                <w:color w:val="auto"/>
              </w:rPr>
            </w:pPr>
            <w:r>
              <w:rPr>
                <w:rFonts w:ascii="Arial" w:cs="Arial" w:eastAsia="Arial" w:hAnsi="Arial"/>
                <w:sz w:val="16"/>
                <w:szCs w:val="16"/>
                <w:color w:val="auto"/>
              </w:rPr>
              <w:t>Issuance of common stock pursuant to the conversion of convertible notes and accrued interest</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vMerge w:val="continue"/>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78,311</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Ouster, Inc. was incorporated in the state of Delaware on June 4, 2020. The Company’s operating subsidiary, Ouster Technologies, Inc. (“OTI” and prior to the Merger (as defined below), named Ouster, Inc.),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Colonnade Acquisition Corp.) and its consolidated subsidiaries following the consummation of the Merger.</w:t>
      </w:r>
    </w:p>
    <w:p>
      <w:pPr>
        <w:spacing w:after="0" w:line="14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Colonnade Acquisition Corp. (“CLA”), the Company’s predecessor, was originally a blank check company incorporated as a Cayman Islands exempted company on June 4, 2020. The Company was formed for the purpose of effecting a merger, share exchange, asset acquisition, share purchase, reorganization or similar business combination with one or more businesses. On March 11, 2021, CLA consummated a merger with the Company pursuant to an Agreement and Plan of Merger (the “Merger Agreement”) dated as of December 21, 2020, details of which are included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subsidiaries (all of which are wholly owned) and have been prepared in conformity with U.S. generally accepted accounting principles (“US GAAP”) applicable to interim periods. The functional currency for the Company is the United States dollar. All intercompany balances and transactions have been eliminated in consolidation.</w:t>
      </w:r>
    </w:p>
    <w:p>
      <w:pPr>
        <w:spacing w:after="0" w:line="11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2020 and the notes related thereto, included as Exhibit 99.1 to the Form 8-K filed with the Securities and Exchange Commission (“SEC”) on March 15, 2021, as amended on July 12, 2021.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such rules and regulations. The results of operations for any interim period are not necessarily indicative of the results to be expected for the year ending December 31, 2021 or for any other future years or interim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been actively monitoring the ongoing COVID-19 pandemic situation and its impact on the Company’s business. In response to the pandemic, numerous state and local jurisdictions have imposed “shelter-in-place” orders, quarantines and other restrictions. In the United States, governmental authorities have, at times, recommended, and in certain cases required, that elective, specialty and other procedures and appointments, be suspended or canceled. In the United States, COVID-19 restrictions continue to vary state by state as the measures depend greatly on the political landscape and the resurgence of new cases. In California, where the Company’s headquarters are located, face coverings indoors are still recommended regardless of vaccination status, and some counties continue to have mask mandates. Such orders or restrictions resulted in reduced operations at the Company’s headquarters (including its manufacturing facility), work stoppages, slowdowns and delays, travel restrictions and cancellation of events and have restricted the efforts of the Company’s sales representatives, thereby significantly and negatively impacting the Company’s operations.</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full extent to which the COVID-19 pandemic will directly or indirectly impact our business, results of operations and financial condition, including sales, expenses, reserves and allowances, manufacturing, research and development costs and employee-related amounts, will depend on future developments that are highly uncertain, including as a result of new information that may emerge concerning COVID-19, including variants, the progression and effectiveness of vaccination roll-outs, vaccination hesitancy, and the actions taken to contain it or treat COVID-19, as well as the economic impact on local,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regional, national and international customers and markets. The situation surrounding COVID-19 remains fluid and the potential for a material impact on the Company increases the longer the virus impacts the level of economic activity in the United States and globally. Given the ongoing evolution of the COVID-19 and the global responses to curb its spread, the Company is not able to estimate the effects of the COVID-19 on its results of operations, financial condition, or liquidity for the year ending December 31, 2021 and beyond.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accompanying unaudited condensed consolidated financial statements have been prepared on a going concern basis. The Company has experienced recurring losses from operations, and negative cash flows from operations. As of September 30, 2021, the Company had an accumulated deficit of approximately $275.0 million. The Company has historically financed its operations primarily through the Merger and related transactions, the sale of convertible notes, equity securities, proceeds from debt and, to a lesser extent, cash received from sales. Management expects significant operating losses and negative cash flows from operations to continue for the foreseeable future. The Company expects to continue investing in product development and sales and marketing activities. The long-term continuation of the Company’s business plan is dependent upon the generation of sufficient revenues from its products to offset expenses. In the event that the Company does not generate sufficient cash flows from operations and is unable to obtain funding, the Company will be forced to delay, reduce, or eliminate some or all of its discretionary spending, which could adversely affect the Company’s business prospects, ability to meet long-term liquidity needs or ability to continue operations. The Company has concluded that its cash and cash equivalents as of September 30, 2021 are sufficient for the Company to continue as a going concern for at least one year from the date these unaudited condensed consolidated financial statements are available for issuance.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 with Colonnade Acquisition Corp. and Beam Merger Sub, Inc.</w:t>
      </w:r>
    </w:p>
    <w:p>
      <w:pPr>
        <w:spacing w:after="0" w:line="171"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On December 21, 2020, OTI entered into the Merger Agreement with CLA and Beam Merger Sub, Inc. (“Merger Sub”), a Delaware corporation and subsidiary of CLA. OTI’s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and changed its name to “Ouster, Inc.” and (ii) Merger Sub merged with and into OTI (such transactions contemplated by the Merger Agreement, the “Merger”), with OTI surviving the Merger.</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result of the Merger, among other things, (1) each of the then issued and outstanding 5,000,000 CLA Class B ordinary shares, par value $0.0001 per share, of CLA (the “CLA Class B ordinary shares”) converted automatically, on a one-for-one basis, into a CLA Class A ordinary share (as defined below),</w:t>
      </w:r>
    </w:p>
    <w:p>
      <w:pPr>
        <w:ind w:firstLine="8"/>
        <w:spacing w:after="0" w:line="268"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closing of the Merger, the Company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received gross proceeds of $299.9 million from the Merger and private offering, offset by $8.5 million of pre-merger costs relating to CLA and offerings costs of $26.6 million.</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Merger was accounted for as a reverse recapitalization under US GAAP. Under this method of accounting, CLA is treated as the “acquired” company for financial reporting purposes. This determination is primarily based on OTI stockholders comprising a relative majority of the voting power of the Company and having the ability to nominate the members of the board of directors of the Company after the Merger, OTI’s operations prior to the Merger comprising the only ongoing operations of the Company following the Merger, and OTI’s senior management prior to the Merger comprising a majority of the senior management of the Company following the Merger. Accordingly, for accounting purposes, the financial statements of the Company represent a continuation of the financial statements of OTI with the Merger being treated as the equivalent of OTI issuing stock for the net assets of CLA, accompanied by a recapitalization whereby no goodwill or other intangible assets are recorded. Transactions and balances prior to the Merger are those of OTI. The shares and net loss per share available to holders of OTI’s common stock prior to the Merger have been retroactively restated as shares reflecting the exchange ratio established in the Merger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there were no significant changes to the Company’s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Based on our public float as of June 30, 2021, we expect to become a large accelerated filer, and lose emerging growth company status, as of December 31, 2021. As of December 31, 2021, we will be required to adopt new or revised accounting standards when they are applicable to public companies that are not emerging growth companies.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2016, the FASB issued ASU 2016-13, Financial Instruments—Credit Losses (Topic 326), to introduce a new impairment model for recognizing credit losses on financial instruments based on an estimate of current expected credit losses (“ECL”). Under the new model, an entity is required to estimate ECL on available-for-sale (AFS) debt securities only when the fair value is below the amortized cost of the asset and is no longer based on an impairment being “other-than-temporary”. The new model also requires the impairment calculation on an individual security level and requires an entity to use the present value of cash flows when estimating the ECL. The credit-related losses are required to be recognized through earnings and non-credit related losses are reported in other comprehensive income. The Company will adopt ASC 2016-13 for the December 31, 2021 annual period, with a modified retrospective application to all outstanding instruments and a cumulative effect adjustment recorded to opening retained earnings as of January 1, 2021. The Company does not believe the adoption of this new guidance will have a material impact on its consolidated financial statements.</w:t>
      </w:r>
    </w:p>
    <w:p>
      <w:pPr>
        <w:spacing w:after="0" w:line="11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which aligns the requirements for capitalizing implementation costs incurred in a cloud computing arrangement that is a service contract with the requirements for capitalizing implementation costs incurred to develop or obtain internal-use software. The Company will adopt ASC 2018-15 for the December 31, 2021 annual period. The Company does not believe the adoption of this new guidance will have a material impact on its consolidated financial statements.</w:t>
      </w:r>
    </w:p>
    <w:p>
      <w:pPr>
        <w:spacing w:after="0" w:line="20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(“ASU 2020-06). ASU 2020-06 simplifies the accounting for convertible debt and convertible preferred stock by removing the requirements to separately present certain conversion features in equity. In addition, the amendments in the ASU also simplify the guidance in ASC 815-40, Derivatives and Hedging: Contracts in Entity’s Own Equity, by removing certain criteria that must be satisfied in order to classify a contract as equity, which 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new standard is effective for the Company for annual periods beginning December 15, 2021. The Company is currently evaluating the impact of the adoption of this ASU on the Company’s condensed consolidated financial statements.</w:t>
      </w:r>
    </w:p>
    <w:p>
      <w:pPr>
        <w:spacing w:after="0" w:line="21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October 2021, the FASB issued ASU 2018-08, Business Combinations (Topic 805): Accounting for Contract Assets and Contract Liabilities from Contracts with Customers, which amends ASC 805 to add contract assets and contract 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 606. The amendments in this ASU are effective for fiscal years beginning after December 15, 2022, including interim periods within those fiscal years and should be applied prospectively to business combinations occurring on or after the effective date of the amendments. Early adoption of the amendments is permitted, including adoption in an interim period. The Company is currently evaluating the impact of the adoption of this ASU on the Company’s condensed consolidated financial statements.</w:t>
      </w:r>
    </w:p>
    <w:p>
      <w:pPr>
        <w:spacing w:after="0" w:line="1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other newly issued or newly applicable accounting pronouncements that do not require adoption until a future date that have had, or are expected to have, a significant impact on the Company’s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cash equivalents, and restricted cash, and accounts receivable. Cash, cash equivalents and restricted cash are deposited with federally insured commercial banks in the United States and at times cash balances may be in excess of federal insurance limits. The Company generally does not require collateral or other security deposits for accounts receivable.</w:t>
      </w:r>
    </w:p>
    <w:p>
      <w:pPr>
        <w:spacing w:after="0" w:line="9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54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5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56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24"/>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27"/>
        </w:trPr>
        <w:tc>
          <w:tcPr>
            <w:tcW w:w="6240" w:type="dxa"/>
            <w:vAlign w:val="bottom"/>
            <w:gridSpan w:val="2"/>
          </w:tcPr>
          <w:p>
            <w:pPr>
              <w:spacing w:after="0"/>
              <w:rPr>
                <w:sz w:val="20"/>
                <w:szCs w:val="20"/>
                <w:color w:val="auto"/>
              </w:rPr>
            </w:pPr>
            <w:r>
              <w:rPr>
                <w:rFonts w:ascii="Arial" w:cs="Arial" w:eastAsia="Arial" w:hAnsi="Arial"/>
                <w:sz w:val="18"/>
                <w:szCs w:val="18"/>
                <w:color w:val="auto"/>
                <w:w w:val="91"/>
              </w:rPr>
              <w:t>* Customer accounted for less than 10% of total accounts receivable as of such date.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7760" w:type="dxa"/>
            <w:vAlign w:val="bottom"/>
            <w:gridSpan w:val="5"/>
          </w:tcPr>
          <w:p>
            <w:pPr>
              <w:spacing w:after="0"/>
              <w:rPr>
                <w:sz w:val="20"/>
                <w:szCs w:val="20"/>
                <w:color w:val="auto"/>
              </w:rPr>
            </w:pPr>
            <w:r>
              <w:rPr>
                <w:rFonts w:ascii="Arial" w:cs="Arial" w:eastAsia="Arial" w:hAnsi="Arial"/>
                <w:sz w:val="18"/>
                <w:szCs w:val="18"/>
                <w:color w:val="auto"/>
                <w:w w:val="91"/>
              </w:rPr>
              <w:t>Revenue from the Company’s major customers representing 10% or more of total revenue was as follows: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6"/>
        </w:trPr>
        <w:tc>
          <w:tcPr>
            <w:tcW w:w="510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5100" w:type="dxa"/>
            <w:vAlign w:val="bottom"/>
          </w:tcPr>
          <w:p>
            <w:pPr>
              <w:spacing w:after="0"/>
              <w:rPr>
                <w:sz w:val="16"/>
                <w:szCs w:val="16"/>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right"/>
              <w:ind w:right="52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Customer D</w:t>
            </w: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Customer accounted for less than 10% of total revenue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supplier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Purchases from the Company’s major suppliers representing 10% or more of total purchases were as follows: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49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27"/>
        </w:trPr>
        <w:tc>
          <w:tcPr>
            <w:tcW w:w="4920" w:type="dxa"/>
            <w:vAlign w:val="bottom"/>
          </w:tcPr>
          <w:p>
            <w:pPr>
              <w:spacing w:after="0"/>
              <w:rPr>
                <w:sz w:val="20"/>
                <w:szCs w:val="20"/>
                <w:color w:val="auto"/>
              </w:rPr>
            </w:pPr>
            <w:r>
              <w:rPr>
                <w:rFonts w:ascii="Arial" w:cs="Arial" w:eastAsia="Arial" w:hAnsi="Arial"/>
                <w:sz w:val="18"/>
                <w:szCs w:val="18"/>
                <w:color w:val="auto"/>
              </w:rPr>
              <w:t>Supplier A</w:t>
            </w: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19 %</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Supplier A accounted for 50% and 23% of total accounts payable balance as of September 30, 2021 and December 31,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0" w:lineRule="exact"/>
        <w:rPr>
          <w:sz w:val="20"/>
          <w:szCs w:val="20"/>
          <w:color w:val="auto"/>
        </w:rPr>
      </w:pPr>
    </w:p>
    <w:p>
      <w:pPr>
        <w:ind w:left="980" w:hanging="567"/>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17" w:lineRule="exact"/>
        <w:rPr>
          <w:rFonts w:ascii="Arial" w:cs="Arial" w:eastAsia="Arial" w:hAnsi="Arial"/>
          <w:sz w:val="18"/>
          <w:szCs w:val="18"/>
          <w:color w:val="auto"/>
        </w:rPr>
      </w:pPr>
    </w:p>
    <w:p>
      <w:pPr>
        <w:ind w:left="980" w:right="360" w:hanging="567"/>
        <w:spacing w:after="0" w:line="308"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8" w:lineRule="exact"/>
        <w:rPr>
          <w:rFonts w:ascii="Arial" w:cs="Arial" w:eastAsia="Arial" w:hAnsi="Arial"/>
          <w:sz w:val="17"/>
          <w:szCs w:val="17"/>
          <w:color w:val="auto"/>
        </w:rPr>
      </w:pPr>
    </w:p>
    <w:p>
      <w:pPr>
        <w:ind w:left="980" w:hanging="567"/>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Instruments whose significant value drivers are unobservable.</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On September 30, 2021, the Company’s Level 3 liabilities consisted of the Private Placement warrant liability. The determination of the fair value of warrant liability is discussed in </w:t>
      </w:r>
      <w:r>
        <w:rPr>
          <w:rFonts w:ascii="Arial" w:cs="Arial" w:eastAsia="Arial" w:hAnsi="Arial"/>
          <w:sz w:val="18"/>
          <w:szCs w:val="18"/>
          <w:b w:val="1"/>
          <w:bCs w:val="1"/>
          <w:color w:val="auto"/>
        </w:rPr>
        <w:t>Note 6</w:t>
      </w:r>
      <w:r>
        <w:rPr>
          <w:rFonts w:ascii="Arial" w:cs="Arial" w:eastAsia="Arial" w:hAnsi="Arial"/>
          <w:sz w:val="18"/>
          <w:szCs w:val="18"/>
          <w:color w:val="auto"/>
        </w:rPr>
        <w:t>.</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On December 31, 2020, the Company’s Level 3 liabilities consisted of the redeemable convertible preferred stock warrant liability. The determination of the fair value of warrant liability is discussed in </w:t>
      </w:r>
      <w:r>
        <w:rPr>
          <w:rFonts w:ascii="Arial" w:cs="Arial" w:eastAsia="Arial" w:hAnsi="Arial"/>
          <w:sz w:val="18"/>
          <w:szCs w:val="18"/>
          <w:b w:val="1"/>
          <w:bCs w:val="1"/>
          <w:color w:val="auto"/>
        </w:rPr>
        <w:t>Note 6</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provides information by level for the Company’s assets and liabilities that were measured at fair value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September 30, 2021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219,276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219,276</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219,276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10,493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are included within Level 1 of the fair value hierarchy because they are valued using quoted market prices.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fair value of the redeemable convertible preferred stock warrant, redeemable convertible preferred stock tranche and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w:t>
      </w:r>
      <w:r>
        <w:rPr>
          <w:rFonts w:ascii="Arial" w:cs="Arial" w:eastAsia="Arial" w:hAnsi="Arial"/>
          <w:sz w:val="18"/>
          <w:szCs w:val="18"/>
          <w:b w:val="1"/>
          <w:bCs w:val="1"/>
          <w:color w:val="auto"/>
        </w:rPr>
        <w:t>Note 6</w:t>
      </w:r>
      <w:r>
        <w:rPr>
          <w:rFonts w:ascii="Arial" w:cs="Arial" w:eastAsia="Arial" w:hAnsi="Arial"/>
          <w:sz w:val="18"/>
          <w:szCs w:val="18"/>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fair value of the Company’s Level 3 financial instruments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Redeemable</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80" w:type="dxa"/>
            <w:vAlign w:val="bottom"/>
          </w:tcPr>
          <w:p>
            <w:pPr>
              <w:spacing w:after="0"/>
              <w:rPr>
                <w:sz w:val="10"/>
                <w:szCs w:val="10"/>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Private Placement</w:t>
            </w:r>
          </w:p>
        </w:tc>
        <w:tc>
          <w:tcPr>
            <w:tcW w:w="180" w:type="dxa"/>
            <w:vAlign w:val="bottom"/>
          </w:tcPr>
          <w:p>
            <w:pPr>
              <w:spacing w:after="0"/>
              <w:rPr>
                <w:sz w:val="10"/>
                <w:szCs w:val="10"/>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w w:val="99"/>
              </w:rPr>
              <w:t>Derivative</w:t>
            </w:r>
          </w:p>
        </w:tc>
        <w:tc>
          <w:tcPr>
            <w:tcW w:w="0" w:type="dxa"/>
            <w:vAlign w:val="bottom"/>
          </w:tcPr>
          <w:p>
            <w:pPr>
              <w:spacing w:after="0"/>
              <w:rPr>
                <w:sz w:val="1"/>
                <w:szCs w:val="1"/>
                <w:color w:val="auto"/>
              </w:rPr>
            </w:pPr>
          </w:p>
        </w:tc>
      </w:tr>
      <w:tr>
        <w:trPr>
          <w:trHeight w:val="122"/>
        </w:trPr>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6"/>
              </w:rPr>
              <w:t>Preferred Stock</w:t>
            </w:r>
          </w:p>
        </w:tc>
        <w:tc>
          <w:tcPr>
            <w:tcW w:w="1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Warrant Liability</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Tranche Liability</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rPr>
              <w:t>Warrant Liability</w:t>
            </w:r>
          </w:p>
        </w:tc>
        <w:tc>
          <w:tcPr>
            <w:tcW w:w="18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3"/>
                <w:szCs w:val="13"/>
                <w:b w:val="1"/>
                <w:bCs w:val="1"/>
                <w:color w:val="auto"/>
              </w:rPr>
              <w:t>Liability</w:t>
            </w: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Change in the fair value included in other income (expense),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Recognition of preferred stock warrant and tranche liability upon issuance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w w:val="96"/>
              </w:rPr>
              <w:t>Extinguishment of derivative liability upon conversion of convertible notes</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176"/>
        </w:trPr>
        <w:tc>
          <w:tcPr>
            <w:tcW w:w="5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Fair value as of Settlement of redeemable convertible preferred stock tranche</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liability due to the issuance of Series B redeemable convertible preferred</w:t>
            </w: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4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Fair value as of September 30,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Private placement warrant liability acquired as part of the Merger</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the fair value included in other income (expense),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Issuance of preferred stock upon exercise of warrants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financial instruments that are not re-measured at fair value include accounts receivable, accounts payable, accrued and other current liabilities, convertible notes and debt. The carrying values of these financial instruments approximate their fair values.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219,276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221,576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11,362</w:t>
            </w: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40"/>
        <w:spacing w:after="0" w:line="22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Company maintains a cash sweep account which is included in money market funds as of September 30, 2021. Cash is invested in the short-term money market funds, which is a cash sweep for uninvested cash that earns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Restricted cash consists of certificates of deposit held by a bank as security for outstanding letters of credit. The Company had a restricted cash balance of $2.0 million and $1.3 million as of September 30, 2021 and December 31, 2020, respectively, which has been excluded from the Company’s cash and cash equivalents balances. The Company presented $1.0 million and $0.3 million of the total amount of restricted cash within current assets on the condensed consolidated balance sheets as of September 30, 2021 and December 31, 2020, respectively. The remaining restricted cash balance of $1.0 million and $1.0 million is included in non-current assets on the condensed consolidated balance sheets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Reconciliation of cash, cash equivalents and restricted cash as shown in the condensed consolidated statement of cash flows to the respective accounts within the condensed consolidated balance sheet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September 30,</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18,367</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223,588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19,923</w:t>
            </w: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consisting of material, direct and indirect labor, and manufacturing overhead, consists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Total inventory balance as of September 30, 2021 and December 31, 2020 includes a write down of $2.6 million and $2.7 million, respectively, for obsolete, scrap, or returned inventory. During the three months ended September 30, 2021 and 2020, $0.7 million and $0 million of inventory write offs were charged to cost of revenue. During the nine months ended September 30, 2021 and 2020, respectively, $0.9 million and $1.2 million of inventory write offs were charged to cost of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insurance</w:t>
            </w:r>
          </w:p>
        </w:tc>
        <w:tc>
          <w:tcPr>
            <w:tcW w:w="27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 from contract manufacturer</w:t>
            </w:r>
          </w:p>
        </w:tc>
        <w:tc>
          <w:tcPr>
            <w:tcW w:w="2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deposit</w:t>
            </w:r>
          </w:p>
        </w:tc>
        <w:tc>
          <w:tcPr>
            <w:tcW w:w="2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prepaid and other current assets</w:t>
            </w:r>
          </w:p>
        </w:tc>
        <w:tc>
          <w:tcPr>
            <w:tcW w:w="2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and Other Current Liabilities</w:t>
            </w:r>
          </w:p>
        </w:tc>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color w:val="auto"/>
                <w:w w:val="92"/>
              </w:rPr>
              <w:t>Accrued and other current liabilities consist of the following (in thousands):</w:t>
            </w: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27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Uninvoiced receipts</w:t>
            </w:r>
          </w:p>
        </w:tc>
        <w:tc>
          <w:tcPr>
            <w:tcW w:w="2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w w:val="99"/>
              </w:rPr>
              <w:t>16</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Runway Growth Loan Agreement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27, 2018, the Company entered into a Loan and Security Agreement with Runway Growth Credit Fund Inc. (“Runway Loan and Security Agreement”). The Runway Loan and Security Agreement provided for loans in an aggregate principal amount up to $10.0 million with a loan maturity date of November 15, 2021. The loan carried an interest rate equal to LIBOR plus 8.5%, unless LIBOR becomes no longer attainable or ceases to fairly reflect the costs of the lender, in which case the applicable interest rate shall be Prime Rate plus 6.0%. In an event of default, annual interest is increased by 5.0% above the otherwise applicable rate. The loan’s annual effective interest rate was approximately 16.4% for each of the nine months ended September 30, 2021 and 2020.</w:t>
      </w:r>
    </w:p>
    <w:p>
      <w:pPr>
        <w:spacing w:after="0" w:line="13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conjunction with the Runway Loan and Security Agreement, the Company issued a warrant to purchase 35,348 shares of Series A redeemable convertible preferred stock (the “Series A Preferred Stock”) of OTI (4.0% of original principal amount of $10.0 million, divided by the exercise price), with an exercise price of $11.3518 per share. The fair value of this warrant was estimated to be $0.1 million and accounted for as a debt discount. On August 5, 2019, in connection with the second amendment to the Runway Loan and Security Agreement, OTI amended the warrant issued to Runway Growth to increase the number of shares available to purchase to 53,023 shares of Series A Preferred Stock of OTI. The aggregate value of the warrants increased by $0.1 million after the warrant modification.</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warrants were exercised on March 11, 2021 and the warrant liability was remeasured to fair value with the increase recognized as a loss of $0.6 million for the three and nine months ended September 30, 2021 within other income (expense), net in the consolidated statements of operations and comprehensive loss. The warrant liability was remeasured to fair value as of September 30, 2020 and the reduction was recognized as a gain of $0.2 million.</w:t>
      </w:r>
    </w:p>
    <w:p>
      <w:pPr>
        <w:spacing w:after="0" w:line="13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March 26, 2021 the Company terminated the Runway Loan and Security Agreement and repaid the $7.0 million principal amount outstanding as well as interest and fees amounting to $0.4 million. The Company incurred no prepayment fees in connection with the termination and all liens and security interests securing the loan made pursuant to the Runway Loan and Security Agreement were released upon termination. As of September 30, 2021 and December 31, 2020, the outstanding principal balance of the loan was nil and $7.0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issued a $5 million promissory note in January 2021 to certain current investors of the Company (or their respective affiliates) to help continue to fund the Company’s ongoing operations through the consummation of the Merger. The note accrued interest at a rate equal to LIBOR plus 8.5% per annum and was repaid on March 11, 2021 in accordance with its terms in connection with the consummation of the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and B Redeemable Convertible Preferred Stock Warrants and Tranche Liability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27, 2018, in connection with the execution of the Runway Loan and Security Agreement, OTI issued a warrant to purchase 35,348 shares of Series A Preferred Stock of OTI at an exercise price of $11.3518 per share (the “Runway warrant”). On August 5, 2019, in connection with the second amendment to the Runway Loan and Security Agreement, OTI amended the Runway warrant to increase the number of shares available to purchase to 53,023 shares of Series A Preferred Stock of OTI at an exercise price of $11.3518 per share.</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Runway warrants included a cashless exercise provision under which their holders could, in lieu of payment of the exercise price in cash, surrender the Runway warrant and receive a net amount of shares based on the fair market value of OTI’s stock at the time of exercise of the warrants after deduction of the aggregate exercise price. The Runway warrants contained provisions for adjustment of the exercise price and number of shares issuable upon the exercise of the Runway warrants in the event of certain stock dividends, stock splits, reorganizations, reclassifications, and consolidations.</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fair value of the warrants issued was recorded as of the date of initial issuance in the amount of $0.1 million. The subsequent issuance of warrants pursuant to the August 5, 2019 amendment to the Runway Loan and Security Agreement was recorded in the amount of $0.1 million. Immediately prior to the Merger, the warrants were exercised in full in accordance with their terms.</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3, 2020, in connection with the closing of the Series B redeemable convertible preferred stock, OTI issued a warrant to purchase 4,513,993 shares of Series B redeemable convertible preferred stock of the Company at an exercise price of</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$0.3323 per share (the “Series B warrants”). The Series B warrants could be exercised prior to the earliest to occur of (i) the 10 year anniversary of the date of issuance, (ii) the consummation of a liquidation transaction, or (iii) the consummation of an initial public offering. The Series B warrants included a cashless exercise provision under which their holders may, in lieu of payment of the exercise price in cash, surrender the warrant and receive a net amount of shares based on the fair market value of the Company’s stock at the time of exercise of the warrants after deduction of the aggregate exercise price. The Series B warrants contained provisions for adjustment of the exercise price and number of shares issuable upon the exercise of the Series B warrants in the event of certain stock dividends, stock splits, reorganizations, reclassifications, and consolidations.</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Series B warrants were initially recognized as a liability at a fair value of $0.7 million. The Series B warrants were exercised on February 11, 2021 and the warrant liability was remeasured to fair value as of that date, resulting in a loss of $8.3 million for the nine months ended September 30, 2021, classified within other income (expense), net in the consolidated statements of operations and comprehensive loss. Upon exercise redeemable convertible preferred stock converted into common stock pursuant to the conversion rate effective immediately prior to the Merger.</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Historically, value was assigned to each class of equity securities using an option pricing model method (“OPM”). In September 2020, OTI began allocating the equity value using a hybrid method that utilizes a combination of the OPM and the probability weighted expected return method (“PWERM”). The PWERM is a scenario-based methodology that estimates the fair value of equity securities based upon an analysis of future values for OTI, assuming various outcomes. As the probability of a transaction with a special purpose acquisition company (“SPAC”) increased, the fair value of the redeemable convertible preferred stock warrant liability increased as of the date of the exercise.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redeemable convertible preferred stock warrants were valued using the following assumptions under the Black-Scholes option-pricing model: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Initial Issuance</w:t>
            </w: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Subsequent</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11,</w:t>
            </w:r>
          </w:p>
        </w:tc>
        <w:tc>
          <w:tcPr>
            <w:tcW w:w="260" w:type="dxa"/>
            <w:vAlign w:val="bottom"/>
          </w:tcPr>
          <w:p>
            <w:pPr>
              <w:spacing w:after="0"/>
              <w:rPr>
                <w:sz w:val="14"/>
                <w:szCs w:val="14"/>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11,</w:t>
            </w:r>
          </w:p>
        </w:tc>
      </w:tr>
      <w:tr>
        <w:trPr>
          <w:trHeight w:val="188"/>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Issuance Date</w:t>
            </w: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8.44</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2.00</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0.13 %</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Convertible Preferred Stock Tranche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2020 and May 2020, OTI issued 62,505,102 shares of Series B redeemable convertible preferred stock at $0.3323 per share. For each share purchased, the purchaser had an option to purchase an additional share of Series B redeemable convertible preferred stock at $0.3323 per share, exercisable at any time prior to August 13, 2020 (the “Tranche Right”). The Company determined that the Tranche Right represented a freestanding obligation of the Company to issue additional shares of contingently redeemable shares if exercised by the holder. The freestanding redeemable convertible preferred stock tranche liability was initially recorded at fair value, with fair value changes recorded within other income (expense), net in the consolidated statements of operations and comprehensive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Simultaneously with the closing of the Company’s initial public offering (the “IPO”) in August 2020, the sponsor of CLA, Colonnade Sponsor LLC, purchased an aggregate of 6,000,000 Private Placement warrants at a price of $1.00 per warrant, for an aggregate purchase price of $6,000,000. The Private Placement warrants became exercisable 12 months following the closing of the Company’s IPO, and will expire five years from the completion of the Merger, or earlier upon redemption or liquidation. Each Private Placement warrant is exercisable for one Class A ordinary share at a price of $11.50 per share. On March 11, 2021, each outstanding Private Placement warrant automatically converted into a warrant to purchase one share of Ouster common stock pursuant to the Warrant Agreement.</w:t>
      </w:r>
    </w:p>
    <w:p>
      <w:pPr>
        <w:spacing w:after="0" w:line="3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Private Placement warrants were initially recognized as a liability at a fair value of $19.4 million and the Private Placement warrant liability was remeasured to fair value as of March 31, 2021, June 30, 2021 and September 30, 2021, resulting in a gain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$14.5 million and $8.4 million for the three and nine months ended September 30, 2021, classified within other income (expense), net in the condensed consolidated statements of operations and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Private Placement warrants were valued using the following assumptions under the Black-Scholes option-pricing model: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11, 2021</w:t>
            </w: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Arial" w:cs="Arial" w:eastAsia="Arial" w:hAnsi="Arial"/>
                <w:sz w:val="14"/>
                <w:szCs w:val="14"/>
                <w:b w:val="1"/>
                <w:bCs w:val="1"/>
                <w:color w:val="auto"/>
              </w:rPr>
              <w:t>September 30, 2021</w:t>
            </w: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12.49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7.32</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Exercise price of warrant</w:t>
            </w:r>
          </w:p>
        </w:tc>
        <w:tc>
          <w:tcPr>
            <w:tcW w:w="20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400" w:type="dxa"/>
            <w:vAlign w:val="bottom"/>
          </w:tcPr>
          <w:p>
            <w:pPr>
              <w:ind w:left="860"/>
              <w:spacing w:after="0"/>
              <w:rPr>
                <w:sz w:val="20"/>
                <w:szCs w:val="20"/>
                <w:color w:val="auto"/>
              </w:rPr>
            </w:pPr>
            <w:r>
              <w:rPr>
                <w:rFonts w:ascii="Arial" w:cs="Arial" w:eastAsia="Arial" w:hAnsi="Arial"/>
                <w:sz w:val="18"/>
                <w:szCs w:val="18"/>
                <w:color w:val="auto"/>
              </w:rPr>
              <w:t>11.5</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4.44</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w w:val="90"/>
              </w:rPr>
              <w:t>43.00 %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43.00 %</w:t>
            </w:r>
          </w:p>
        </w:tc>
        <w:tc>
          <w:tcPr>
            <w:tcW w:w="120" w:type="dxa"/>
            <w:vAlign w:val="bottom"/>
          </w:tcPr>
          <w:p>
            <w:pPr>
              <w:spacing w:after="0"/>
              <w:rPr>
                <w:sz w:val="19"/>
                <w:szCs w:val="19"/>
                <w:color w:val="auto"/>
              </w:rPr>
            </w:pPr>
          </w:p>
        </w:tc>
        <w:tc>
          <w:tcPr>
            <w:tcW w:w="1400" w:type="dxa"/>
            <w:vAlign w:val="bottom"/>
          </w:tcPr>
          <w:p>
            <w:pPr>
              <w:ind w:left="780"/>
              <w:spacing w:after="0"/>
              <w:rPr>
                <w:sz w:val="20"/>
                <w:szCs w:val="20"/>
                <w:color w:val="auto"/>
              </w:rPr>
            </w:pPr>
            <w:r>
              <w:rPr>
                <w:rFonts w:ascii="Arial" w:cs="Arial" w:eastAsia="Arial" w:hAnsi="Arial"/>
                <w:sz w:val="18"/>
                <w:szCs w:val="18"/>
                <w:color w:val="auto"/>
                <w:w w:val="90"/>
              </w:rPr>
              <w:t>46.00 %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9"/>
              </w:rPr>
              <w:t>0.92 %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0.90 %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CLA, in its IPO in August 2020, issued 20,000,000 units that each consisted of one Class A ordinary share and one half warrant to purchase a Class A ordinary share, which we refer to as CLA warrants before the Merger and Public warrants after the Merger. These warrants may only be exercised for a whole number of shares, and no fractional warrants were issued or issuable upon separation of the units and only whole warrants will trade. The warrants became exercisable 12 months following the closing of the Company’s IPO, and will expire five years from the completion of the Merger, or earlier upon redemption or liquidation. Each Public warrant is exercisable at a price of $11.50 per share. On March 11, 2021, upon the closing of the Merger pursuant to the Merger Agreement (Note 1), each of the 9,999,996 outstanding warrants, as adjusted for any fractional warrants that were not issued upon separation, was converted automatically into a redeemable Public warrant to purchase one share of the Company’s common stock. The Public warrants were recognized as equity upon the Merger in the amount of $17.9 million.</w:t>
      </w:r>
    </w:p>
    <w:p>
      <w:pPr>
        <w:spacing w:after="0" w:line="20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Prior to their expiration, the Company may redeem the Public warrants at a price of $0.01 per warrant, provided that the closing price of the Company’s common stock equals or exceeds $18.00 per share for any 20 trading days within a 30 trading-day period ending on the third trading day prior to the date on which the Company gives proper notice of such redemption to the warrants 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two leases, the Company obtained two letters of credit from a bank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condensed consolidated balance sheets as of September 30, 2021 and December 31, 2020. The outstanding amount of the letters of credit was $1.3 million as of September 30, 2021 and December 31,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commitments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September 30, 2021, the Company had non-cancelable purchase commitments to a third-party contract manufacturer for approximately $6.4 million and other vendors for approximately $10.5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is involved in various legal proceedings arising in the ordinary course of business.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Based on the opinion of legal counsel and other factors, management believes that the final disposition of these existing matters will not have a material adverse effect on the business, results of operations, financial condition, or cash flows of the Company. The Company has identified certain claims as a result of which a loss may be incurred, but in the aggregate any loss is expected to be immaterial. This assessment is based on our current understanding of relevant facts and circumstances. As such, our view of these matters is subject to inherent uncertainties and may change in the future. Significant judgment is required in both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determination of probability and the determination as to whether an exposure is reasonably estimable. Actual outcomes of these legal and regulatory proceedings may materially differ from our current estimates. For other claims regarding proceedings that are in an initial phase, the Company is unable to estimate the range of possible loss, if any, but at this time believes that any loss related to such claims will not be material.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there are no material litigation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defend lawsuits or settle claims related to these indemnification provisions.</w:t>
      </w:r>
    </w:p>
    <w:p>
      <w:pPr>
        <w:spacing w:after="0" w:line="11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has never incurred costs to defend lawsuits or settle claims related to these indemnity agreements. The unaudited condensed consolidated financial statements do not include a liability for any potential obligations under the indemnification agreements at September 30, 2021 and December 31,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Preferred and Common Stock</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common stock and warrants trade on the New York Stock Exchange under the symbol “OUST” and “OUSTWS”, respectively. Pursuant to the terms of the Second Amended and Restated Certificate of Incorporation, the Company is authorized and has available for issuance the following shares and classes of capital stock, each with a par value of $0.0001 per share: (i) 1,000,000,000 shares of common stock; (ii) 100,000,000 shares of preferred stock. Immediately following the Merger, there were 161,449,205 shares of common stock with a par value of $0.0001, and 15,999,996 warrants outstanding. The holder of each share of common stock is entitled to one vote.</w:t>
      </w:r>
    </w:p>
    <w:p>
      <w:pPr>
        <w:spacing w:after="0" w:line="1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retroactively adjusted the shares issued and outstanding prior to March 11, 2021 to give effect to the exchange ratio established in the Merger Agreement to determine the number of shares of common stock into which they were converted.</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Immediately prior to the Merger, OTI’s certificate of incorporation, as amended, authorized it to issue 342,367,887 shares of $0.00001 par value, with 210,956,516 shares designated as common stock and 131,411,372 shares of redeemable convertible preferred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Seed Financing and conversion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2016, OTI issued 1,887,253 shares of Series Seed redeemable convertible preferred stock at $1.02 per share for net proceeds of $1.8 million, net of $0.1 million stock issuance costs. In April 2016, OTI issued 44,256 shares to an investor upon conversion of a note having a balance of principal and interest of $45,000. In May 2016, OTI issued 563,725 shares of Series Seed redeemable convertible preferred stock at $1.02 per share for net proceeds of $0.6 million. In July 2016, OTI issued 445,942 shares of Series Seed redeemable convertible preferred stock at $1.02 per share for net proceeds of $0.5 million.</w:t>
      </w:r>
    </w:p>
    <w:p>
      <w:pPr>
        <w:spacing w:after="0" w:line="13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April 2020, in order to induce the closing of the Series B Financing, the holders exercised the embedded conversion feature and all the outstanding Series Seed redeemable convertible preferred stock shares were converted to 2,941,176 shares of OTI’s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Financing and conversion</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October 2017, OTI issued 1,324,511 shares of Series A Preferred Stock at $11.3158 per share for net proceeds of $14.8 million, net of $0.2 million of stock issuance costs. In October 2017, OTI issued 1,253,556 shares of Series A Preferred</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Stock upon conversion of multiple notes having a principal and interest balance of $4.6 million. In December 2017, OTI issued 715,712 shares of Series A Preferred Stock at $11.3158 per share for net proceeds of $8.1 million.</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April 2020, in order to induce the closing of the Series B Financing, the holders exercised the embedded conversion feature and all of the outstanding Series A redeemable convertible preferred stock shares were converted to 3,293,779 shares of OTI’s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April 2020, OTI issued 45,185,071 shares of Series B redeemable convertible preferred stock at $0.3323 per share for net proceeds of $15.1 million, less $0.1 million of stock issuance costs. In May 2020, OTI issued 17,320,031 shares of Series B redeemable convertible preferred stock at $0.3323 per share for net proceeds of $5.8 million, less $0.1 million of stock issuance costs. In July 2020, OTI issued 37,970,846 shares of Series B redeemable convertible preferred stock at $0.3323 per share for net proceeds of $12.5 million, less $0.1 million of stock issuance costs. In August 2020, OTI issued 25,286,587 shares of Series B redeemable convertible preferred stock at $0.3323 per share for net proceeds of $8.4 million, less $0.1 million of stock issuance costs.</w:t>
      </w:r>
    </w:p>
    <w:p>
      <w:pPr>
        <w:spacing w:after="0" w:line="107"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On March 11, 2021, upon the closing of the Transaction pursuant to the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 As of September 30, 2021, the Company does not have any redeemable convertible preferred stock outstanding.</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Prior to the Merger, redeemable convertible preferred stock as of December 31, 2020, consisted of the following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Issue Price</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1"/>
                <w:szCs w:val="11"/>
                <w:color w:val="auto"/>
              </w:rPr>
            </w:pPr>
          </w:p>
        </w:tc>
        <w:tc>
          <w:tcPr>
            <w:tcW w:w="116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35"/>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Authorized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6"/>
                <w:szCs w:val="16"/>
                <w:color w:val="auto"/>
              </w:rPr>
            </w:pPr>
          </w:p>
        </w:tc>
        <w:tc>
          <w:tcPr>
            <w:tcW w:w="116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49"/>
        </w:trPr>
        <w:tc>
          <w:tcPr>
            <w:tcW w:w="3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131,411,372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88,434,754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Prior to the Merger, the significant features of OTI’s redeemable convertible preferred stock were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provisions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Series Seed, Series A and Series B preferred stockholders are entitled to receive dividends prior and in preference to any dividends on the common stock, at a rate of $0.0612, $0.6789 and $0.019938 per share, respectively, per annum on a non-cumulative basis, when and if declared by the board of directors, subject to the prior rights of the preferred stockholders. After payment of such dividend, any additional dividends would be distributed among the holders of the preferred stock and common stock pro rata based on the number of shares of common stock then held by each holder (assuming conversion of all shares of preferred stock into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7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the event of liquidation, dissolution or winding up of OTI, merger or a reduction of capital through the sale or lease of all or substantial part of the business of OTI, before any distribution or payment were to be made to the holders of common stock, the holders of Series Seed, Series A and Series B redeemable convertible preferred stock were entitled to receive $1.02, $11.3518 and $0.3323 per share (subject to adjustment in the event of any share dividend, share split, combination, or other recapitalization), respectively, plus any declared but unpaid dividends on such shares. If the assets and funds were insufficient for such distribution, they were entitled to receive a pro rata distribution, based on the relative preferred stock ownership and in proportion to the preferential amount each such holder is otherwise entitled. If the assets and funds are in excess of amounts distributed to the preferred stockholders, the remaining assets and funds shall be distributed pro rata to the holders of the common stock. If the holders of the redeemable convertible preferred stock would receive a greater distribution if they converted to common stock, then such conversion would have been assumed prior to distribution.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holders of Series Seed, Series A and Series B redeemable convertible preferred stock had a right to convert their stock into nonassessable shares of common stock at a conversion rate equal to their respective liquidation preferences divided by a conversion price of $1.02, $11.3518 and $0.3323, respectively, which was adjusted for any stock splits, stock dividends, combination, subdivisions, recapitalizations or similar transactions. On March 11, 2021, upon the closing of the Transaction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pursuant to the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redeemable convertible preferred stock were recorded in mezzanine equity because while it was not currently redeemable, it could become redeemable at the option of the preferred stockholders upon the occurrence of certain deemed liquidation events that were considered not solely within OTI’s control for an amount equal to the shares respective liquidation preference plus declared and unpaid dividends.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Each holder of redeemable convertible preferred stock was entitled to the number of votes equal to the number of shares of common stock into which such redeemable convertible preferred stock could then be converted and, with respect to such vote, holders of redeemable convertible preferred stock were entitled to vote together with the holders of common stock as a single class on all matters.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7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As of September 30, 2021, we have two equity incentive plans, our 2015 Stock Plan (the “2015 Plan”) and our 2021 Incentive Award Plan (the “2021 Plan”). As of March 11, 2021, we no longer grant equity awards pursuant to our 2015 Plan, but it continues to govern the terms of outstanding stock options that were granted prior to that date.</w:t>
      </w:r>
    </w:p>
    <w:p>
      <w:pPr>
        <w:spacing w:after="0" w:line="13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October 12, 2020, OTI issued $1.1 million partial recourse promissory notes to certain executives and employees. The promissory notes carried 0.38% annual cash interest and were due on earliest of 9th anniversary of the date of issuance of the notes, or termination of employment of the executive/employee, or filing by OTI of a registration statement under the Securities Act of 1933, or promissory notes being prohibited under Section 13(k) of the Securities Exchange Act of 1934 or closing of change a in control of OTI. At issuance, the promissory notes were used to settle certain executives’ and employees’ obligations for 2,883,672 vested and 4,603,833 unvested ISOs that were exercised and no cash was exchanged. In March 2021, in connection with the close of the Merger, the Company forgave half of the respective obligations under the promissory notes for certain executives and required such noteholders to repay the remaining balance of $0.3 million under each of their respective notes. Additional compensation expense of</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$0.3 million was recognized in general and administrative expenses in the three months ended March 31, 2021 and the nine months ended September 30, 2021 for the value of the loans forgiven. Obligations under the promissory notes for non-executive noteholders of $0.5 million is outstanding as of September 30,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Incentive Award Plan</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March 11, 2021, the Board of Directors approved the 2021 Plan. The 2021 Plan provides for the grant of stock options, stock appreciation rights, restricted stock units, performance stock unit awards and other forms of equity compensation (collectively, “equity awards”). In addition, the 2021 Plan provides for the grant of performance bonus awards. All awards within the 2021 Plan may be granted to employees, including officers, as well as directors and consultants, within the limit defined in the 2021 Plan. 18,558,576 shares of the Company’s common stock were initially reserved for issuance under the 2021 Plan. The 2021 Plan includes an evergreen provision that provides for an annual increase in the number of shares of common stock available for issuance thereunder beginning on January 1, 2022 and ending on January 1, 2031, equal to 5% of the shares of Company common stock outstanding on the last day of the immediately preceding fiscal year and such smaller number of shares as determined by the Board of Directors or a committee thereof. As of September 30, 2021, the Company had 13,680,487 shares of common stock available pursuant to new awards under the 2021 Plan.</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Options and stock appreciation rights under the 2021 Plan will be exercisable at such times and as specified in the Award Agreement (as defined in the 2021 Plan) provided that the term of an option or stock appreciation will not exceed ten years. Options granted under the 2021 Plan may be Incentive Stock Options (ISOs) or Non-statutory Stock Options, as determined by the Administrator at the time of grant of an option and subject to the applicable provisions of Section 422 of the Internal Revenue Code and the regulations promulgated thereunder. The exercise price of an option will be no less than 100% of the fair market value of the shares of common stock on the date of grant. The exercise price of an ISO granted to a 10% shareholder will be no less than 110% of the fair market value of the shares on the date of grant and the term of the ISO will not exceed five years. The Company granted an option to purchase 1,614,492 shares of Company common stock to a senior advisor serving on the Company’s board of directors as chair with 20% of the total number of such option shares vesting on each of the first five anniversaries from the senior advisor’s employment start date, subject to his continued employment with the Company and provided that option grant will only be exercisable in the event that the closing trading price per share of the Company stock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equals or exceeds 130% of the exercise price per share of the option for 30 consecutive trading days. The senior advisor has resigned in June 2021 and the option to purchase 1,614,492 shares of Company common stock was forfeited.</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Restricted stock and restricted stock units granted to employees generally vest as to 25% of the shares on the first anniversary service date of the grant, and quarterly thereafter so as to be 100% vested on the fourth anniversary of the vesting commencement date. All participants holding shares of restricted stock will be entitled to all the rights of a stockholder with respect to such shares and have voting power and other rights with respect to such shares, provided, however, that such shares are held in escrow and subject to forfeiture until the shares vested. The Company granted 807,246 restricted stock units to a senior advisor who serves as chair of the board of directors with vesting of 20% of the total number of restricted stock units on each of the first five anniversaries from the employment start date, subject to continued employment with the Company. The senior advisor has resigned in June 2021 and all restricted stock unit awards granted were forfeited.</w:t>
      </w:r>
    </w:p>
    <w:p>
      <w:pPr>
        <w:spacing w:after="0" w:line="1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March 2021, the Company also granted 152,628 restricted stock units to several members of the board of directors subject to standard terms of these awards.</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Vesting schedules for performance stock unit awards and other equity awards vary and are linked to one or more of performance or other specific criteria, including service to the Company, determined to be appropriate by the Board, in each case on a specified date or dates or over any period or periods determined by the Board. The performance condition awards are automatically forfeited in their entirety, without any cost to or action by the Company, if there has been no achievement of the performance condition. The Company granted 807,246 performance stock units to a senior advisor who serves as chair of the board of directors with vesting earned over four years based on achieving increases in the Company’s stock price from the date of grant ranging from 150%, to earn 25% of the performance stock units, to 300% to earn the entire award of performance stock units. Each performance stock unit constitutes the right to receive one share of Company common stock upon vesting. As noted above, the senior advisor has resigned in June 2021 and all performance stock unit awards granted were forfeited.</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Performance bonus awards are denominated in cash, stock or a combination thereof, and shall be payable upon the attainment of performance goals that are established by the Board and relate to one or more of performance or other specific criteria, including service to the Company, in each case on a specified date or dates or over any period or periods determined by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nine months ended September 30, 2021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8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 Exercise</w:t>
            </w: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1"/>
                <w:szCs w:val="11"/>
                <w:color w:val="auto"/>
              </w:rPr>
            </w:pPr>
          </w:p>
        </w:tc>
        <w:tc>
          <w:tcPr>
            <w:tcW w:w="11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 per Share</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Term (in years)</w:t>
            </w:r>
          </w:p>
        </w:tc>
        <w:tc>
          <w:tcPr>
            <w:tcW w:w="260" w:type="dxa"/>
            <w:vAlign w:val="bottom"/>
          </w:tcPr>
          <w:p>
            <w:pPr>
              <w:spacing w:after="0"/>
              <w:rPr>
                <w:sz w:val="16"/>
                <w:szCs w:val="16"/>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25,732,503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245,746</w:t>
            </w:r>
          </w:p>
        </w:tc>
        <w:tc>
          <w:tcPr>
            <w:tcW w:w="0" w:type="dxa"/>
            <w:vAlign w:val="bottom"/>
          </w:tcPr>
          <w:p>
            <w:pPr>
              <w:spacing w:after="0"/>
              <w:rPr>
                <w:sz w:val="1"/>
                <w:szCs w:val="1"/>
                <w:color w:val="auto"/>
              </w:rPr>
            </w:pPr>
          </w:p>
        </w:tc>
      </w:tr>
      <w:tr>
        <w:trPr>
          <w:trHeight w:val="229"/>
        </w:trPr>
        <w:tc>
          <w:tcPr>
            <w:tcW w:w="5240" w:type="dxa"/>
            <w:vAlign w:val="bottom"/>
          </w:tcPr>
          <w:p>
            <w:pPr>
              <w:ind w:left="46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645,796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Options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24,959,807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167,460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 and expected to vest—September 30,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24,959,807</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167,460</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Exercisable—September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8,844,727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61,987</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options granted in the nine months ended September 30, 2021, using the Black-Scholes option-pricing model: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60" w:type="dxa"/>
            <w:vAlign w:val="bottom"/>
          </w:tcPr>
          <w:p>
            <w:pPr>
              <w:jc w:val="right"/>
              <w:ind w:right="136"/>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740" w:type="dxa"/>
            <w:vAlign w:val="bottom"/>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4"/>
                <w:szCs w:val="14"/>
                <w:b w:val="1"/>
                <w:bCs w:val="1"/>
                <w:color w:val="auto"/>
              </w:rPr>
              <w:t>September 30, 2021</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60" w:type="dxa"/>
            <w:vAlign w:val="bottom"/>
          </w:tcPr>
          <w:p>
            <w:pPr>
              <w:jc w:val="right"/>
              <w:ind w:right="156"/>
              <w:spacing w:after="0"/>
              <w:rPr>
                <w:sz w:val="20"/>
                <w:szCs w:val="20"/>
                <w:color w:val="auto"/>
              </w:rPr>
            </w:pPr>
            <w:r>
              <w:rPr>
                <w:rFonts w:ascii="Arial" w:cs="Arial" w:eastAsia="Arial" w:hAnsi="Arial"/>
                <w:sz w:val="18"/>
                <w:szCs w:val="18"/>
                <w:color w:val="auto"/>
              </w:rPr>
              <w:t>6.00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63.19 %</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1.03 %</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bottom w:val="single" w:sz="8" w:color="auto"/>
            </w:tcBorders>
            <w:gridSpan w:val="3"/>
          </w:tcPr>
          <w:p>
            <w:pPr>
              <w:ind w:left="1960"/>
              <w:spacing w:after="0"/>
              <w:rPr>
                <w:sz w:val="20"/>
                <w:szCs w:val="20"/>
                <w:color w:val="auto"/>
              </w:rPr>
            </w:pPr>
            <w:r>
              <w:rPr>
                <w:rFonts w:ascii="Arial" w:cs="Arial" w:eastAsia="Arial" w:hAnsi="Arial"/>
                <w:sz w:val="14"/>
                <w:szCs w:val="14"/>
                <w:b w:val="1"/>
                <w:bCs w:val="1"/>
                <w:color w:val="auto"/>
              </w:rPr>
              <w:t>Options Outstanding</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Options Exercisable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1"/>
                <w:szCs w:val="11"/>
                <w:color w:val="auto"/>
              </w:rPr>
            </w:pPr>
          </w:p>
        </w:tc>
        <w:tc>
          <w:tcPr>
            <w:tcW w:w="116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c>
          <w:tcPr>
            <w:tcW w:w="2220" w:type="dxa"/>
            <w:vAlign w:val="bottom"/>
            <w:vMerge w:val="restart"/>
          </w:tcPr>
          <w:p>
            <w:pPr>
              <w:jc w:val="right"/>
              <w:ind w:right="775"/>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1"/>
                <w:szCs w:val="11"/>
                <w:color w:val="auto"/>
              </w:rPr>
            </w:pPr>
          </w:p>
        </w:tc>
        <w:tc>
          <w:tcPr>
            <w:tcW w:w="11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6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1"/>
                <w:szCs w:val="11"/>
                <w:color w:val="auto"/>
              </w:rPr>
            </w:pPr>
          </w:p>
        </w:tc>
        <w:tc>
          <w:tcPr>
            <w:tcW w:w="116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220" w:type="dxa"/>
            <w:vAlign w:val="bottom"/>
          </w:tcPr>
          <w:p>
            <w:pPr>
              <w:jc w:val="right"/>
              <w:ind w:right="635"/>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14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Life (Years)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6"/>
                <w:szCs w:val="16"/>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6,350,481</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3,889,338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10,394,961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8.8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3,186,660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7,524,116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1,724,276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0.2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645,796</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24,959,807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8,844,727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nine months ended September 30, 2021 was $5.9.</w:t>
      </w:r>
    </w:p>
    <w:p>
      <w:pPr>
        <w:spacing w:after="0" w:line="17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As of September 30, 2021, there was approximately $27.5 million of unamortized stock-based compensation expense related to unvested stock options that is expected to be recognized over a weighted average period of 1.7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(“RSA”)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RSA activity under the 2015 Plan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r>
      <w:tr>
        <w:trPr>
          <w:trHeight w:val="185"/>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6"/>
                <w:szCs w:val="16"/>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Grant Date Fair</w:t>
            </w:r>
          </w:p>
        </w:tc>
      </w:tr>
      <w:tr>
        <w:trPr>
          <w:trHeight w:val="188"/>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Value (per share)</w:t>
            </w:r>
          </w:p>
        </w:tc>
      </w:tr>
      <w:tr>
        <w:trPr>
          <w:trHeight w:val="224"/>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Granted during the period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during the period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 during the period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September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weighted-average estimated fair value of RSAs granted in the nine months ended September 30, 2021 was Nil per share. The total fair value of RSAs vested during the nine months ended September 30, 2021 was less than $0.1 million.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r>
      <w:tr>
        <w:trPr>
          <w:trHeight w:val="185"/>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6"/>
                <w:szCs w:val="16"/>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Grant Date Fair</w:t>
            </w:r>
          </w:p>
        </w:tc>
      </w:tr>
      <w:tr>
        <w:trPr>
          <w:trHeight w:val="188"/>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Value (per share)</w:t>
            </w:r>
          </w:p>
        </w:tc>
      </w:tr>
      <w:tr>
        <w:trPr>
          <w:trHeight w:val="224"/>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Granted during the period</w:t>
            </w:r>
          </w:p>
        </w:tc>
        <w:tc>
          <w:tcPr>
            <w:tcW w:w="1520" w:type="dxa"/>
            <w:vAlign w:val="bottom"/>
          </w:tcPr>
          <w:p>
            <w:pPr>
              <w:jc w:val="right"/>
              <w:spacing w:after="0"/>
              <w:rPr>
                <w:sz w:val="20"/>
                <w:szCs w:val="20"/>
                <w:color w:val="auto"/>
              </w:rPr>
            </w:pPr>
            <w:r>
              <w:rPr>
                <w:rFonts w:ascii="Arial" w:cs="Arial" w:eastAsia="Arial" w:hAnsi="Arial"/>
                <w:sz w:val="18"/>
                <w:szCs w:val="18"/>
                <w:color w:val="auto"/>
              </w:rPr>
              <w:t>4,332,224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during the period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2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 during the period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September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September 30, 2020, total compensation expense related to unvested RSUs granted to employees, but not yet recognized, was $34.2 million, with a weighted-average remaining vesting period of 3.2 years.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recognized stock-based compensation for all stock options in the condensed consolidated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5,177</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Common Share</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common share attributable to common stockholders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40"/>
              <w:spacing w:after="0" w:line="176" w:lineRule="exact"/>
              <w:rPr>
                <w:sz w:val="20"/>
                <w:szCs w:val="20"/>
                <w:color w:val="auto"/>
              </w:rPr>
            </w:pPr>
            <w:r>
              <w:rPr>
                <w:rFonts w:ascii="Arial" w:cs="Arial" w:eastAsia="Arial" w:hAnsi="Arial"/>
                <w:sz w:val="18"/>
                <w:szCs w:val="18"/>
                <w:color w:val="auto"/>
                <w:w w:val="90"/>
              </w:rPr>
              <w:t>Weighted average shares used to compute basic and diluted net loss</w:t>
            </w: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156,647,259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20,303,631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123,175,390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15,753,057</w:t>
            </w:r>
          </w:p>
        </w:tc>
        <w:tc>
          <w:tcPr>
            <w:tcW w:w="0" w:type="dxa"/>
            <w:vAlign w:val="bottom"/>
          </w:tcPr>
          <w:p>
            <w:pPr>
              <w:spacing w:after="0"/>
              <w:rPr>
                <w:sz w:val="1"/>
                <w:szCs w:val="1"/>
                <w:color w:val="auto"/>
              </w:rPr>
            </w:pPr>
          </w:p>
        </w:tc>
      </w:tr>
      <w:tr>
        <w:trPr>
          <w:trHeight w:val="135"/>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per share</w:t>
            </w: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240" w:type="dxa"/>
            <w:vAlign w:val="bottom"/>
            <w:tcBorders>
              <w:bottom w:val="single" w:sz="8" w:color="CCEEFF"/>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per common share—basic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shares and net loss per common share, prior to the Merger, have been retroactively restated as shares reflecting the exchange ratio of approximately 0.703 shares of the Company per one share of OTI as established in the Merger Agreement.</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weighted average number of shares used to compute basic and diluted net loss per share excludes unvested early exercised common stock options subject to repurchase.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4"/>
                <w:szCs w:val="14"/>
                <w:b w:val="1"/>
                <w:bCs w:val="1"/>
                <w:color w:val="auto"/>
              </w:rPr>
              <w:t>As of September 30,</w:t>
            </w:r>
          </w:p>
        </w:tc>
      </w:tr>
      <w:tr>
        <w:trPr>
          <w:trHeight w:val="187"/>
        </w:trPr>
        <w:tc>
          <w:tcPr>
            <w:tcW w:w="85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88,434,754</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24,959,807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22,699,012</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237,798</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320" w:type="dxa"/>
            <w:vAlign w:val="bottom"/>
          </w:tcPr>
          <w:p>
            <w:pPr>
              <w:jc w:val="right"/>
              <w:spacing w:after="0"/>
              <w:rPr>
                <w:sz w:val="20"/>
                <w:szCs w:val="20"/>
                <w:color w:val="auto"/>
              </w:rPr>
            </w:pPr>
            <w:r>
              <w:rPr>
                <w:rFonts w:ascii="Arial" w:cs="Arial" w:eastAsia="Arial" w:hAnsi="Arial"/>
                <w:sz w:val="18"/>
                <w:szCs w:val="18"/>
                <w:color w:val="auto"/>
              </w:rPr>
              <w:t>4,304,588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early exercised common 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2,234,455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30,421</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Vested and early exercised options subject to nonrecourse notes</w:t>
            </w:r>
          </w:p>
        </w:tc>
        <w:tc>
          <w:tcPr>
            <w:tcW w:w="1320" w:type="dxa"/>
            <w:vAlign w:val="bottom"/>
          </w:tcPr>
          <w:p>
            <w:pPr>
              <w:jc w:val="right"/>
              <w:spacing w:after="0"/>
              <w:rPr>
                <w:sz w:val="20"/>
                <w:szCs w:val="20"/>
                <w:color w:val="auto"/>
              </w:rPr>
            </w:pPr>
            <w:r>
              <w:rPr>
                <w:rFonts w:ascii="Arial" w:cs="Arial" w:eastAsia="Arial" w:hAnsi="Arial"/>
                <w:sz w:val="18"/>
                <w:szCs w:val="18"/>
                <w:color w:val="auto"/>
              </w:rPr>
              <w:t>2,172,238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warrants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4,443,862</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Public and private common stock warrants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15,999,996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49,694,372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115,845,847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the three and nine months ended September 30, 2021 and 2020 was not material to the Company’s condensed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Revenue</w:t>
      </w:r>
    </w:p>
    <w:p>
      <w:pPr>
        <w:spacing w:after="0" w:line="17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Revenue from sale of lidar sensor kits, which are recognized at a point in time, was $7.8 million and $5.9 million in three months ended September 30, 2021 and 2020, respectively, and $21.7 million and $10.5 million in nine months ended September 30, 2021 and 2020,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total revenues by geographic area based on the location products were shipped to and services provided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0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Americas, excluding United States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 and Pacific</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5</w:t>
      </w:r>
      <w:r>
        <w:rPr>
          <w:rFonts w:ascii="Arial" w:cs="Arial" w:eastAsia="Arial" w:hAnsi="Arial"/>
          <w:sz w:val="18"/>
          <w:szCs w:val="18"/>
          <w:color w:val="auto"/>
        </w:rPr>
        <w:t>, Debt for details of promissory notes issued by the Company to certain investors of the Company (or an affiliate thereof).</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b w:val="1"/>
          <w:bCs w:val="1"/>
          <w:color w:val="auto"/>
        </w:rPr>
        <w:t>Note 9</w:t>
      </w:r>
      <w:r>
        <w:rPr>
          <w:rFonts w:ascii="Arial" w:cs="Arial" w:eastAsia="Arial" w:hAnsi="Arial"/>
          <w:sz w:val="17"/>
          <w:szCs w:val="17"/>
          <w:color w:val="auto"/>
        </w:rPr>
        <w:t>, Stock-based compensation for details of partial recourse promissory notes issued by the Company to certain executives and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243"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On October 5, 2021, the Company announced its intent to acquire privately held Sense Photonics, Inc. ("Sense"), a lidar technology company for autonomous vehicles. On October 22, 2021, the Company completed its acquisition of Sense and formally established Ouster Automotive, a new functional division of the Company focusing on driving mass-market adoption of digital lidar in consumer and commercial vehicles. Under the terms of the merger agreement, Ouster acquired 100% of Sense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and all of its property for approximately 10 million shares of Ouster common stock or approximately $63 million in equity value based on the closing price of $6.55 per share as of the day the transaction closed on October 22, 2021, inclusive of 0.8 million shares underlying assumed options, after closing adjustments. The initial purchase price accounting for the business combination is in progress at this time due to the pending completion of the valuation analysis over the acquired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The following discussion of the results of operations and financial condition of Ouster, Inc. (“we,” “us,” “our,” the “Company,” “Ouster”) should be read in conjunction with the information set forth in Ouster’s condensed consolidated financial statements and the notes thereto included elsewhere in this Form 10-Q, as well as Ouster’s audited consolidated financial statements and the “Management’s Discussion and Analysis of Financial Condition and Results of Operations” in Ouster’s final prospectus dated and filed with the Securities and Exchange Commission (“SEC”) on August 19, 2021. This discussion may contain forward-looking statements based upon current expectations that involve risks and uncertainties. Ouster’s actual results may differ materially from those anticipated in these forward-looking statements as a result of various factors, including those set forth in the section titled “Risk Factors” in Ouster’s final prospectus dated and filed with the SEC on August 19, 2021.</w:t>
      </w:r>
    </w:p>
    <w:p>
      <w:pPr>
        <w:spacing w:after="0" w:line="12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On December 21, 2020, Ouster Technologies, Inc. (“OTI”, prior to the Merger, named Ouster, Inc.) entered into an Agreement and Plan of Merger (the “Merger Agreement”) with Colonnade Acquisition Corp., a Cayman Islands exempted company (“CLA”), and Beam Merger Sub, Inc. (“Merger Sub”), a Delaware corporation and subsidiary of CLA. OTI’s and CLA’s board of directors unanimously approved OTI’s entry into the Merger Agreement, and on March 11, 2021, the transactions contemplated by the Merger Agreement were consummated (all such transactions, the “Merger”), as further described below.</w:t>
      </w:r>
    </w:p>
    <w:p>
      <w:pPr>
        <w:spacing w:after="0" w:line="134"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to “we”, “our” and “the Company” refer to the business and operations of OTI (formerly known as Ouster, Inc.) and its consolidated subsidiaries prior to the Merger and to Ouster, Inc. (formerly known as Colonnade Acquisition Corp.) and its consolidated subsidiaries following the consummation of the Merger.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leading provider of high-resolution digital lidar sensors that offer advanced 3D vision to machinery, vehicles, robots, and fixed infrastructure assets, allowing each to understand and visualize the surrounding world and ultimately enabling safe operation and autonomy. We design and manufacture digital lidar sensors that we believe are the highest-performing, lowest-cost lidar solutions available today across each of our four target markets: industrial automation; smart infrastructure; robotics; and automotive. We shipped sensors to approximately 600 customers in the twelve months ended September 30, 2021.</w:t>
      </w:r>
    </w:p>
    <w:p>
      <w:pPr>
        <w:spacing w:after="0" w:line="134"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133"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Our product offering today includes three models of sensors in our OS product line: the ultra-wide field of view OS0, the mid-range OS1, and the long-range OS2. In January 2020 we released new models in our OS product line, increasing the resolution of our OS1 model and introducing the OS0 and OS2 models. Within our OS sensor models, we offer numerous customization options, all enabled by embedded software. For each of our three models in the OS product line, we offer resolution options of 128 lines vertically (“channels”), 64 channels, or 32 channels, as well as many beam spacing options. We are currently developing our solid-state ES product line, which, when released, will consist of the long-range ES2 sensor.</w:t>
      </w:r>
    </w:p>
    <w:p>
      <w:pPr>
        <w:spacing w:after="0" w:line="12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believe the simplicity of our digital lidar design gives us a meaningful advantage in costs related to manufacturing, supply chain and production yields. The same digital lidar architecture underpins our entire product portfolio which we believe drives economies of scale in our supply chains and speeds time to market. With virtually unlimited software-defined products driving low-cost customization, we are able to increase stock keeping units (“SKUs”) for industry-specific applications, expanding our product offering with minimal manufacturing or inventory changes. We currently have over 75 different software-defined product SKUs, all based on this common architecture and shared core componentry. Additionally, we are successfully expanding our manufacturing capacity by outsourcing to our manufacturing partner, Benchmark Electronics, Inc. (“Benchmark”). Benchmark manufactures our products at its facility in Thailand, which we expect will reduce our product costs and allow us to rapidly scale production to meet our anticipated product demand. Based on cost quotes for our products in mass production, we believe our manufacturing costs to be lower than certain of our competitors, and we expect our manufacturing costs per unit to decrease further with higher volumes.</w:t>
      </w:r>
    </w:p>
    <w:p>
      <w:pPr>
        <w:spacing w:after="0" w:line="208"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We have won and are actively negotiating a number of additional, multi-year sales contracts which includes our Strategic Customer Agreements (“SCAs”) which establish a multi-year purchase and supply framework for Ouster and the customer, and include details about customer programs and applications where the customer intends to use Ouster products. SCAs also include multi-year non-binding customer forecasts (typically of three to five years in length) giving Ouster visibility to the customer's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long-term purchasing requirements, mutually agreed upon pricing over the duration of the agreement, and, in certain cases, include multi-year binding purchase commitments.</w:t>
      </w:r>
    </w:p>
    <w:p>
      <w:pPr>
        <w:spacing w:after="0" w:line="11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founded Ouster in 2015 with the invention of our high-performance digital lidar. Since then, we have grown to approximately 200 employees serving approximately 600 customers globally in the twelve months ended September 30, 2021. To continue to grow our business in the coming years, we have expanded and plan to continue to expand our sales and marketing efforts and our software development capabilities, and to accelerate sensor development efforts. We are headquartered in San Francisco, 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with Colonnade Acquisition Corp. and Beam Merger Sub, Inc.</w:t>
      </w:r>
    </w:p>
    <w:p>
      <w:pPr>
        <w:spacing w:after="0" w:line="175"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On December 21, 2020, OTI entered into the Merger Agreement with CLA, and Merger Sub, a subsidiary of CLA. OTI’s and CLA’s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(the “Domestication”) and changed its name to “Ouster, Inc.” (with CLA after such domestication and the other transactions pursuant to the Merger Agreement being referred to as the “Company”) and (ii) Merger Sub merged with and into OTI (the “Merger”), with OTI surviving the Merger.</w:t>
      </w:r>
    </w:p>
    <w:p>
      <w:pPr>
        <w:spacing w:after="0" w:line="10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As a result of and upon the effective time of the Domestication,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14"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1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the closing of the Merger, the Company received gross proceeds of $299.9 million from the Merger and private offering, offset by $8.5 million of pre-merger costs relating to CLA and offering costs of $26.6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Sense Acquisition</w:t>
      </w:r>
    </w:p>
    <w:p>
      <w:pPr>
        <w:spacing w:after="0" w:line="243"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On October 5, 2021, we announced our intent to acquire privately held Sense Photonics, Inc. ("Sense"), a lidar technology company for autonomous vehicles. On October 22, 2021, we completed the acquisition of Sense and formally established Ouster Automotive, a new functional division of the Company focusing on driving mass-market adoption of digital lidar in consumer and commercial vehicles. Under the terms of the merger agreement, we acquired 100% of Sense and all of its property for approximately 10 million shares of Ouster common stock or approximately $63 million in equity value based on the closing price of $6.55 per share as of the day the transaction closed on October 22, 2021, inclusive of 0.8 million shares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underlying assumed options, after closing adjustments. This acquisition is expected to help Ouster expand its presence in the automotive vertical by executing on our hiring goals and product roadmap on a faster timeline.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Throughout 2020 and the nine months ended September 30, 2021, the worldwide spread of the pandemic caused by the novel coronavirus (“COVID-19”) and the measures intended to contain the spread of COVID-19, including variants, have resulted in a global slowdown of economic activity and caused disruptions to our business. In particular, our headquarters are based in the San Francisco Bay Area, which has been subject to ongoing government measures and orders such as quarantines and social distancing. During the second and third quarters of 2020 we slowed our operating and capital spending with the expectation that our revenue and ability to raise capital would be impacted by the global pandemic. We believe that our overall growth rate during 2020 and through the third quarter ended September 30, 2021 was negatively impacted by the pandemic due in part to pandemic related supply chain issues, though, despite this impact, we were able to continue to grow our sales during 2021 and estimate that in the long-term the pandemic will act as a catalyst for wider adoption of automation and lidar technology.</w:t>
      </w:r>
    </w:p>
    <w:p>
      <w:pPr>
        <w:spacing w:after="0" w:line="12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a San Francisco Bay Area based company, we were affected by the “shelter in place” order in the first and second quarter of 2020. While the majority of our employees were able to work remotely, some employees, especially manufacturing employees, were not able to work from home. The “shelter in place” order delayed order fulfillment and revenue recognition during the first and second quarters of 2020. We continued to pay employees during the “shelter in place” order whether or not they were able to work. Manufacturing and order fulfillment employees were able to return to work in the second quarter of 2020; however, the number of employees allowed on premises at one time was greatly reduced as a result of the California reduced capacity mandates, which also affected our ability to fulfill orders and recognize revenue. Some essential employees were paid hazard pay, and the hazard pay combined with underutilized employee pay increased our employee overhead and decreased gross margins in the first and second quarter of 2020. Manufacturing employees continued to work in a reduced capacity at our San Francisco facility until the second quarter of 2021. We have moved a large portion of our manufacturing to our contract manufacturer in Thailand, which allowed us to satisfy demand for our digital lidar sensors in the first two quarters of 2021 and consequently allowing us to increase our year over year revenue.</w:t>
      </w:r>
    </w:p>
    <w:p>
      <w:pPr>
        <w:spacing w:after="0" w:line="13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Our suppliers are located worldwide, and some of our key suppliers have been affected by the pandemic resulting in supply chain disruptions. We have experienced and continue to experience some unfavorable purchase price variance and situational expedite fees in order to meet production and delivery timelines. While we may see additional or new pressures on our supply chain both related and unrelated to the pandemic, we are actively taking steps to mitigate the impact of the materials shortages on our business.</w:t>
      </w:r>
    </w:p>
    <w:p>
      <w:pPr>
        <w:spacing w:after="0" w:line="13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While we experienced quarter-over-quarter increases in revenue in 2020 and the first nine months of 2021, some customers have delayed orders and production schedules due to COVID-19. The pandemic continues to evolve, and the full extent to which the COVID-19 pandemic will directly or indirectly impact our business, results of operations and financial condition, including sales, expenses, reserves and allowances, manufacturing, research and development costs and personnel-related costs, will depend on future developments that are highly uncertain, including new information that may emerge concerning COVID-19 and the actions taken to contain, prevent or treat COVID-19, rate and success of vaccination efforts, vaccine hesitancy, any resurgence of the pandemic in areas where we, Benchmark or our suppliers operate, and the economic impact on local, regional, national and international customers and markets.</w:t>
      </w:r>
    </w:p>
    <w:p>
      <w:pPr>
        <w:spacing w:after="0" w:line="14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Going forward, the situation remains uncertain, rapidly changing and hard to predict, and the COVID-19 pandemic may have a material negative impact on our future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1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i w:val="1"/>
          <w:iCs w:val="1"/>
          <w:color w:val="auto"/>
        </w:rPr>
        <w:t xml:space="preserve">Supply Chain Continuity. </w:t>
      </w:r>
      <w:r>
        <w:rPr>
          <w:rFonts w:ascii="Arial" w:cs="Arial" w:eastAsia="Arial" w:hAnsi="Arial"/>
          <w:sz w:val="18"/>
          <w:szCs w:val="18"/>
          <w:color w:val="auto"/>
        </w:rPr>
        <w:t>A recent surge in demand for electronics containing semiconductor chips and stockpiling of chips by certain companies has</w:t>
      </w:r>
      <w:r>
        <w:rPr>
          <w:rFonts w:ascii="Arial" w:cs="Arial" w:eastAsia="Arial" w:hAnsi="Arial"/>
          <w:sz w:val="18"/>
          <w:szCs w:val="18"/>
          <w:i w:val="1"/>
          <w:iCs w:val="1"/>
          <w:color w:val="auto"/>
        </w:rPr>
        <w:t xml:space="preserve"> </w:t>
      </w:r>
      <w:r>
        <w:rPr>
          <w:rFonts w:ascii="Arial" w:cs="Arial" w:eastAsia="Arial" w:hAnsi="Arial"/>
          <w:sz w:val="18"/>
          <w:szCs w:val="18"/>
          <w:color w:val="auto"/>
        </w:rPr>
        <w:t>created disruptions in the supply chain, resulting in a global chip shortage impacting our industry. Some chip manufacturers are estimating this supply shortage may continue into 2022. These chip manufacturers are working to increase capacity in the future, and we are managing our inventory and working closely with our regular suppliers and customers to minimize the potential impacts of any supply shortages including by securing additional inventory. While we do not expect the shortage to have a material near-term impact on our ability to meet existing demand for our current products, the shortage has adversely impacted our gross margins for the nine months ended September 30, 2021 and may continue to do so. We anticipate fluctuation in our cost of goods sold over the next 12-18 months as a result of ongoing supply chain constraints. These constraints have caused and may in the future cause us to implement certain temporary price surcharges. Over time, we expect our overall average selling prices to decline as our volume increases. If our mitigating efforts are not</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successful or the shortage continues or worsens in ways we did not anticipate, our ability to supply or improve our current products as well as our development and rollout of future products could also be adversely affected.</w:t>
      </w:r>
    </w:p>
    <w:p>
      <w:pPr>
        <w:spacing w:after="0" w:line="197"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 xml:space="preserve">Commercialization of Lidar Applications. </w:t>
      </w:r>
      <w:r>
        <w:rPr>
          <w:rFonts w:ascii="Arial" w:cs="Arial" w:eastAsia="Arial" w:hAnsi="Arial"/>
          <w:sz w:val="16"/>
          <w:szCs w:val="16"/>
          <w:color w:val="auto"/>
        </w:rPr>
        <w:t>We believe that lidar is approaching its inflection point of adoption across our target end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fluctuate on a quarterly and annual basis for the foreseeable future. As the market for lidar solutions matures and more customers reach a commercialization phase with solutions that rely on our technology, the fluctuations in our operating results may become less pronounced. Nonetheless, our revenue may not grow as we expect unless and until more customers commercialize their products and lidar technology becomes more prevalent across our target end markets.</w:t>
      </w:r>
    </w:p>
    <w:p>
      <w:pPr>
        <w:spacing w:after="0" w:line="11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Number of Customers in Production. </w:t>
      </w:r>
      <w:r>
        <w:rPr>
          <w:rFonts w:ascii="Arial" w:cs="Arial" w:eastAsia="Arial" w:hAnsi="Arial"/>
          <w:sz w:val="16"/>
          <w:szCs w:val="16"/>
          <w:color w:val="auto"/>
        </w:rPr>
        <w:t>For certain strategic customers and markets, our products must be integrated into a broader platform, which then</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112"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i w:val="1"/>
          <w:iCs w:val="1"/>
          <w:color w:val="auto"/>
        </w:rPr>
        <w:t xml:space="preserve">Customers’ Sales Volumes. </w:t>
      </w:r>
      <w:r>
        <w:rPr>
          <w:rFonts w:ascii="Arial" w:cs="Arial" w:eastAsia="Arial" w:hAnsi="Arial"/>
          <w:sz w:val="17"/>
          <w:szCs w:val="17"/>
          <w:color w:val="auto"/>
        </w:rPr>
        <w:t>Our customer base is diversified and we will continue to penetrate into diverse end markets to increase our sales volumes.</w:t>
      </w:r>
      <w:r>
        <w:rPr>
          <w:rFonts w:ascii="Arial" w:cs="Arial" w:eastAsia="Arial" w:hAnsi="Arial"/>
          <w:sz w:val="17"/>
          <w:szCs w:val="17"/>
          <w:i w:val="1"/>
          <w:iCs w:val="1"/>
          <w:color w:val="auto"/>
        </w:rPr>
        <w:t xml:space="preserve"> </w:t>
      </w:r>
      <w:r>
        <w:rPr>
          <w:rFonts w:ascii="Arial" w:cs="Arial" w:eastAsia="Arial" w:hAnsi="Arial"/>
          <w:sz w:val="17"/>
          <w:szCs w:val="17"/>
          <w:color w:val="auto"/>
        </w:rPr>
        <w:t>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 as well as our ability to grow our sales force.</w:t>
      </w:r>
    </w:p>
    <w:p>
      <w:pPr>
        <w:spacing w:after="0" w:line="122"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i w:val="1"/>
          <w:iCs w:val="1"/>
          <w:color w:val="auto"/>
        </w:rPr>
        <w:t xml:space="preserve">Average Selling Prices (“ASPs”), Product Costs and Margins. </w:t>
      </w:r>
      <w:r>
        <w:rPr>
          <w:rFonts w:ascii="Arial" w:cs="Arial" w:eastAsia="Arial" w:hAnsi="Arial"/>
          <w:sz w:val="17"/>
          <w:szCs w:val="17"/>
          <w:color w:val="auto"/>
        </w:rPr>
        <w:t>Our product costs and gross margins depend largely on the volumes of sensors sold</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number and variety of solutions we provide to our customers. We expect that our selling prices will vary by target end market and application due to market-specific supply and demand dynamics. We expect to continue to experience some downward pressure on margins from signing anticipated large multi-year agreements (including our SCAs) in the near term with multi-year negotiated pricing, as well as supply chain constraints discussed above. We expect these customer-specific selling price fluctuations combined with our volume-driven product costs may drive fluctuations in revenue and gross margins on a quarterly basis. However, notwithstanding any short-term price surcharge on our products, we expect that over time our volume-driven product costs will lead to gross margin improvement as our sales volume increases.</w:t>
      </w:r>
    </w:p>
    <w:p>
      <w:pPr>
        <w:spacing w:after="0" w:line="12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Lidar is an emerging market, and there are competitors for the growing market. This has created downward pressure on our ASPs,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in the Asia and Pacific region. We expect this pressure to continue to push our ASPs lower in the coming years. However, we believe that because of our complementary metal-oxide-semiconductor, “CMOS”, digital lidar technology, we are in the position to scale more rapidly than our analog competitors and leverage our scale to deliver positive gross margins.</w:t>
      </w:r>
    </w:p>
    <w:p>
      <w:pPr>
        <w:spacing w:after="0" w:line="133"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i w:val="1"/>
          <w:iCs w:val="1"/>
          <w:color w:val="auto"/>
        </w:rPr>
        <w:t>Continued Investment and Innovation</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we are a leading digital lidar provider. Our financial performance is significantly dependent on</w:t>
      </w:r>
      <w:r>
        <w:rPr>
          <w:rFonts w:ascii="Arial" w:cs="Arial" w:eastAsia="Arial" w:hAnsi="Arial"/>
          <w:sz w:val="16"/>
          <w:szCs w:val="16"/>
          <w:i w:val="1"/>
          <w:iCs w:val="1"/>
          <w:color w:val="auto"/>
        </w:rPr>
        <w:t xml:space="preserve"> </w:t>
      </w:r>
      <w:r>
        <w:rPr>
          <w:rFonts w:ascii="Arial" w:cs="Arial" w:eastAsia="Arial" w:hAnsi="Arial"/>
          <w:sz w:val="16"/>
          <w:szCs w:val="16"/>
          <w:color w:val="auto"/>
        </w:rPr>
        <w:t>our 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w:t>
      </w:r>
    </w:p>
    <w:p>
      <w:pPr>
        <w:spacing w:after="0" w:line="103"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i w:val="1"/>
          <w:iCs w:val="1"/>
          <w:color w:val="auto"/>
        </w:rPr>
        <w:t xml:space="preserve">Market Trends and Uncertainties. </w:t>
      </w:r>
      <w:r>
        <w:rPr>
          <w:rFonts w:ascii="Arial" w:cs="Arial" w:eastAsia="Arial" w:hAnsi="Arial"/>
          <w:sz w:val="17"/>
          <w:szCs w:val="17"/>
          <w:color w:val="auto"/>
        </w:rPr>
        <w:t>We anticipate robust demand for our digital lidar solution. We estimate a multibillion dollar total addressable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digital lidar sensors.</w:t>
      </w:r>
    </w:p>
    <w:p>
      <w:pPr>
        <w:spacing w:after="0" w:line="12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Although increasing adoption of semi-autonomous solutions that rely on lidar technology may generate higher demand, we may not be able to take advantage of demand if we are unable to anticipate regulatory changes and adapt quickly enough to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21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International Expansion. </w:t>
      </w:r>
      <w:r>
        <w:rPr>
          <w:rFonts w:ascii="Arial" w:cs="Arial" w:eastAsia="Arial" w:hAnsi="Arial"/>
          <w:sz w:val="18"/>
          <w:szCs w:val="18"/>
          <w:color w:val="auto"/>
        </w:rPr>
        <w:t>We view international expansion as an important element of our strategy to increase revenue and achieve profitability.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position ourselves in geographic markets that we expect to serve as important sources of future growth. We have an existing presence in three regions: North and South America;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majority of our revenue comes from the sale of our digital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The company also recognizes revenue by performing services related to product development and validation,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111"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Most of our customers are currently in the evaluation or early R&amp;D stage with our products. Currently, our product revenue consists of both customers ordering small volumes of our products that are in an evaluation phase and customers that order larger volumes of our products and have more predictable long-term production schedules. However, we are still at the very beginning of the lidar adoption curve, and some customers are still learning their ramp rates which can impact the timing of purchase orders quarter to quarter. As we grow our business we expect to improve predictability into our customers’ needs and timelines, and expect the timing of orders will have a less notable impact on our quarterly results. Over the coming years, as more of our customers move into their respective production phases, we expect the majority of our product revenue to shift to larger volume orders based on predictable production schedules. We also expect more of our revenue to come from international customers, and anticipate that our sales from regions outside of North and South America will grow over the long-term to approximately two-thirds of our total revenue.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Cost of revenue consists of the manufacturing cost of our digital lidar sensors, which primarily consists of sensor components, personnel-related costs directly associated with our manufacturing organization, and amounts paid to our third-party contract manufacturer and vendors. Our cost of revenue also includes depreciation of manufacturing equipment, an allocated portion of overhead, facility and IT costs, stock-based compensation for manufacturing personnel, reserves for estimated warranty expenses, excess and obsolete inventory and shipping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Our gross profit equals total revenues less our total cost of revenues, and our gross margin is our gross profit expressed as a percentage of total revenue. We experienced negative gross margins from the fourth quarter of 2018 until we turned gross margin positive during 2020 primarily due to increased unit volumes which improved our ability to absorb fixed costs and lowered material costs by increasing our buying power and a shift to outsourced mass production of our sensors to Benchmark, who has leverage for greater volume discounts and lower overhead costs. Subject to quarterly fluctuations and volatility, we expect actual costs to improve as we manufacture higher unit volumes of sensors and a greater portion of our sensors are produced by our contract manufacturer in Thailand.</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Research and development (“R&amp;D”) activities are primarily conducted at our San Francisco based headquarters and consist of the following activities:</w:t>
      </w:r>
    </w:p>
    <w:p>
      <w:pPr>
        <w:spacing w:after="0" w:line="62"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prototyping, and testing of proprietary electrical, optical, and mechanical subsystems for our digital lidar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Robust testing for industrial and autonomous vehicle safety certifications;</w:t>
      </w:r>
    </w:p>
    <w:p>
      <w:pPr>
        <w:spacing w:after="0" w:line="117" w:lineRule="exact"/>
        <w:rPr>
          <w:rFonts w:ascii="Arial" w:cs="Arial" w:eastAsia="Arial" w:hAnsi="Arial"/>
          <w:sz w:val="18"/>
          <w:szCs w:val="18"/>
          <w:color w:val="auto"/>
        </w:rPr>
      </w:pPr>
    </w:p>
    <w:p>
      <w:pPr>
        <w:ind w:left="820" w:right="20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new products and enhancements to existing products in response to customer requirements including firmware development and software development of lidar integration products;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 system-on-a-chip (“SoC”) design for Ouster’s digital lidar products;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custom manufacturing equipment.</w:t>
      </w:r>
    </w:p>
    <w:p>
      <w:pPr>
        <w:spacing w:after="0" w:line="17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R&amp;D expenses consist of personnel-related expenses, including salaries, benefits, and stock-based compensation, for all personnel directly involved in R&amp;D activities, third-party engineering and contractor costs, and prototype expenses.</w:t>
      </w:r>
    </w:p>
    <w:p>
      <w:pPr>
        <w:spacing w:after="0" w:line="116"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R&amp;D costs are expensed as they are incurred. Our investment in R&amp;D will continue to grow as we invest in new lidar technology and related software. Our absolute amount of R&amp;D expense will grow over time; however, we expect R&amp;D as a percentage of revenue to decrease annually as our business grows.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71"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Our investment in sales and marketing will continue to grow as we continue to expand our sales team globally, and our absolute amount of sales and marketing expenses will grow over time. We expect sales and marketing spend as a percentage of revenue to decrease over time as our business grows.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General and administrative expenses consist of personnel-related expenses, including salaries, benefits, and stock-based compensation, of our executives and members of the board of directors, finance, human resource, IT, and legal departments as well as fees related to legal fees, patent prosecution, accounting, finance and professional services as well as insurance, and bank fees. Our absolute amount of general and administrative expense will grow over time; however, we expect the general and administrative spend as a percentage of revenue to decrease annually as our business grows. Near term increases in general and administrative expenses are expected to be related to hiring more personnel and consultants to support our growing international expansion and compliance with the applicable provisions of the Sarbanes-Oxley Act (“SOX”) and other U.S. Securities and Exchange Commission (“SEC”) rules and regulations as a result of becoming a public company following the Merger.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measure and recognize stock-based compensation expense for stock-based awards over the requisite service periods based on the estimated grant date fair value using the Black-Scholes-Merton option pricing model.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Interest income consists primarily of income earned on our cash and cash equivalents. These amounts will vary based on our cash and cash equivalents balances and market rates. Interest expense consists primarily of interest on our debt and convertible notes and amortization of debt issuance costs and discount. Other income (expense), net consists primarily of realized and unrealized gains and losses on foreign currency transactions and balances, the change in fair value of financial instruments, including warrants issued in connection with a debt agreement, and Private Placement warrants acquired as part of the Merger.</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its deferred tax assets as it is more likely than not that some, or all, of our deferred tax assets will not be realized. We continue to maintain a full valuation allowance against its net deferred tax assets. Income tax provision for the three and nine months ended September 30, 2021 and 2020, respectively, was not material to the Company’s condensed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condensed consolidated results of operations data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4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8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(dollars in thousands)</w:t>
            </w: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21,726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10,524</w:t>
            </w: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21,726</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12,528</w:t>
            </w: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9"/>
                <w:szCs w:val="9"/>
                <w:color w:val="auto"/>
              </w:rPr>
              <w:t>(1)</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360"/>
              <w:spacing w:after="0"/>
              <w:rPr>
                <w:sz w:val="20"/>
                <w:szCs w:val="20"/>
                <w:color w:val="auto"/>
              </w:rPr>
            </w:pPr>
            <w:r>
              <w:rPr>
                <w:rFonts w:ascii="Arial" w:cs="Arial" w:eastAsia="Arial" w:hAnsi="Arial"/>
                <w:sz w:val="18"/>
                <w:szCs w:val="18"/>
                <w:color w:val="auto"/>
              </w:rPr>
              <w:t xml:space="preserve">Cost of product revenue </w:t>
            </w:r>
            <w:r>
              <w:rPr>
                <w:rFonts w:ascii="Arial" w:cs="Arial" w:eastAsia="Arial" w:hAnsi="Arial"/>
                <w:sz w:val="9"/>
                <w:szCs w:val="9"/>
                <w:color w:val="auto"/>
              </w:rPr>
              <w:t>(1)</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16,212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12,962</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16,212</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12,988</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9"/>
                <w:szCs w:val="9"/>
                <w:color w:val="auto"/>
              </w:rPr>
              <w:t>(1)</w:t>
            </w: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19,028</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6,305</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11,856</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37,189</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(37,649)</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(2,196)</w:t>
            </w: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(9,799)</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(11,971)</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(49,620)</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Provision for income tax expense</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components of our condensed consolidated statements of operations and comprehensive loss data as a percentage of revenue for the periods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22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49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4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 of total revenue)</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3"/>
          </w:tcPr>
          <w:p>
            <w:pPr>
              <w:jc w:val="center"/>
              <w:ind w:left="832"/>
              <w:spacing w:after="0"/>
              <w:rPr>
                <w:sz w:val="20"/>
                <w:szCs w:val="20"/>
                <w:color w:val="auto"/>
              </w:rPr>
            </w:pPr>
            <w:r>
              <w:rPr>
                <w:rFonts w:ascii="Arial" w:cs="Arial" w:eastAsia="Arial" w:hAnsi="Arial"/>
                <w:sz w:val="14"/>
                <w:szCs w:val="14"/>
                <w:b w:val="1"/>
                <w:bCs w:val="1"/>
                <w:color w:val="auto"/>
                <w:w w:val="95"/>
              </w:rPr>
              <w:t>(% of total revenue)</w:t>
            </w:r>
          </w:p>
        </w:tc>
        <w:tc>
          <w:tcPr>
            <w:tcW w:w="920" w:type="dxa"/>
            <w:vAlign w:val="bottom"/>
          </w:tcPr>
          <w:p>
            <w:pPr>
              <w:spacing w:after="0"/>
              <w:rPr>
                <w:sz w:val="15"/>
                <w:szCs w:val="15"/>
                <w:color w:val="auto"/>
              </w:rPr>
            </w:pPr>
          </w:p>
        </w:tc>
      </w:tr>
      <w:tr>
        <w:trPr>
          <w:trHeight w:val="231"/>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Product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Service revenue</w:t>
            </w:r>
          </w:p>
        </w:tc>
        <w:tc>
          <w:tcPr>
            <w:tcW w:w="12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9"/>
                <w:szCs w:val="9"/>
                <w:color w:val="auto"/>
              </w:rPr>
              <w:t>(1)</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Cost of product</w:t>
            </w: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103</w:t>
            </w: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Cost of services</w:t>
            </w:r>
          </w:p>
        </w:tc>
        <w:tc>
          <w:tcPr>
            <w:tcW w:w="12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104</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9"/>
                <w:szCs w:val="9"/>
                <w:color w:val="auto"/>
              </w:rPr>
              <w:t>(1)</w:t>
            </w: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152</w:t>
            </w:r>
          </w:p>
        </w:tc>
      </w:tr>
      <w:tr>
        <w:trPr>
          <w:trHeight w:val="230"/>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95</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297</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(301)</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26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w:t>
            </w: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(78)</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(96)</w:t>
            </w:r>
          </w:p>
        </w:tc>
      </w:tr>
      <w:tr>
        <w:trPr>
          <w:trHeight w:val="223"/>
        </w:trPr>
        <w:tc>
          <w:tcPr>
            <w:tcW w:w="4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before income taxes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(396)</w:t>
            </w: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 expense</w:t>
            </w:r>
          </w:p>
        </w:tc>
        <w:tc>
          <w:tcPr>
            <w:tcW w:w="126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4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ectPr>
          <w:pgSz w:w="11900" w:h="16838" w:orient="portrait"/>
          <w:cols w:equalWidth="0" w:num="1">
            <w:col w:w="11240"/>
          </w:cols>
          <w:pgMar w:left="320" w:top="125" w:right="339" w:bottom="1440" w:gutter="0" w:footer="0" w:header="0"/>
        </w:sectPr>
      </w:pPr>
    </w:p>
    <w:p>
      <w:pPr>
        <w:spacing w:after="0" w:line="257" w:lineRule="exact"/>
        <w:rPr>
          <w:sz w:val="20"/>
          <w:szCs w:val="20"/>
          <w:color w:val="auto"/>
        </w:rPr>
      </w:pPr>
    </w:p>
    <w:p>
      <w:pPr>
        <w:jc w:val="center"/>
        <w:ind w:left="55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31115</wp:posOffset>
            </wp:positionV>
            <wp:extent cx="18599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3" w:lineRule="exact"/>
        <w:rPr>
          <w:sz w:val="20"/>
          <w:szCs w:val="20"/>
          <w:color w:val="auto"/>
        </w:rPr>
      </w:pPr>
    </w:p>
    <w:p>
      <w:pPr>
        <w:ind w:left="5820"/>
        <w:spacing w:after="0"/>
        <w:tabs>
          <w:tab w:leader="none" w:pos="73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23495</wp:posOffset>
            </wp:positionV>
            <wp:extent cx="1859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31115</wp:posOffset>
            </wp:positionV>
            <wp:extent cx="18770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3" w:lineRule="exact"/>
        <w:rPr>
          <w:sz w:val="20"/>
          <w:szCs w:val="20"/>
          <w:color w:val="auto"/>
        </w:rPr>
      </w:pPr>
    </w:p>
    <w:p>
      <w:pPr>
        <w:ind w:left="180"/>
        <w:spacing w:after="0"/>
        <w:tabs>
          <w:tab w:leader="none" w:pos="16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23495</wp:posOffset>
            </wp:positionV>
            <wp:extent cx="18770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(dollars in thousands)</w:t>
      </w:r>
    </w:p>
    <w:p>
      <w:pPr>
        <w:spacing w:after="0" w:line="25" w:lineRule="exact"/>
        <w:rPr>
          <w:sz w:val="20"/>
          <w:szCs w:val="20"/>
          <w:color w:val="auto"/>
        </w:rPr>
      </w:pPr>
    </w:p>
    <w:p>
      <w:pPr>
        <w:sectPr>
          <w:pgSz w:w="11900" w:h="16838" w:orient="portrait"/>
          <w:cols w:equalWidth="0" w:num="2">
            <w:col w:w="7960" w:space="720"/>
            <w:col w:w="25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r>
      <w:tr>
        <w:trPr>
          <w:trHeight w:val="190"/>
        </w:trPr>
        <w:tc>
          <w:tcPr>
            <w:tcW w:w="52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4,889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4,305</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5,177</w:t>
            </w:r>
          </w:p>
        </w:tc>
      </w:tr>
      <w:tr>
        <w:trPr>
          <w:trHeight w:val="25"/>
        </w:trPr>
        <w:tc>
          <w:tcPr>
            <w:tcW w:w="5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186"/>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11,093</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w:t>
            </w:r>
          </w:p>
        </w:tc>
      </w:tr>
      <w:tr>
        <w:trPr>
          <w:trHeight w:val="208"/>
        </w:trPr>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stock-based compensation</w:t>
            </w: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7,256</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18,557</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ind w:lef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180" w:type="dxa"/>
            <w:vAlign w:val="bottom"/>
          </w:tcPr>
          <w:p>
            <w:pPr>
              <w:ind w:left="20"/>
              <w:spacing w:after="0"/>
              <w:rPr>
                <w:sz w:val="20"/>
                <w:szCs w:val="20"/>
                <w:color w:val="auto"/>
              </w:rPr>
            </w:pPr>
            <w:r>
              <w:rPr>
                <w:rFonts w:ascii="Arial" w:cs="Arial" w:eastAsia="Arial" w:hAnsi="Arial"/>
                <w:sz w:val="18"/>
                <w:szCs w:val="18"/>
                <w:color w:val="auto"/>
              </w:rPr>
              <w:t>Revenue</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revenue</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2"/>
              </w:rPr>
              <w:t>31 %</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Service revenue</w:t>
            </w:r>
          </w:p>
        </w:tc>
        <w:tc>
          <w:tcPr>
            <w:tcW w:w="8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2"/>
              </w:rPr>
              <w:t>30 %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Revenue by geographic location: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2"/>
              </w:rPr>
              <w:t>77 %</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Americas, excluding United States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 Middle East and Africa</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Asia and Pacific</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2"/>
              </w:rPr>
              <w:t>30 %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7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Product revenue increased by $1.8 million, or 31%, to $7.8 million for the three months ended September 30, 2021 from $5.9 million for the comparable period in the prior year. The increase in product revenue was driven by a 127% increase in volume which we attribute primarily to the expansion of our sales team and the increase of high volume, long-term agreements as some of our customers begin to move into a production stage with their autonomous products. Our average selling price declined by 42% as we moved towards long-term, high volume negotiated customer pricing. As our volumes increase we expect further reductions in our average selling price.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w:t>
      </w:r>
    </w:p>
    <w:p>
      <w:pPr>
        <w:spacing w:after="0" w:line="17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Services revenue decreased by $13 thousand. This decrease in revenue was due to there being no non-recurring engineering work in the three months ended September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Locations</w:t>
      </w:r>
    </w:p>
    <w:p>
      <w:pPr>
        <w:spacing w:after="0" w:line="171"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Revenue in Europe, the Middle East and Africa decreased by $0.5 million in the three months ended September 30, 2021, compared to the prior year period. The revenue decrease was mainly attributable to average selling price decrease as Europe, the Middle East and Africa sold more units in the three months ended September 30, 2021 than in the prior year period. Average selling prices have decreased over the past year as we moved towards long-term, high volume negotiated customer pricing. Revenue in the United States; Americas excluding the United States; and Asia and Pacific increased by $1.8 million, $0.1 million, $0.5 million, respectively, in the three months ended September 30, 2021 compared to the prior year period. The revenue increases in the United States and Americas excluding the United States, and Asia and Pacific were a result of focused sales expansion in those regions. We hired a President of Field Operations in April 2021 as well as sales and sales support staff to expand our coverage of the United States and Americas and all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87"/>
        </w:trPr>
        <w:tc>
          <w:tcPr>
            <w:tcW w:w="51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w:t>
            </w:r>
          </w:p>
        </w:tc>
      </w:tr>
      <w:tr>
        <w:trPr>
          <w:trHeight w:val="181"/>
        </w:trPr>
        <w:tc>
          <w:tcPr>
            <w:tcW w:w="5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2"/>
        </w:trPr>
        <w:tc>
          <w:tcPr>
            <w:tcW w:w="51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2"/>
              </w:rPr>
              <w:t>20 %</w:t>
            </w: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8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2"/>
              </w:rPr>
              <w:t>20 %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 and Gross Margin</w:t>
      </w:r>
    </w:p>
    <w:p>
      <w:pPr>
        <w:spacing w:after="0" w:line="171"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Cost of product revenue increased by $1.0 million, or 20%, to $5.9 million for the three months ended September 30, 2021 from $4.9 million for the comparable period in the prior year and cost per unit decreased by 47%. The increase in cost of product revenue was primarily due to increases of $2.9 million in material costs due to volume which was offset by $2.0 million in per unit savings in material cost and an increase of $0.8 million in other product costs which was primarily due to $1.3 million in additional costs associated with securing materials during the global supply chain crisis. The increases were partially offset by a decrease of $0.8 million in manufacturing overhead costs as we built more units than we sold and freight.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Product gross margin increased from 18% for the three months ended September 30, 2020 to 24% for the three months ended September 30,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improvement in product gross margin is due to the 47% decrease in cost per unit partially offset by a 4% decrease in average selling price.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6"/>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183"/>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8,876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181</w:t>
            </w:r>
          </w:p>
        </w:tc>
      </w:tr>
      <w:tr>
        <w:trPr>
          <w:trHeight w:val="230"/>
        </w:trPr>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212</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13,418</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Research and development expenses decreased by $0.5 million, or 5%, to $8.4 million for the three months ended September 30, 2021 from $8.9 million for the comparable period in the prior year. The decrease was primarily attributable to a $3.2 million decrease in stock-based compensation expense, which was offset by a $1.9 million increase in payroll-related expenses, a $0.2 million increase in recruiting and a $0.6 million decrease in product development, equipment and depreciation.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Sales and marketing expenses increased by $4.3 million, or 181%, to $6.7 million for the three months ended September 30, 2021 from $2.4 million for the comparable period in the prior year. The increase was primarily attributable to an increase of $3.7 million in payroll and personnel-related costs driven by the addition of sales personnel in all our global regions, $1.4 million of which was stock-based compensation related, $0.2 million for marketing and sales consulting, and $0.4 million in facility and business expenses related to opening and expanding sales offices around the world.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General and administrative expenses increased by $9.6 million, or 212%, to $14.1 million for the three months ended September 30, 2021 from $4.5 million for the comparable period in the prior year. The increase is primarily due to an increase of $3.7 million in accounting and professional services (primarily audit and legal), increase of $1.8 million relating to D&amp;O insurance expense, $1.6 million in stock-based compensation expense, $1.3 million in payroll related expense, $0.5 million in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office expenses and depreciation, $0.2 million in facility expense, $0.2 million in equipment, $0.1 million in consultants, and $0.2 million in public relations and investor relations.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w:t>
            </w:r>
          </w:p>
        </w:tc>
      </w:tr>
      <w:tr>
        <w:trPr>
          <w:trHeight w:val="18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16400 %</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100</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431</w:t>
            </w: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interest income was primarily related to an increase in our cash and cash equivalent balances after the Merger closed on March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5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decrease in interest expense was primarily due to the conversion of convertible notes in the second quarter of 2020 and the repayment of bank debt in the third quarter of 2020 and in March 2021.</w:t>
      </w:r>
    </w:p>
    <w:p>
      <w:pPr>
        <w:spacing w:after="0" w:line="11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Other income (expense), net was $14.5 million for the three months ended September 30, 2021 compared to $(4.4) million for the comparable period in the prior year. During the three months ended September 30, 2021, we recorded other income of $14.5 million for the decrease in fair value of private placement warrant liability. In the three months ended September 30, 2020 we recorded other expense of $6.0 million for the increase in fair value of the warrant liability offset by a $1.6 million gain from extinguishment of tranche liability.</w:t>
      </w:r>
    </w:p>
    <w:p>
      <w:pPr>
        <w:spacing w:after="0" w:line="133"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were subject to income taxes in the United States, Hong Kong, Thailand and China for the three months ended September 30, 2021 and 2020. Our income tax expense for three months ended September 30, 2021 and 2020 was not material to our condensed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16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Service revenue</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19"/>
                <w:szCs w:val="19"/>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Revenue by geographic location: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Americas, excluding United States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 Middle East and Africa</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Asia and 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71" w:lineRule="exact"/>
        <w:rPr>
          <w:sz w:val="20"/>
          <w:szCs w:val="20"/>
          <w:color w:val="auto"/>
        </w:rPr>
      </w:pPr>
    </w:p>
    <w:p>
      <w:pPr>
        <w:ind w:right="300" w:firstLine="405"/>
        <w:spacing w:after="0" w:line="296" w:lineRule="auto"/>
        <w:rPr>
          <w:sz w:val="20"/>
          <w:szCs w:val="20"/>
          <w:color w:val="auto"/>
        </w:rPr>
      </w:pPr>
      <w:r>
        <w:rPr>
          <w:rFonts w:ascii="Arial" w:cs="Arial" w:eastAsia="Arial" w:hAnsi="Arial"/>
          <w:sz w:val="16"/>
          <w:szCs w:val="16"/>
          <w:color w:val="auto"/>
        </w:rPr>
        <w:t>Product revenue increased by $11.2 million, or 106%, to $21.7 million for the nine months ended September 30, 2021 from $10.5 million for the comparable period in the prior year. The increase in product revenue was driven by an increase in volume of 205%, which we attribute primarily to the expansion of our sales team and the increase of high volume, long-term deals as some of our customers begin to move into a production stage with their autonomous products. Our average selling price declined by 32% as we moved towards negotiated customer pricing with customers reaching the production stage with their autonomous products and we expect reductions in the cost of goods sold as we grow our volumes.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Service revenue decreased by $2.0 million or 100% for the nine months ended September 30, 2021 from $2.0 million for the comparable period in the prior year. This revenue represented engineering work in relation to our new product release in early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Locations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Revenue in the United States; Americas excluding the United States; Europe, the Middle East and Africa; and Asia and Pacific increased by $2.1 million, $0.5 million, $4.3 million, $2.3 million, respectively, in the nine months ended September 30, 2021 compared to the prior year period. The revenue increase was mainly attributable to investments in additional sales staff. The revenue increases in the geographic regions of Asia and Pacific and Europe, the Middle East and Africa were a result of recent sales expansion in those regions. We opened sales offices in these regions beginning in late 2019 and have since continued to invest in expanding globally. Additionally, we hired a President of Field Operations in April 2021 as well as sales and sales support staff to expand our coverage world-wide.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w:t>
            </w:r>
          </w:p>
        </w:tc>
      </w:tr>
      <w:tr>
        <w:trPr>
          <w:trHeight w:val="181"/>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2"/>
        </w:trPr>
        <w:tc>
          <w:tcPr>
            <w:tcW w:w="5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product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 and Gross Margin</w:t>
      </w:r>
    </w:p>
    <w:p>
      <w:pPr>
        <w:spacing w:after="0" w:line="171"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Cost of product revenue increased by $3.3 million, or 25%, to $16.2 million for the nine months ended September 30, 2021 from $13.0 million for the comparable period in the prior year and cost per unit decreased by 59%. The increase in cost of product revenue was primarily due to increases of $7.3 million in material costs due to volume which was offset by $3.8 million in savings due to reduction in material costs per unit and an increase of $1.3 million in other product costs associated with securing materials during the global supply chain crisis. The increases were partially offset by a decrease of $1.5 million in other product costs due to lower allowances for excess and obsolete inventory.</w:t>
      </w:r>
    </w:p>
    <w:p>
      <w:pPr>
        <w:spacing w:after="0" w:line="122"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Product gross margin increased from (23)% for the nine months ended September 30, 2020 to 25% for the nine months ended September 30, 2021. The improvement in product gross margin is due to the 59% decrease in cost per unit slightly offset by the 32% decrease in average selling price referenced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Cost of Revenue and Gross Margin</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Services cost of revenue decreased by $26 thousand. This decrease in cost of revenue was due to there being no non-recurring engineering work in the nine months ended September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6"/>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183"/>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19,576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19,028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134</w:t>
            </w:r>
          </w:p>
        </w:tc>
      </w:tr>
      <w:tr>
        <w:trPr>
          <w:trHeight w:val="230"/>
        </w:trPr>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205</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Research and development expenses increased by $0.5 million, or 3%, to $19.6 million for the nine months ended September 30, 2021 from $19.0 million for the comparable period in the prior year. The increase was primarily attributable to a $1.0 million increase in stock-based compensation expense, a $0.5 million increase in recruiting, a $0.2 million increase in payroll and personnel-related expense, and a $0.5 million increase in depreciation expense which was partially offset by a $1.7 million reduction in prototype and equipment costs related to product development.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Sales and marketing expenses increased by $8.5 million, or 134%, to $14.8 million for the nine months ended September 30, 2021 from $6.3 million for the comparable period in the prior year. The increase was primarily attributable to an increase of $6.9 million in payroll and personnel-related costs driven by the addition of sales personnel in all our global regions, of which $2.2 million was stock-based compensation related, $1.0 million for additional branding and public relations expenses related to the Merger, marketing and consultants, $0.2 million in recruiting expenses, and $0.6 million in facility, office and related expenses related to opening and expanding sales offices around the world. The increases were partially offset by $0.2 million decrease in marketing expenses not associated with the Merger.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General and administrative expenses increased by $24.3 million, or 205%, to $36.2 million for the nine months ended September 30, 2021 from $11.9 million for the comparable period in the prior year. The increase was primarily due to an increase of $9.4 million of stock-based compensation, a $1.4 million increase in payroll-related expense, an increase of $7.0 million in legal, accounting and professional services fees, an increase of $4.1 million in insurance premiums, an increase of $0.7 million of recruiting expenses relating to executive search and hiring, an increase of $1.2 million in facilities and office related expense, an increase of $0.2 million in public relations expense and $0.3 million in depreciation.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w:t>
            </w:r>
          </w:p>
        </w:tc>
      </w:tr>
      <w:tr>
        <w:trPr>
          <w:trHeight w:val="183"/>
        </w:trPr>
        <w:tc>
          <w:tcPr>
            <w:tcW w:w="5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1171 %</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(504)</w:t>
            </w:r>
          </w:p>
        </w:tc>
        <w:tc>
          <w:tcPr>
            <w:tcW w:w="380" w:type="dxa"/>
            <w:vAlign w:val="bottom"/>
          </w:tcPr>
          <w:p>
            <w:pPr>
              <w:spacing w:after="0"/>
              <w:rPr>
                <w:sz w:val="19"/>
                <w:szCs w:val="19"/>
                <w:color w:val="auto"/>
              </w:rPr>
            </w:pPr>
          </w:p>
        </w:tc>
        <w:tc>
          <w:tcPr>
            <w:tcW w:w="1080" w:type="dxa"/>
            <w:vAlign w:val="bottom"/>
          </w:tcPr>
          <w:p>
            <w:pPr>
              <w:ind w:left="520"/>
              <w:spacing w:after="0"/>
              <w:rPr>
                <w:sz w:val="20"/>
                <w:szCs w:val="20"/>
                <w:color w:val="auto"/>
              </w:rPr>
            </w:pPr>
            <w:r>
              <w:rPr>
                <w:rFonts w:ascii="Arial" w:cs="Arial" w:eastAsia="Arial" w:hAnsi="Arial"/>
                <w:sz w:val="18"/>
                <w:szCs w:val="18"/>
                <w:color w:val="auto"/>
                <w:w w:val="94"/>
              </w:rPr>
              <w:t>(2,196)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77</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(9,799)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96</w:t>
            </w:r>
          </w:p>
        </w:tc>
      </w:tr>
    </w:tbl>
    <w:p>
      <w:pPr>
        <w:spacing w:after="0" w:line="242"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Interest income was $0.3 million for the nine months ended September 30, 2021 compared to $0.024 million for the comparable period in the prior year. This increase in interest income was primarily related to an increase in our cash and cash equivalent balances after the Merger closed on March 11, 2021.</w:t>
      </w:r>
    </w:p>
    <w:p>
      <w:pPr>
        <w:spacing w:after="0" w:line="130"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Interest expense was $0.5 million for the nine months ended September 30, 2021 compared to $2.2 million for the comparable period in the prior year. The decrease was primarily due to the conversion of convertible notes in the second quarter of 2020 and the repayment of bank debt in the third quarter of 2020 and March 2021.</w:t>
      </w:r>
    </w:p>
    <w:p>
      <w:pPr>
        <w:spacing w:after="0" w:line="130"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Other expense, net was $0.4 million for the nine months ended September 30, 2021 compared to $9.8 million for the comparable period in the prior year. During the nine months ended September 30, 2021, we recorded a loss of $8.8 million for the fair value change of redeemable convertible preferred stock warrant liability and a gain of $8.4 million for the fair value change of Private Placement warrant liability. During the nine months ended September 30, 2020, we recorded losses of $5.3 million for the fair value change of derivative liability related to our convertible notes and $6.1 million for the fair value change of the warrant liability, partially offset by a $1.6 million gain from extinguishment of tranche liability which was recorded as other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80" w:firstLine="405"/>
        <w:spacing w:after="0" w:line="342" w:lineRule="auto"/>
        <w:rPr>
          <w:sz w:val="20"/>
          <w:szCs w:val="20"/>
          <w:color w:val="auto"/>
        </w:rPr>
      </w:pPr>
      <w:r>
        <w:rPr>
          <w:rFonts w:ascii="Arial" w:cs="Arial" w:eastAsia="Arial" w:hAnsi="Arial"/>
          <w:sz w:val="16"/>
          <w:szCs w:val="16"/>
          <w:color w:val="auto"/>
        </w:rPr>
        <w:t>We were subject to income taxes in the United States, Hong Kong, Thailand and China for the nine months ended September 30, 2021 and 2020. Our income tax expense for nine months ended September 30, 2021 and 2020 was not material to the Company’s condensed consolidated financial statements.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primary requirements for liquidity and capital are working capital, inventory management, capital expenditures, public company costs and general corporate needs. We expect these needs to continue as we develop and grow our business. Prior to the Merger, we primarily funded our operations from the net proceeds from sales of our preferred convertible stock and convertible notes, borrowing under our loan and security agreement with Runway Growth Credit Fund, Inc. and product revenue. Subsequent to the Merger, our principal sources of liquidity have been and are expected to be our cash and cash equivalents and product revenues.</w:t>
      </w:r>
    </w:p>
    <w:p>
      <w:pPr>
        <w:spacing w:after="0" w:line="134"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As of September 30, 2021 we had an accumulated deficit of $275.0 million and cash and cash equivalents of $221.6 million. We have experienced recurring losses from operations, and negative cash flows from operations, and we expect to continue operating at a loss and to have negative cash flows from operations for the foreseeable future. We believe our cash and cash equivalents on hand, together with cash we expect to generate from future operations, will be sufficient to meet our working capital and capital expenditure requirements for a period of at least twelve months from the date of this Quarterly Report on Form 10-Q. However, because we are in the growth stage of our business and operate in an emerging field of technology, we expect to continue to invest in research and development and expand our sales and marketing teams worldwide. We are likely to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the widespread COVID-19 pandemic, including variants,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7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On November 27, 2018, we entered into a Loan and Security Agreement with Runway Growth Credit Fund, Inc. (“Runway Loan and Security Agreement”) and borrowed $10.0 million per the terms of that agreement with a loan maturity date of November 15, 2021. The loan carried an interest rate equal to LIBOR plus 8.50%. We repaid $3.0 million of the loan in August 2020.</w:t>
      </w:r>
    </w:p>
    <w:p>
      <w:pPr>
        <w:spacing w:after="0" w:line="13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March 26, 2021 we terminated the Runway Loan and Security Agreement and repaid the $7.0 million principal amount outstanding as well as interest and fees amounting to $0.4 million. We incurred no prepayment fees in connection with the termination and all liens and security interests securing the loan made pursuant to the Runway Loan and Security Agreement were released upon termination. As of September 30, 2021 and December 31, 2020, the outstanding principal balance of the loan was nil and $7.0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39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83"/>
        </w:trPr>
        <w:tc>
          <w:tcPr>
            <w:tcW w:w="39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3"/>
          </w:tcPr>
          <w:p>
            <w:pPr>
              <w:jc w:val="right"/>
              <w:ind w:right="735"/>
              <w:spacing w:after="0"/>
              <w:rPr>
                <w:sz w:val="20"/>
                <w:szCs w:val="20"/>
                <w:color w:val="auto"/>
              </w:rPr>
            </w:pPr>
            <w:r>
              <w:rPr>
                <w:rFonts w:ascii="Arial" w:cs="Arial" w:eastAsia="Arial" w:hAnsi="Arial"/>
                <w:sz w:val="14"/>
                <w:szCs w:val="14"/>
                <w:b w:val="1"/>
                <w:bCs w:val="1"/>
                <w:color w:val="auto"/>
              </w:rPr>
              <w:t>(dollars in thousands)</w:t>
            </w:r>
          </w:p>
        </w:tc>
      </w:tr>
      <w:tr>
        <w:trPr>
          <w:trHeight w:val="231"/>
        </w:trPr>
        <w:tc>
          <w:tcPr>
            <w:tcW w:w="3920" w:type="dxa"/>
            <w:vAlign w:val="bottom"/>
            <w:shd w:val="clear" w:color="auto" w:fill="CCEEFF"/>
          </w:tcPr>
          <w:p>
            <w:pPr>
              <w:jc w:val="center"/>
              <w:ind w:right="1530"/>
              <w:spacing w:after="0"/>
              <w:rPr>
                <w:sz w:val="20"/>
                <w:szCs w:val="20"/>
                <w:color w:val="auto"/>
              </w:rPr>
            </w:pPr>
            <w:r>
              <w:rPr>
                <w:rFonts w:ascii="Arial" w:cs="Arial" w:eastAsia="Arial" w:hAnsi="Arial"/>
                <w:sz w:val="18"/>
                <w:szCs w:val="18"/>
                <w:color w:val="auto"/>
                <w:w w:val="90"/>
              </w:rPr>
              <w:t>Net cash provided by (used in):</w:t>
            </w:r>
          </w:p>
        </w:tc>
        <w:tc>
          <w:tcPr>
            <w:tcW w:w="4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3920" w:type="dxa"/>
            <w:vAlign w:val="bottom"/>
          </w:tcPr>
          <w:p>
            <w:pPr>
              <w:jc w:val="center"/>
              <w:ind w:right="1490"/>
              <w:spacing w:after="0"/>
              <w:rPr>
                <w:sz w:val="20"/>
                <w:szCs w:val="20"/>
                <w:color w:val="auto"/>
              </w:rPr>
            </w:pPr>
            <w:r>
              <w:rPr>
                <w:rFonts w:ascii="Arial" w:cs="Arial" w:eastAsia="Arial" w:hAnsi="Arial"/>
                <w:sz w:val="18"/>
                <w:szCs w:val="18"/>
                <w:color w:val="auto"/>
                <w:w w:val="92"/>
              </w:rPr>
              <w:t>Operating activities</w:t>
            </w:r>
          </w:p>
        </w:tc>
        <w:tc>
          <w:tcPr>
            <w:tcW w:w="4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(45,106)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(34,631)</w:t>
            </w:r>
          </w:p>
        </w:tc>
      </w:tr>
      <w:tr>
        <w:trPr>
          <w:trHeight w:val="230"/>
        </w:trPr>
        <w:tc>
          <w:tcPr>
            <w:tcW w:w="3920" w:type="dxa"/>
            <w:vAlign w:val="bottom"/>
            <w:shd w:val="clear" w:color="auto" w:fill="CCEEFF"/>
          </w:tcPr>
          <w:p>
            <w:pPr>
              <w:jc w:val="center"/>
              <w:ind w:right="1550"/>
              <w:spacing w:after="0"/>
              <w:rPr>
                <w:sz w:val="20"/>
                <w:szCs w:val="20"/>
                <w:color w:val="auto"/>
              </w:rPr>
            </w:pPr>
            <w:r>
              <w:rPr>
                <w:rFonts w:ascii="Arial" w:cs="Arial" w:eastAsia="Arial" w:hAnsi="Arial"/>
                <w:sz w:val="18"/>
                <w:szCs w:val="18"/>
                <w:color w:val="auto"/>
                <w:w w:val="93"/>
              </w:rPr>
              <w:t>Investing activities</w:t>
            </w:r>
          </w:p>
        </w:tc>
        <w:tc>
          <w:tcPr>
            <w:tcW w:w="4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30"/>
        </w:trPr>
        <w:tc>
          <w:tcPr>
            <w:tcW w:w="3920" w:type="dxa"/>
            <w:vAlign w:val="bottom"/>
          </w:tcPr>
          <w:p>
            <w:pPr>
              <w:jc w:val="center"/>
              <w:ind w:right="1490"/>
              <w:spacing w:after="0"/>
              <w:rPr>
                <w:sz w:val="20"/>
                <w:szCs w:val="20"/>
                <w:color w:val="auto"/>
              </w:rPr>
            </w:pPr>
            <w:r>
              <w:rPr>
                <w:rFonts w:ascii="Arial" w:cs="Arial" w:eastAsia="Arial" w:hAnsi="Arial"/>
                <w:sz w:val="18"/>
                <w:szCs w:val="18"/>
                <w:color w:val="auto"/>
                <w:w w:val="93"/>
              </w:rPr>
              <w:t>Financing activities</w:t>
            </w: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257,826</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38,543</w:t>
            </w:r>
          </w:p>
        </w:tc>
      </w:tr>
      <w:tr>
        <w:trPr>
          <w:trHeight w:val="904"/>
        </w:trPr>
        <w:tc>
          <w:tcPr>
            <w:tcW w:w="3920" w:type="dxa"/>
            <w:vAlign w:val="bottom"/>
          </w:tcPr>
          <w:p>
            <w:pPr>
              <w:spacing w:after="0"/>
              <w:rPr>
                <w:sz w:val="24"/>
                <w:szCs w:val="24"/>
                <w:color w:val="auto"/>
              </w:rPr>
            </w:pPr>
          </w:p>
        </w:tc>
        <w:tc>
          <w:tcPr>
            <w:tcW w:w="4360" w:type="dxa"/>
            <w:vAlign w:val="bottom"/>
          </w:tcPr>
          <w:p>
            <w:pPr>
              <w:jc w:val="right"/>
              <w:ind w:right="247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During the nine months ended September 30, 2021, operating activities used $45.1 million in cash. The primary factors affecting our operating cash flows during this period were our net loss of $65.6 million, impacted by our non-cash charges of $24.8 million primarily consisting of stock-based compensation of $18.6 million, a $0.4 million change in fair value of warrant liabilities, depreciation and amortization of $3.4 million, change in right-of-use asset of $1.3 million, and interest expense and amortization of debt issuance costs and debt discount of $0.3 million. The changes in our operating assets and liabilities of $4.3 million were primarily due to a decrease in operating lease liability of $1.8 million, a decrease in accounts payable of $2.7 million, an increase in accounts receivable of $4.4 million, an increase in inventory of $2.6 million and an increase in accrued and other liabilities of $7.1 million.</w:t>
      </w:r>
    </w:p>
    <w:p>
      <w:pPr>
        <w:spacing w:after="0" w:line="14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During the nine months ended September 30, 2020, operating activities used $34.6 million in cash. The primary factors affecting our operating cash flows during this period were our net loss of $49.6 million, impacted by our non-cash charges of $24.1 million primarily consisting of a $5.3 million change in fair value of derivative liability, interest expense and amortization of debt issuance costs and debt discount of $1.2 million, depreciation and amortization of $2.7 million, change in right-of-use asset of $1.4 million, and stock-based compensation of $7.9 million. The changes in our operating assets and liabilities of $9.1 million were primarily due to an increase in inventories of $4.1 million, and an increase in accounts receivable of $2.0 million, a decrease in accounts payable of $0.6 million, and a decrease in accrued and other current liabilities of $2.0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During the nine months ended September 30, 2021, cash used in investing activities was $1.8 million, which was related to purchases of property, plant and equipment.</w:t>
      </w:r>
    </w:p>
    <w:p>
      <w:pPr>
        <w:spacing w:after="0" w:line="11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During the nine months ended September 30, 2020, cash used in investing activities was $2.4 million, which was related to purchases of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During the nine months ended September 30, 2021, cash provided by financing activities was $257.8 million, consisting primarily of $291.5 million of proceeds (net of $8.4 million of pre-Merger costs relating to CLA) from the Merger and PIPE Investment offset by offerings costs of $27.1 million, and proceeds from exercise of stock options of $0.5 million, partially offset by repayment of debt of $7.0 million. There were promissory notes to related parties of $5.0 million that were issued and repaid during the nine months ended September 30, 2021.</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nine months ended September 30, 2020, cash provided by financing activities was $38.5 million, which was mainly related to the proceeds from issuance of Series B redeemable convertible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September 30, 2021, we did not have any off-balance sheet arrangements, that have or are reasonably likely to have a current or future effect on our financial condition, results of operations, or cash flows.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have been no material updates to our contractual obligations from those disclosed in our Quarterly Report on Form 10-Q for the three months ended March 31, 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and nine months ended September 30, 2021, as compared to the critical accounting policies and estimates described in “Critical Accounting Policies and Estimates” in our final prospectus dated and filed with the SEC on August 19, 2021.</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Please refer to Note 2 in our unaudited condensed consolidated financial statements contained elsewhere in this Quarterly Report on Form 10-Q for recently adopted accounting pronouncements and recently issued accounting pronouncements not yet adopted as of the date of this Quarterly Report on Form 10-Q. Based on our public float as of June 30, 2021, we expect to become a large accelerated filer, and lose emerging growth company status, as of December 31, 2021. As of December 31, 2021, we will be required to adopt new or revised accounting standards when they are applicable to public companies that are not emerging growth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As of September 30, 2021, we had cash and cash equivalents of approximately $221.6 million, out of which $219.3 million consisted of institutional money market funds, which carries a degree of interest rate risk. A hypothetical 10% change in interest rates would not have a material impact on our financial condition or results of operations due to the short-term nature of our investment portfolio.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United States,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1"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that term is defined in Rules 13a-15(e) and 15d-15(e) under the Exchange Act). Based on that evaluation, our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principal executive officer and principal financial officer concluded that our disclosure controls and procedures were not effective as of September 30, 2021 due to the material weaknesses in our internal control over financial reporting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and Remediation Plan</w:t>
      </w:r>
    </w:p>
    <w:p>
      <w:pPr>
        <w:spacing w:after="0" w:line="171"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0" w:lineRule="exact"/>
        <w:rPr>
          <w:sz w:val="20"/>
          <w:szCs w:val="20"/>
          <w:color w:val="auto"/>
        </w:rPr>
      </w:pPr>
    </w:p>
    <w:p>
      <w:pPr>
        <w:ind w:right="240" w:firstLine="405"/>
        <w:spacing w:after="0" w:line="311" w:lineRule="auto"/>
        <w:rPr>
          <w:sz w:val="20"/>
          <w:szCs w:val="20"/>
          <w:color w:val="auto"/>
        </w:rPr>
      </w:pPr>
      <w:r>
        <w:rPr>
          <w:rFonts w:ascii="Arial" w:cs="Arial" w:eastAsia="Arial" w:hAnsi="Arial"/>
          <w:sz w:val="16"/>
          <w:szCs w:val="16"/>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spacing w:after="0" w:line="41" w:lineRule="exact"/>
        <w:rPr>
          <w:sz w:val="20"/>
          <w:szCs w:val="20"/>
          <w:color w:val="auto"/>
        </w:rPr>
      </w:pPr>
    </w:p>
    <w:p>
      <w:pPr>
        <w:ind w:left="500" w:right="80" w:hanging="330"/>
        <w:spacing w:after="0" w:line="255"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spacing w:after="0" w:line="84" w:lineRule="exact"/>
        <w:rPr>
          <w:rFonts w:ascii="Arial" w:cs="Arial" w:eastAsia="Arial" w:hAnsi="Arial"/>
          <w:sz w:val="18"/>
          <w:szCs w:val="18"/>
          <w:color w:val="auto"/>
        </w:rPr>
      </w:pPr>
    </w:p>
    <w:p>
      <w:pPr>
        <w:ind w:left="500" w:right="80" w:hanging="330"/>
        <w:spacing w:after="0" w:line="269" w:lineRule="auto"/>
        <w:tabs>
          <w:tab w:leader="none" w:pos="49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3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116"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have begun the process of, and are focused on, designing and implementing effective internal control measures to improve our internal control over financial reporting and remediate the material weaknesses. Our efforts include a number of actions:</w:t>
      </w:r>
    </w:p>
    <w:p>
      <w:pPr>
        <w:spacing w:after="0" w:line="62" w:lineRule="exact"/>
        <w:rPr>
          <w:sz w:val="20"/>
          <w:szCs w:val="20"/>
          <w:color w:val="auto"/>
        </w:rPr>
      </w:pPr>
    </w:p>
    <w:p>
      <w:pPr>
        <w:ind w:left="500" w:right="58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actively recruiting additional personnel, in addition to engaging and utilizing third party consultants and specialists to supplement our internal resources and segregate key functions within our business processes, where appropriate.</w:t>
      </w:r>
    </w:p>
    <w:p>
      <w:pPr>
        <w:spacing w:after="0" w:line="62" w:lineRule="exact"/>
        <w:rPr>
          <w:rFonts w:ascii="Arial" w:cs="Arial" w:eastAsia="Arial" w:hAnsi="Arial"/>
          <w:sz w:val="18"/>
          <w:szCs w:val="18"/>
          <w:color w:val="auto"/>
        </w:rPr>
      </w:pPr>
    </w:p>
    <w:p>
      <w:pPr>
        <w:ind w:left="500" w:right="44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also continue to take actions to improve our IT general controls, segregation of duties controls, period-end financial reporting controls, and journal entry controls.</w:t>
      </w:r>
    </w:p>
    <w:p>
      <w:pPr>
        <w:spacing w:after="0" w:line="62" w:lineRule="exact"/>
        <w:rPr>
          <w:rFonts w:ascii="Arial" w:cs="Arial" w:eastAsia="Arial" w:hAnsi="Arial"/>
          <w:sz w:val="18"/>
          <w:szCs w:val="18"/>
          <w:color w:val="auto"/>
        </w:rPr>
      </w:pPr>
    </w:p>
    <w:p>
      <w:pPr>
        <w:ind w:left="500" w:right="180" w:hanging="330"/>
        <w:spacing w:after="0" w:line="296" w:lineRule="auto"/>
        <w:tabs>
          <w:tab w:leader="none" w:pos="49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implementing comprehensive access control protocols for our enterprise resource planning environment to implement restrictions on user and privileged access to certain applications, establishing additional controls over the preparation and review of journal entries, establishing additional controls to verify transactions are properly classified in the financial statements,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10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On June 10, 2021, we received a letter from the SEC notifying us of an investigation and document subpoena. The subpoena seeks documents regarding projected financial information in CLA’s Form S-4 registration statement filed on December 22, 2020. We are cooperating with the SEC’s subpoena.</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or legal proceedings that we believe to be material and we are not aware of any pending or threatened litigation against us that we believe could have a material adverse effect on our business, operating results, financial condition or cash flows. See Part I, Item 1 “Financial Statements (Unaudited) — Note 7 —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to our previously disclosed risk factors in our final prospectus filed with the SEC on August 19,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Other than the securities issued as consideration for the Sense acquisition as disclosed in our Current Report on Form 8-K filed October 5, 2021, we sold no securities during the three months ended September 30, 2021 that were not registered under the Securities Act.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August 25, 2020, CLA consummated an initial public offering of 20,000,000 units, each consisting of one Class A ordinary share, $0.0001 par value, and one-half of one redeemable warrant (the “Units”). The Units sold in the Initial Public Offering were sold at an offering price of $10.00 per unit, generating gross proceeds of $200,000,000. BTIG acted as sole book-running manager, of the initial public offering. The securities in the offering were registered under the Securities Act on a registration statement on Form S-1 (No. 333-240378). The Securities and Exchange Commission declared the registration statement effective on August 20, 2020. The proceeds from the initial public offering were used as consideration for the Merger and any remaining proceeds will be used for general corporate purposes.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did not purchase any of our equity securities that are registered under Section 12(b) of the Exchange Act during the three months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8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ind w:left="160"/>
        <w:spacing w:after="0"/>
        <w:tabs>
          <w:tab w:leader="none" w:pos="26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3089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gridSpan w:val="3"/>
          </w:tcPr>
          <w:p>
            <w:pPr>
              <w:spacing w:after="0"/>
              <w:rPr>
                <w:rFonts w:ascii="Arial" w:cs="Arial" w:eastAsia="Arial" w:hAnsi="Arial"/>
                <w:sz w:val="18"/>
                <w:szCs w:val="18"/>
                <w:color w:val="0000FF"/>
              </w:rPr>
            </w:pPr>
            <w:hyperlink r:id="rId66">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4100" w:type="dxa"/>
            <w:vAlign w:val="bottom"/>
            <w:gridSpan w:val="23"/>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Agreement and Plan of Merger, dated as of December</w:t>
              </w:r>
            </w:hyperlink>
          </w:p>
        </w:tc>
        <w:tc>
          <w:tcPr>
            <w:tcW w:w="0" w:type="dxa"/>
            <w:vAlign w:val="bottom"/>
          </w:tcPr>
          <w:p>
            <w:pPr>
              <w:spacing w:after="0"/>
              <w:rPr>
                <w:sz w:val="1"/>
                <w:szCs w:val="1"/>
                <w:color w:val="auto"/>
              </w:rPr>
            </w:pPr>
          </w:p>
        </w:tc>
      </w:tr>
      <w:tr>
        <w:trPr>
          <w:trHeight w:val="202"/>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8"/>
          </w:tcPr>
          <w:p>
            <w:pPr>
              <w:spacing w:after="0" w:line="202"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21, 2020, by and among the Company, Beam Merger</w:t>
              </w:r>
            </w:hyperlink>
          </w:p>
        </w:tc>
        <w:tc>
          <w:tcPr>
            <w:tcW w:w="60" w:type="dxa"/>
            <w:vAlign w:val="bottom"/>
            <w:tcBorders>
              <w:top w:val="single" w:sz="8" w:color="0000FF"/>
            </w:tcBorders>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Sub, Inc. and Ouster, Inc.</w:t>
              </w:r>
            </w:hyperlink>
          </w:p>
        </w:tc>
        <w:tc>
          <w:tcPr>
            <w:tcW w:w="22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6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60" w:type="dxa"/>
            <w:vAlign w:val="bottom"/>
            <w:tcBorders>
              <w:bottom w:val="single" w:sz="8" w:color="0000FF"/>
            </w:tcBorders>
            <w:gridSpan w:val="9"/>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Certificate of Incorporation of Ouster, Inc.</w:t>
              </w:r>
            </w:hyperlink>
          </w:p>
        </w:tc>
        <w:tc>
          <w:tcPr>
            <w:tcW w:w="104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6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Borders>
              <w:bottom w:val="single" w:sz="8" w:color="0000FF"/>
            </w:tcBorders>
          </w:tcPr>
          <w:p>
            <w:pPr>
              <w:spacing w:after="0"/>
              <w:rPr>
                <w:sz w:val="20"/>
                <w:szCs w:val="20"/>
                <w:color w:val="auto"/>
              </w:rPr>
            </w:pPr>
          </w:p>
        </w:tc>
        <w:tc>
          <w:tcPr>
            <w:tcW w:w="740" w:type="dxa"/>
            <w:vAlign w:val="bottom"/>
            <w:tcBorders>
              <w:bottom w:val="single" w:sz="8" w:color="0000FF"/>
            </w:tcBorders>
          </w:tcPr>
          <w:p>
            <w:pPr>
              <w:spacing w:after="0"/>
              <w:rPr>
                <w:sz w:val="20"/>
                <w:szCs w:val="20"/>
                <w:color w:val="auto"/>
              </w:rPr>
            </w:pPr>
          </w:p>
        </w:tc>
        <w:tc>
          <w:tcPr>
            <w:tcW w:w="1620" w:type="dxa"/>
            <w:vAlign w:val="bottom"/>
            <w:tcBorders>
              <w:bottom w:val="single" w:sz="8" w:color="0000FF"/>
            </w:tcBorders>
            <w:gridSpan w:val="2"/>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Bylaws of Ouster, Inc.</w:t>
              </w:r>
            </w:hyperlink>
          </w:p>
        </w:tc>
        <w:tc>
          <w:tcPr>
            <w:tcW w:w="248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60" w:type="dxa"/>
            <w:vAlign w:val="bottom"/>
            <w:gridSpan w:val="3"/>
          </w:tcPr>
          <w:p>
            <w:pPr>
              <w:spacing w:after="0"/>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100" w:type="dxa"/>
            <w:vAlign w:val="bottom"/>
            <w:gridSpan w:val="23"/>
          </w:tcPr>
          <w:p>
            <w:pPr>
              <w:spacing w:after="0"/>
              <w:rPr>
                <w:rFonts w:ascii="Arial" w:cs="Arial" w:eastAsia="Arial" w:hAnsi="Arial"/>
                <w:sz w:val="18"/>
                <w:szCs w:val="18"/>
                <w:color w:val="0000FF"/>
              </w:rPr>
            </w:pPr>
            <w:hyperlink r:id="rId69">
              <w:r>
                <w:rPr>
                  <w:rFonts w:ascii="Arial" w:cs="Arial" w:eastAsia="Arial" w:hAnsi="Arial"/>
                  <w:sz w:val="18"/>
                  <w:szCs w:val="18"/>
                  <w:color w:val="0000FF"/>
                </w:rPr>
                <w:t>Amended and Restated Non-Employer Director</w:t>
              </w:r>
            </w:hyperlink>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4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Compensation Program</w:t>
              </w:r>
            </w:hyperlink>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3"/>
          </w:tcPr>
          <w:p>
            <w:pPr>
              <w:spacing w:after="0"/>
              <w:rPr>
                <w:rFonts w:ascii="Arial" w:cs="Arial" w:eastAsia="Arial" w:hAnsi="Arial"/>
                <w:sz w:val="18"/>
                <w:szCs w:val="18"/>
                <w:color w:val="0000FF"/>
              </w:rPr>
            </w:pPr>
            <w:hyperlink r:id="rId70">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100" w:type="dxa"/>
            <w:vAlign w:val="bottom"/>
            <w:gridSpan w:val="23"/>
          </w:tcPr>
          <w:p>
            <w:pPr>
              <w:spacing w:after="0"/>
              <w:rPr>
                <w:rFonts w:ascii="Arial" w:cs="Arial" w:eastAsia="Arial" w:hAnsi="Arial"/>
                <w:sz w:val="18"/>
                <w:szCs w:val="18"/>
                <w:color w:val="0000FF"/>
              </w:rPr>
            </w:pPr>
            <w:hyperlink r:id="rId70">
              <w:r>
                <w:rPr>
                  <w:rFonts w:ascii="Arial" w:cs="Arial" w:eastAsia="Arial" w:hAnsi="Arial"/>
                  <w:sz w:val="18"/>
                  <w:szCs w:val="18"/>
                  <w:color w:val="0000FF"/>
                </w:rPr>
                <w:t>Agreement and Plan of Merger and Plan of</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00" w:type="dxa"/>
            <w:vAlign w:val="bottom"/>
            <w:gridSpan w:val="23"/>
          </w:tcPr>
          <w:p>
            <w:pPr>
              <w:spacing w:after="0" w:line="156" w:lineRule="exact"/>
              <w:rPr>
                <w:rFonts w:ascii="Arial" w:cs="Arial" w:eastAsia="Arial" w:hAnsi="Arial"/>
                <w:sz w:val="18"/>
                <w:szCs w:val="18"/>
                <w:color w:val="0000FF"/>
                <w:w w:val="97"/>
              </w:rPr>
            </w:pPr>
            <w:hyperlink r:id="rId70">
              <w:r>
                <w:rPr>
                  <w:rFonts w:ascii="Arial" w:cs="Arial" w:eastAsia="Arial" w:hAnsi="Arial"/>
                  <w:sz w:val="18"/>
                  <w:szCs w:val="18"/>
                  <w:color w:val="0000FF"/>
                  <w:w w:val="97"/>
                </w:rPr>
                <w:t>Reorganization, dated as of October 5, 2021, by and</w:t>
              </w:r>
            </w:hyperlink>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among Ouster, Inc., Sparrow Acquisition Sub., Inc.,</w:t>
              </w:r>
            </w:hyperlink>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00" w:type="dxa"/>
            <w:vAlign w:val="bottom"/>
            <w:gridSpan w:val="23"/>
          </w:tcPr>
          <w:p>
            <w:pPr>
              <w:spacing w:after="0" w:line="156"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Sense Photonics, Inc., and Fortis Advisors LLC, solely</w:t>
              </w:r>
            </w:hyperlink>
          </w:p>
        </w:tc>
        <w:tc>
          <w:tcPr>
            <w:tcW w:w="0" w:type="dxa"/>
            <w:vAlign w:val="bottom"/>
          </w:tcPr>
          <w:p>
            <w:pPr>
              <w:spacing w:after="0"/>
              <w:rPr>
                <w:sz w:val="1"/>
                <w:szCs w:val="1"/>
                <w:color w:val="auto"/>
              </w:rPr>
            </w:pPr>
          </w:p>
        </w:tc>
      </w:tr>
      <w:tr>
        <w:trPr>
          <w:trHeight w:val="156"/>
        </w:trPr>
        <w:tc>
          <w:tcPr>
            <w:tcW w:w="1060" w:type="dxa"/>
            <w:vAlign w:val="bottom"/>
            <w:gridSpan w:val="3"/>
            <w:vMerge w:val="restart"/>
          </w:tcPr>
          <w:p>
            <w:pPr>
              <w:spacing w:after="0" w:line="207" w:lineRule="exact"/>
              <w:rPr>
                <w:rFonts w:ascii="Arial" w:cs="Arial" w:eastAsia="Arial" w:hAnsi="Arial"/>
                <w:sz w:val="18"/>
                <w:szCs w:val="18"/>
                <w:color w:val="0000FF"/>
              </w:rPr>
            </w:pPr>
            <w:hyperlink r:id="rId71">
              <w:r>
                <w:rPr>
                  <w:rFonts w:ascii="Arial" w:cs="Arial" w:eastAsia="Arial" w:hAnsi="Arial"/>
                  <w:sz w:val="18"/>
                  <w:szCs w:val="18"/>
                  <w:color w:val="0000FF"/>
                </w:rPr>
                <w:t>10.</w:t>
              </w:r>
              <w:r>
                <w:rPr>
                  <w:rFonts w:ascii="Arial" w:cs="Arial" w:eastAsia="Arial" w:hAnsi="Arial"/>
                  <w:sz w:val="18"/>
                  <w:szCs w:val="18"/>
                  <w:u w:val="single" w:color="auto"/>
                  <w:color w:val="0000FF"/>
                </w:rPr>
                <w:t>3</w:t>
              </w:r>
            </w:hyperlink>
            <w:r>
              <w:rPr>
                <w:rFonts w:ascii="MS PGothic" w:cs="MS PGothic" w:eastAsia="MS PGothic" w:hAnsi="MS PGothic"/>
                <w:sz w:val="18"/>
                <w:szCs w:val="18"/>
                <w:color w:val="000000"/>
              </w:rPr>
              <w:t>₊</w:t>
            </w:r>
          </w:p>
        </w:tc>
        <w:tc>
          <w:tcPr>
            <w:tcW w:w="23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in its capacity as Holders’ Agent</w:t>
              </w:r>
            </w:hyperlink>
          </w:p>
        </w:tc>
        <w:tc>
          <w:tcPr>
            <w:tcW w:w="1600" w:type="dxa"/>
            <w:vAlign w:val="bottom"/>
            <w:tcBorders>
              <w:top w:val="single" w:sz="8" w:color="0000FF"/>
            </w:tcBorders>
            <w:gridSpan w:val="16"/>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gridSpan w:val="3"/>
            <w:vMerge w:val="continue"/>
          </w:tcPr>
          <w:p>
            <w:pPr>
              <w:spacing w:after="0"/>
              <w:rPr>
                <w:sz w:val="18"/>
                <w:szCs w:val="18"/>
                <w:color w:val="auto"/>
              </w:rPr>
            </w:pPr>
          </w:p>
        </w:tc>
        <w:tc>
          <w:tcPr>
            <w:tcW w:w="4100" w:type="dxa"/>
            <w:vAlign w:val="bottom"/>
            <w:gridSpan w:val="23"/>
          </w:tcPr>
          <w:p>
            <w:pPr>
              <w:spacing w:after="0"/>
              <w:rPr>
                <w:rFonts w:ascii="Arial" w:cs="Arial" w:eastAsia="Arial" w:hAnsi="Arial"/>
                <w:sz w:val="18"/>
                <w:szCs w:val="18"/>
                <w:color w:val="0000FF"/>
                <w:w w:val="96"/>
              </w:rPr>
            </w:pPr>
            <w:hyperlink r:id="rId71">
              <w:r>
                <w:rPr>
                  <w:rFonts w:ascii="Arial" w:cs="Arial" w:eastAsia="Arial" w:hAnsi="Arial"/>
                  <w:sz w:val="18"/>
                  <w:szCs w:val="18"/>
                  <w:color w:val="0000FF"/>
                  <w:w w:val="96"/>
                </w:rPr>
                <w:t>Sense Photonics, Inc. 2017 Equity Incentive Plan, as</w:t>
              </w:r>
            </w:hyperlink>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71">
              <w:r>
                <w:rPr>
                  <w:rFonts w:ascii="Arial" w:cs="Arial" w:eastAsia="Arial" w:hAnsi="Arial"/>
                  <w:sz w:val="18"/>
                  <w:szCs w:val="18"/>
                  <w:color w:val="0000FF"/>
                  <w:w w:val="84"/>
                </w:rPr>
                <w:t>amended.</w:t>
              </w:r>
            </w:hyperlink>
          </w:p>
        </w:tc>
        <w:tc>
          <w:tcPr>
            <w:tcW w:w="3080" w:type="dxa"/>
            <w:vAlign w:val="bottom"/>
            <w:tcBorders>
              <w:top w:val="single" w:sz="8" w:color="0000FF"/>
            </w:tcBorders>
            <w:gridSpan w:val="16"/>
          </w:tcPr>
          <w:p>
            <w:pPr>
              <w:spacing w:after="0"/>
              <w:rPr>
                <w:sz w:val="13"/>
                <w:szCs w:val="13"/>
                <w:color w:val="auto"/>
              </w:rPr>
            </w:pPr>
          </w:p>
        </w:tc>
        <w:tc>
          <w:tcPr>
            <w:tcW w:w="12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100" w:type="dxa"/>
            <w:vAlign w:val="bottom"/>
            <w:gridSpan w:val="23"/>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Certification of Chief Executive Officer pursuant to</w:t>
              </w:r>
            </w:hyperlink>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720" w:type="dxa"/>
            <w:vAlign w:val="bottom"/>
            <w:tcBorders>
              <w:top w:val="single" w:sz="8" w:color="0000FF"/>
            </w:tcBorders>
            <w:gridSpan w:val="14"/>
          </w:tcPr>
          <w:p>
            <w:pPr>
              <w:spacing w:after="0" w:line="156" w:lineRule="exact"/>
              <w:rPr>
                <w:rFonts w:ascii="Arial" w:cs="Arial" w:eastAsia="Arial" w:hAnsi="Arial"/>
                <w:sz w:val="18"/>
                <w:szCs w:val="18"/>
                <w:color w:val="0000FF"/>
                <w:w w:val="98"/>
              </w:rPr>
            </w:pPr>
            <w:hyperlink w:anchor="page50">
              <w:r>
                <w:rPr>
                  <w:rFonts w:ascii="Arial" w:cs="Arial" w:eastAsia="Arial" w:hAnsi="Arial"/>
                  <w:sz w:val="18"/>
                  <w:szCs w:val="18"/>
                  <w:color w:val="0000FF"/>
                  <w:w w:val="98"/>
                </w:rPr>
                <w:t>Rules 13a-14(a)/15d-14(a) under the Securities</w:t>
              </w:r>
            </w:hyperlink>
          </w:p>
        </w:tc>
        <w:tc>
          <w:tcPr>
            <w:tcW w:w="180" w:type="dxa"/>
            <w:vAlign w:val="bottom"/>
            <w:gridSpan w:val="6"/>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Exchange Act of 1934, as amended</w:t>
              </w:r>
            </w:hyperlink>
          </w:p>
        </w:tc>
        <w:tc>
          <w:tcPr>
            <w:tcW w:w="820" w:type="dxa"/>
            <w:vAlign w:val="bottom"/>
            <w:tcBorders>
              <w:top w:val="single" w:sz="8" w:color="0000FF"/>
            </w:tcBorders>
            <w:gridSpan w:val="3"/>
          </w:tcPr>
          <w:p>
            <w:pPr>
              <w:spacing w:after="0"/>
              <w:rPr>
                <w:sz w:val="13"/>
                <w:szCs w:val="13"/>
                <w:color w:val="auto"/>
              </w:rPr>
            </w:pPr>
          </w:p>
        </w:tc>
        <w:tc>
          <w:tcPr>
            <w:tcW w:w="300" w:type="dxa"/>
            <w:vAlign w:val="bottom"/>
            <w:gridSpan w:val="2"/>
          </w:tcPr>
          <w:p>
            <w:pPr>
              <w:spacing w:after="0"/>
              <w:rPr>
                <w:sz w:val="13"/>
                <w:szCs w:val="13"/>
                <w:color w:val="auto"/>
              </w:rPr>
            </w:pPr>
          </w:p>
        </w:tc>
        <w:tc>
          <w:tcPr>
            <w:tcW w:w="220" w:type="dxa"/>
            <w:vAlign w:val="bottom"/>
            <w:gridSpan w:val="7"/>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0" w:type="dxa"/>
            <w:vAlign w:val="bottom"/>
            <w:gridSpan w:val="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100" w:type="dxa"/>
            <w:vAlign w:val="bottom"/>
            <w:gridSpan w:val="2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680" w:type="dxa"/>
            <w:vAlign w:val="bottom"/>
            <w:tcBorders>
              <w:top w:val="single" w:sz="8" w:color="0000FF"/>
            </w:tcBorders>
            <w:gridSpan w:val="13"/>
          </w:tcPr>
          <w:p>
            <w:pPr>
              <w:spacing w:after="0" w:line="156" w:lineRule="exact"/>
              <w:rPr>
                <w:rFonts w:ascii="Arial" w:cs="Arial" w:eastAsia="Arial" w:hAnsi="Arial"/>
                <w:sz w:val="18"/>
                <w:szCs w:val="18"/>
                <w:color w:val="0000FF"/>
                <w:w w:val="97"/>
              </w:rPr>
            </w:pPr>
            <w:hyperlink w:anchor="page52">
              <w:r>
                <w:rPr>
                  <w:rFonts w:ascii="Arial" w:cs="Arial" w:eastAsia="Arial" w:hAnsi="Arial"/>
                  <w:sz w:val="18"/>
                  <w:szCs w:val="18"/>
                  <w:color w:val="0000FF"/>
                  <w:w w:val="97"/>
                </w:rPr>
                <w:t>Rules 13a-14(a)/15d-14(a) under the Securities</w:t>
              </w:r>
            </w:hyperlink>
          </w:p>
        </w:tc>
        <w:tc>
          <w:tcPr>
            <w:tcW w:w="220" w:type="dxa"/>
            <w:vAlign w:val="bottom"/>
            <w:gridSpan w:val="7"/>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Exchange Act of 1934, as amended</w:t>
              </w:r>
            </w:hyperlink>
          </w:p>
        </w:tc>
        <w:tc>
          <w:tcPr>
            <w:tcW w:w="820" w:type="dxa"/>
            <w:vAlign w:val="bottom"/>
            <w:tcBorders>
              <w:top w:val="single" w:sz="8" w:color="0000FF"/>
            </w:tcBorders>
            <w:gridSpan w:val="3"/>
          </w:tcPr>
          <w:p>
            <w:pPr>
              <w:spacing w:after="0"/>
              <w:rPr>
                <w:sz w:val="13"/>
                <w:szCs w:val="13"/>
                <w:color w:val="auto"/>
              </w:rPr>
            </w:pPr>
          </w:p>
        </w:tc>
        <w:tc>
          <w:tcPr>
            <w:tcW w:w="520" w:type="dxa"/>
            <w:vAlign w:val="bottom"/>
            <w:gridSpan w:val="9"/>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100" w:type="dxa"/>
            <w:vAlign w:val="bottom"/>
            <w:gridSpan w:val="23"/>
          </w:tcPr>
          <w:p>
            <w:pPr>
              <w:spacing w:after="0"/>
              <w:rPr>
                <w:rFonts w:ascii="Arial" w:cs="Arial" w:eastAsia="Arial" w:hAnsi="Arial"/>
                <w:sz w:val="18"/>
                <w:szCs w:val="18"/>
                <w:color w:val="0000FF"/>
                <w:w w:val="96"/>
              </w:rPr>
            </w:pPr>
            <w:hyperlink w:anchor="page54">
              <w:r>
                <w:rPr>
                  <w:rFonts w:ascii="Arial" w:cs="Arial" w:eastAsia="Arial" w:hAnsi="Arial"/>
                  <w:sz w:val="18"/>
                  <w:szCs w:val="18"/>
                  <w:color w:val="0000FF"/>
                  <w:w w:val="96"/>
                </w:rPr>
                <w:t>Certification of Chief Executive Officer pursuant to 18</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13"/>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00" w:type="dxa"/>
            <w:vAlign w:val="bottom"/>
            <w:gridSpan w:val="23"/>
          </w:tcPr>
          <w:p>
            <w:pPr>
              <w:spacing w:after="0" w:line="156"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U.S.C. Section 1350, as adopted pursuant to Section 906</w:t>
              </w:r>
            </w:hyperlink>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of the Sarbanes-Oxley Act of 2002</w:t>
              </w:r>
            </w:hyperlink>
          </w:p>
        </w:tc>
        <w:tc>
          <w:tcPr>
            <w:tcW w:w="15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100" w:type="dxa"/>
            <w:vAlign w:val="bottom"/>
            <w:gridSpan w:val="23"/>
          </w:tcPr>
          <w:p>
            <w:pPr>
              <w:spacing w:after="0"/>
              <w:rPr>
                <w:rFonts w:ascii="Arial" w:cs="Arial" w:eastAsia="Arial" w:hAnsi="Arial"/>
                <w:sz w:val="18"/>
                <w:szCs w:val="18"/>
                <w:color w:val="0000FF"/>
                <w:w w:val="97"/>
              </w:rPr>
            </w:pPr>
            <w:hyperlink w:anchor="page55">
              <w:r>
                <w:rPr>
                  <w:rFonts w:ascii="Arial" w:cs="Arial" w:eastAsia="Arial" w:hAnsi="Arial"/>
                  <w:sz w:val="18"/>
                  <w:szCs w:val="18"/>
                  <w:color w:val="0000FF"/>
                  <w:w w:val="97"/>
                </w:rPr>
                <w:t>Certification of Chief Financial Officer pursuant to 18</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1380" w:type="dxa"/>
            <w:vAlign w:val="bottom"/>
            <w:gridSpan w:val="14"/>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00" w:type="dxa"/>
            <w:vAlign w:val="bottom"/>
            <w:gridSpan w:val="23"/>
          </w:tcPr>
          <w:p>
            <w:pPr>
              <w:spacing w:after="0" w:line="15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U.S.C. Section 1350, as adopted pursuant to Section 906</w:t>
              </w:r>
            </w:hyperlink>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of the Sarbanes-Oxley Act of 2002</w:t>
              </w:r>
            </w:hyperlink>
          </w:p>
        </w:tc>
        <w:tc>
          <w:tcPr>
            <w:tcW w:w="15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101.INS</w:t>
            </w: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auto"/>
              </w:rPr>
              <w:t>Inline XBRL Instance Document - the instance</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gridSpan w:val="23"/>
          </w:tcPr>
          <w:p>
            <w:pPr>
              <w:spacing w:after="0" w:line="176" w:lineRule="exact"/>
              <w:rPr>
                <w:sz w:val="20"/>
                <w:szCs w:val="20"/>
                <w:color w:val="auto"/>
              </w:rPr>
            </w:pPr>
            <w:r>
              <w:rPr>
                <w:rFonts w:ascii="Arial" w:cs="Arial" w:eastAsia="Arial" w:hAnsi="Arial"/>
                <w:sz w:val="18"/>
                <w:szCs w:val="18"/>
                <w:color w:val="auto"/>
                <w:w w:val="96"/>
              </w:rPr>
              <w:t>document does not appear in the Interactive Data file</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gridSpan w:val="23"/>
          </w:tcPr>
          <w:p>
            <w:pPr>
              <w:spacing w:after="0" w:line="176" w:lineRule="exact"/>
              <w:rPr>
                <w:sz w:val="20"/>
                <w:szCs w:val="20"/>
                <w:color w:val="auto"/>
              </w:rPr>
            </w:pPr>
            <w:r>
              <w:rPr>
                <w:rFonts w:ascii="Arial" w:cs="Arial" w:eastAsia="Arial" w:hAnsi="Arial"/>
                <w:sz w:val="18"/>
                <w:szCs w:val="18"/>
                <w:color w:val="auto"/>
                <w:w w:val="94"/>
              </w:rPr>
              <w:t>because its XBRL tags are embedded within the Inline</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00" w:type="dxa"/>
            <w:vAlign w:val="bottom"/>
            <w:gridSpan w:val="23"/>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230"/>
        </w:trPr>
        <w:tc>
          <w:tcPr>
            <w:tcW w:w="10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100" w:type="dxa"/>
            <w:vAlign w:val="bottom"/>
            <w:gridSpan w:val="23"/>
          </w:tcPr>
          <w:p>
            <w:pPr>
              <w:spacing w:after="0"/>
              <w:rPr>
                <w:sz w:val="20"/>
                <w:szCs w:val="20"/>
                <w:color w:val="auto"/>
              </w:rPr>
            </w:pPr>
            <w:r>
              <w:rPr>
                <w:rFonts w:ascii="Arial" w:cs="Arial" w:eastAsia="Arial" w:hAnsi="Arial"/>
                <w:sz w:val="18"/>
                <w:szCs w:val="18"/>
                <w:color w:val="auto"/>
                <w:w w:val="95"/>
              </w:rPr>
              <w:t>Inline XBRL Taxonomy Extension Schema Document</w:t>
            </w:r>
          </w:p>
        </w:tc>
        <w:tc>
          <w:tcPr>
            <w:tcW w:w="0" w:type="dxa"/>
            <w:vAlign w:val="bottom"/>
          </w:tcPr>
          <w:p>
            <w:pPr>
              <w:spacing w:after="0"/>
              <w:rPr>
                <w:sz w:val="1"/>
                <w:szCs w:val="1"/>
                <w:color w:val="auto"/>
              </w:rPr>
            </w:pPr>
          </w:p>
        </w:tc>
      </w:tr>
      <w:tr>
        <w:trPr>
          <w:trHeight w:val="216"/>
        </w:trPr>
        <w:tc>
          <w:tcPr>
            <w:tcW w:w="10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100" w:type="dxa"/>
            <w:vAlign w:val="bottom"/>
            <w:gridSpan w:val="23"/>
          </w:tcPr>
          <w:p>
            <w:pPr>
              <w:spacing w:after="0"/>
              <w:rPr>
                <w:sz w:val="20"/>
                <w:szCs w:val="20"/>
                <w:color w:val="auto"/>
              </w:rPr>
            </w:pPr>
            <w:r>
              <w:rPr>
                <w:rFonts w:ascii="Arial" w:cs="Arial" w:eastAsia="Arial" w:hAnsi="Arial"/>
                <w:sz w:val="18"/>
                <w:szCs w:val="18"/>
                <w:color w:val="auto"/>
                <w:w w:val="92"/>
              </w:rPr>
              <w:t>Inline XBRL Taxonomy Extension Calculation Linkbase</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0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6"/>
        </w:trPr>
        <w:tc>
          <w:tcPr>
            <w:tcW w:w="1060" w:type="dxa"/>
            <w:vAlign w:val="bottom"/>
            <w:gridSpan w:val="3"/>
          </w:tcPr>
          <w:p>
            <w:pPr>
              <w:spacing w:after="0" w:line="176" w:lineRule="exact"/>
              <w:rPr>
                <w:sz w:val="20"/>
                <w:szCs w:val="20"/>
                <w:color w:val="auto"/>
              </w:rPr>
            </w:pPr>
            <w:r>
              <w:rPr>
                <w:rFonts w:ascii="Arial" w:cs="Arial" w:eastAsia="Arial" w:hAnsi="Arial"/>
                <w:sz w:val="18"/>
                <w:szCs w:val="18"/>
                <w:color w:val="auto"/>
              </w:rPr>
              <w:t>101.DEF</w:t>
            </w:r>
          </w:p>
        </w:tc>
        <w:tc>
          <w:tcPr>
            <w:tcW w:w="4100" w:type="dxa"/>
            <w:vAlign w:val="bottom"/>
            <w:gridSpan w:val="23"/>
          </w:tcPr>
          <w:p>
            <w:pPr>
              <w:spacing w:after="0" w:line="176" w:lineRule="exact"/>
              <w:rPr>
                <w:sz w:val="20"/>
                <w:szCs w:val="20"/>
                <w:color w:val="auto"/>
              </w:rPr>
            </w:pPr>
            <w:r>
              <w:rPr>
                <w:rFonts w:ascii="Arial" w:cs="Arial" w:eastAsia="Arial" w:hAnsi="Arial"/>
                <w:sz w:val="18"/>
                <w:szCs w:val="18"/>
                <w:color w:val="auto"/>
                <w:w w:val="95"/>
              </w:rPr>
              <w:t>Inline XBRL Taxonomy Extension Definition Linkbase</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0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30"/>
        </w:trPr>
        <w:tc>
          <w:tcPr>
            <w:tcW w:w="10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100" w:type="dxa"/>
            <w:vAlign w:val="bottom"/>
            <w:gridSpan w:val="23"/>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16"/>
        </w:trPr>
        <w:tc>
          <w:tcPr>
            <w:tcW w:w="10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10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00" w:type="dxa"/>
            <w:vAlign w:val="bottom"/>
            <w:gridSpan w:val="23"/>
          </w:tcPr>
          <w:p>
            <w:pPr>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bl>
    <w:p>
      <w:pPr>
        <w:ind w:left="1080" w:right="280" w:hanging="1054"/>
        <w:spacing w:after="0" w:line="24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7630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176"/>
        </w:trPr>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vMerge w:val="restart"/>
          </w:tcPr>
          <w:p>
            <w:pPr>
              <w:spacing w:after="0"/>
              <w:rPr>
                <w:sz w:val="15"/>
                <w:szCs w:val="15"/>
                <w:color w:val="auto"/>
              </w:rPr>
            </w:pPr>
          </w:p>
        </w:tc>
        <w:tc>
          <w:tcPr>
            <w:tcW w:w="13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File No.</w:t>
            </w:r>
          </w:p>
        </w:tc>
        <w:tc>
          <w:tcPr>
            <w:tcW w:w="80" w:type="dxa"/>
            <w:vAlign w:val="bottom"/>
            <w:vMerge w:val="restart"/>
          </w:tcPr>
          <w:p>
            <w:pPr>
              <w:spacing w:after="0"/>
              <w:rPr>
                <w:sz w:val="15"/>
                <w:szCs w:val="15"/>
                <w:color w:val="auto"/>
              </w:rPr>
            </w:pPr>
          </w:p>
        </w:tc>
        <w:tc>
          <w:tcPr>
            <w:tcW w:w="9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100" w:type="dxa"/>
            <w:vAlign w:val="bottom"/>
            <w:vMerge w:val="restart"/>
          </w:tcPr>
          <w:p>
            <w:pPr>
              <w:spacing w:after="0"/>
              <w:rPr>
                <w:sz w:val="15"/>
                <w:szCs w:val="15"/>
                <w:color w:val="auto"/>
              </w:rPr>
            </w:pPr>
          </w:p>
        </w:tc>
        <w:tc>
          <w:tcPr>
            <w:tcW w:w="11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Filing Date</w:t>
            </w:r>
          </w:p>
        </w:tc>
        <w:tc>
          <w:tcPr>
            <w:tcW w:w="80" w:type="dxa"/>
            <w:vAlign w:val="bottom"/>
            <w:vMerge w:val="restart"/>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Furnished</w:t>
            </w:r>
          </w:p>
        </w:tc>
        <w:tc>
          <w:tcPr>
            <w:tcW w:w="0" w:type="dxa"/>
            <w:vAlign w:val="bottom"/>
          </w:tcPr>
          <w:p>
            <w:pPr>
              <w:spacing w:after="0"/>
              <w:rPr>
                <w:sz w:val="1"/>
                <w:szCs w:val="1"/>
                <w:color w:val="auto"/>
              </w:rPr>
            </w:pPr>
          </w:p>
        </w:tc>
      </w:tr>
      <w:tr>
        <w:trPr>
          <w:trHeight w:val="229"/>
        </w:trPr>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237"/>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S-4/A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2/10/2021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S-4 POS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3/10/2021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S-4 POS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3/10/2021</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10/5/2021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2"/>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333-260576</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10/29/2021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140"/>
            <w:col w:w="592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 w:right="659" w:hanging="454"/>
        <w:spacing w:after="0" w:line="224"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annexes, schedules, and certain exhibits to this Exhibit have been omitted pursuant to Item 601(b)(2) of Regulation S-K. The Registrant hereby agrees to furnish supplementally a copy of any omitted annex, schedule or exhibit to the SEC upon request.</w:t>
      </w:r>
    </w:p>
    <w:p>
      <w:pPr>
        <w:spacing w:after="0" w:line="2" w:lineRule="exact"/>
        <w:rPr>
          <w:sz w:val="20"/>
          <w:szCs w:val="20"/>
          <w:color w:val="auto"/>
        </w:rPr>
      </w:pPr>
    </w:p>
    <w:p>
      <w:pPr>
        <w:ind w:left="480" w:hanging="45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80" w:hanging="45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480" w:hanging="454"/>
        <w:spacing w:after="0"/>
        <w:tabs>
          <w:tab w:leader="none" w:pos="4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Indicates a management contract or compensatory plan, contract or arrangement.</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4" w:lineRule="exact"/>
        <w:rPr>
          <w:rFonts w:ascii="MS PGothic" w:cs="MS PGothic" w:eastAsia="MS PGothic" w:hAnsi="MS PGothic"/>
          <w:sz w:val="18"/>
          <w:szCs w:val="18"/>
          <w:color w:val="auto"/>
        </w:rPr>
      </w:pP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8040" w:type="dxa"/>
            <w:vAlign w:val="bottom"/>
            <w:gridSpan w:val="2"/>
          </w:tcPr>
          <w:p>
            <w:pPr>
              <w:ind w:left="1280"/>
              <w:spacing w:after="0"/>
              <w:rPr>
                <w:sz w:val="20"/>
                <w:szCs w:val="20"/>
                <w:color w:val="auto"/>
              </w:rPr>
            </w:pPr>
            <w:r>
              <w:rPr>
                <w:rFonts w:ascii="Arial" w:cs="Arial" w:eastAsia="Arial" w:hAnsi="Arial"/>
                <w:sz w:val="18"/>
                <w:szCs w:val="18"/>
                <w:color w:val="auto"/>
              </w:rPr>
              <w:t>Ouster, Inc.</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November 12, 2021</w:t>
            </w:r>
          </w:p>
        </w:tc>
        <w:tc>
          <w:tcPr>
            <w:tcW w:w="2040" w:type="dxa"/>
            <w:vAlign w:val="bottom"/>
          </w:tcPr>
          <w:p>
            <w:pPr>
              <w:ind w:left="1280"/>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Brunelle</w:t>
            </w:r>
          </w:p>
        </w:tc>
      </w:tr>
      <w:tr>
        <w:trPr>
          <w:trHeight w:val="222"/>
        </w:trPr>
        <w:tc>
          <w:tcPr>
            <w:tcW w:w="3160" w:type="dxa"/>
            <w:vAlign w:val="bottom"/>
          </w:tcPr>
          <w:p>
            <w:pPr>
              <w:spacing w:after="0"/>
              <w:rPr>
                <w:sz w:val="19"/>
                <w:szCs w:val="19"/>
                <w:color w:val="auto"/>
              </w:rPr>
            </w:pPr>
          </w:p>
        </w:tc>
        <w:tc>
          <w:tcPr>
            <w:tcW w:w="2040" w:type="dxa"/>
            <w:vAlign w:val="bottom"/>
          </w:tcPr>
          <w:p>
            <w:pPr>
              <w:ind w:left="1280"/>
              <w:spacing w:after="0"/>
              <w:rPr>
                <w:sz w:val="20"/>
                <w:szCs w:val="20"/>
                <w:color w:val="auto"/>
              </w:rPr>
            </w:pPr>
            <w:r>
              <w:rPr>
                <w:rFonts w:ascii="Arial" w:cs="Arial" w:eastAsia="Arial" w:hAnsi="Arial"/>
                <w:sz w:val="18"/>
                <w:szCs w:val="18"/>
                <w:color w:val="auto"/>
              </w:rPr>
              <w:t>Name:</w:t>
            </w:r>
          </w:p>
        </w:tc>
        <w:tc>
          <w:tcPr>
            <w:tcW w:w="6000" w:type="dxa"/>
            <w:vAlign w:val="bottom"/>
          </w:tcPr>
          <w:p>
            <w:pPr>
              <w:ind w:left="20"/>
              <w:spacing w:after="0"/>
              <w:rPr>
                <w:sz w:val="20"/>
                <w:szCs w:val="20"/>
                <w:color w:val="auto"/>
              </w:rPr>
            </w:pPr>
            <w:r>
              <w:rPr>
                <w:rFonts w:ascii="Arial" w:cs="Arial" w:eastAsia="Arial" w:hAnsi="Arial"/>
                <w:sz w:val="18"/>
                <w:szCs w:val="18"/>
                <w:color w:val="auto"/>
              </w:rPr>
              <w:t>Anna Brunelle</w:t>
            </w:r>
          </w:p>
        </w:tc>
      </w:tr>
      <w:tr>
        <w:trPr>
          <w:trHeight w:val="176"/>
        </w:trPr>
        <w:tc>
          <w:tcPr>
            <w:tcW w:w="3160" w:type="dxa"/>
            <w:vAlign w:val="bottom"/>
          </w:tcPr>
          <w:p>
            <w:pPr>
              <w:spacing w:after="0"/>
              <w:rPr>
                <w:sz w:val="15"/>
                <w:szCs w:val="15"/>
                <w:color w:val="auto"/>
              </w:rPr>
            </w:pPr>
          </w:p>
        </w:tc>
        <w:tc>
          <w:tcPr>
            <w:tcW w:w="2040" w:type="dxa"/>
            <w:vAlign w:val="bottom"/>
          </w:tcPr>
          <w:p>
            <w:pPr>
              <w:ind w:left="1280"/>
              <w:spacing w:after="0" w:line="176" w:lineRule="exact"/>
              <w:rPr>
                <w:sz w:val="20"/>
                <w:szCs w:val="20"/>
                <w:color w:val="auto"/>
              </w:rPr>
            </w:pPr>
            <w:r>
              <w:rPr>
                <w:rFonts w:ascii="Arial" w:cs="Arial" w:eastAsia="Arial" w:hAnsi="Arial"/>
                <w:sz w:val="18"/>
                <w:szCs w:val="18"/>
                <w:color w:val="auto"/>
              </w:rPr>
              <w:t>Title:</w:t>
            </w:r>
          </w:p>
        </w:tc>
        <w:tc>
          <w:tcPr>
            <w:tcW w:w="60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 and principal accounting</w:t>
            </w:r>
          </w:p>
        </w:tc>
      </w:tr>
      <w:tr>
        <w:trPr>
          <w:trHeight w:val="230"/>
        </w:trPr>
        <w:tc>
          <w:tcPr>
            <w:tcW w:w="3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904"/>
        </w:trPr>
        <w:tc>
          <w:tcPr>
            <w:tcW w:w="3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220"/>
          </w:cols>
          <w:pgMar w:left="320" w:top="125"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Angus Pacala, certify that:</w:t>
      </w:r>
    </w:p>
    <w:p>
      <w:pPr>
        <w:spacing w:after="0" w:line="306" w:lineRule="exact"/>
        <w:rPr>
          <w:sz w:val="20"/>
          <w:szCs w:val="20"/>
          <w:color w:val="auto"/>
        </w:rPr>
      </w:pPr>
    </w:p>
    <w:p>
      <w:pPr>
        <w:ind w:left="540" w:hanging="51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50" w:name="page51"/>
    <w:bookmarkEnd w:id="50"/>
    <w:p>
      <w:pPr>
        <w:spacing w:after="0" w:line="279" w:lineRule="exact"/>
        <w:rPr>
          <w:sz w:val="20"/>
          <w:szCs w:val="20"/>
          <w:color w:val="auto"/>
        </w:rPr>
      </w:pPr>
    </w:p>
    <w:p>
      <w:pPr>
        <w:ind w:left="1040" w:right="320" w:hanging="521"/>
        <w:spacing w:after="0" w:line="34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840"/>
          </w:cols>
          <w:pgMar w:left="340" w:top="1440" w:right="7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Anna Brunelle, certify that:</w:t>
      </w:r>
    </w:p>
    <w:p>
      <w:pPr>
        <w:spacing w:after="0" w:line="306" w:lineRule="exact"/>
        <w:rPr>
          <w:sz w:val="20"/>
          <w:szCs w:val="20"/>
          <w:color w:val="auto"/>
        </w:rPr>
      </w:pPr>
    </w:p>
    <w:p>
      <w:pPr>
        <w:ind w:left="540" w:hanging="51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52" w:name="page53"/>
    <w:bookmarkEnd w:id="52"/>
    <w:p>
      <w:pPr>
        <w:spacing w:after="0" w:line="279" w:lineRule="exact"/>
        <w:rPr>
          <w:sz w:val="20"/>
          <w:szCs w:val="20"/>
          <w:color w:val="auto"/>
        </w:rPr>
      </w:pPr>
    </w:p>
    <w:p>
      <w:pPr>
        <w:ind w:left="1040" w:right="320" w:hanging="521"/>
        <w:spacing w:after="0" w:line="34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Anna Brunelle</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0840"/>
          </w:cols>
          <w:pgMar w:left="340" w:top="1440" w:right="719" w:bottom="1440" w:gutter="0" w:footer="0" w:header="0"/>
        </w:sectPr>
      </w:pPr>
    </w:p>
    <w:bookmarkStart w:id="53" w:name="page54"/>
    <w:bookmarkEnd w:id="53"/>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June 30, 2021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June 30, 2021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Novemember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Anna Brunelle</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04"/>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66" Type="http://schemas.openxmlformats.org/officeDocument/2006/relationships/hyperlink" Target="https://www.sec.gov/Archives/edgar/data/1816581/000119312521036740/d10549ds4a.htm#rom10549_42" TargetMode="External"/><Relationship Id="rId67" Type="http://schemas.openxmlformats.org/officeDocument/2006/relationships/hyperlink" Target="https://www.sec.gov/Archives/edgar/data/0001816581/000119312521076326/d149743dex31.htm" TargetMode="External"/><Relationship Id="rId68" Type="http://schemas.openxmlformats.org/officeDocument/2006/relationships/hyperlink" Target="https://www.sec.gov/Archives/edgar/data/0001816581/000119312521076326/d149743dex32.htm" TargetMode="External"/><Relationship Id="rId69" Type="http://schemas.openxmlformats.org/officeDocument/2006/relationships/hyperlink" Target="https://www.sec.gov/Archives/edgar/data/0001816581/000162828021016321/oust-30jun21xex101xndicker.htm" TargetMode="External"/><Relationship Id="rId70" Type="http://schemas.openxmlformats.org/officeDocument/2006/relationships/hyperlink" Target="https://www.sec.gov/Archives/edgar/data/0001816581/000119312521291627/d217527dex21.htm" TargetMode="External"/><Relationship Id="rId71" Type="http://schemas.openxmlformats.org/officeDocument/2006/relationships/hyperlink" Target="https://www.sec.gov/Archives/edgar/data/0001816581/000119312521311897/d24537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2021-11-12T19:20:15Z</dcterms:created>
  <dcterms:modified xsi:type="dcterms:W3CDTF">2021-11-12T19:20:15Z</dcterms:modified>
</cp:coreProperties>
</file>