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p>
      <w:pPr>
        <w:ind w:left="3920" w:right="1800" w:hanging="3804"/>
        <w:spacing w:after="0" w:line="289" w:lineRule="auto"/>
        <w:tabs>
          <w:tab w:leader="none" w:pos="5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001-39463</w:t>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COLONNADE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-232410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4220" w:type="dxa"/>
            <w:vAlign w:val="bottom"/>
          </w:tcPr>
          <w:p>
            <w:pPr>
              <w:jc w:val="center"/>
              <w:ind w:right="1739"/>
              <w:spacing w:after="0"/>
              <w:rPr>
                <w:sz w:val="20"/>
                <w:szCs w:val="20"/>
                <w:color w:val="auto"/>
              </w:rPr>
            </w:pPr>
            <w:r>
              <w:rPr>
                <w:rFonts w:ascii="Arial" w:cs="Arial" w:eastAsia="Arial" w:hAnsi="Arial"/>
                <w:sz w:val="18"/>
                <w:szCs w:val="18"/>
                <w:b w:val="1"/>
                <w:bCs w:val="1"/>
                <w:color w:val="auto"/>
                <w:w w:val="90"/>
              </w:rPr>
              <w:t>Cayman Islands</w:t>
            </w:r>
          </w:p>
        </w:tc>
        <w:tc>
          <w:tcPr>
            <w:tcW w:w="3260" w:type="dxa"/>
            <w:vAlign w:val="bottom"/>
          </w:tcPr>
          <w:p>
            <w:pPr>
              <w:jc w:val="center"/>
              <w:ind w:left="1741"/>
              <w:spacing w:after="0"/>
              <w:rPr>
                <w:sz w:val="20"/>
                <w:szCs w:val="20"/>
                <w:color w:val="auto"/>
              </w:rPr>
            </w:pPr>
            <w:r>
              <w:rPr>
                <w:rFonts w:ascii="Arial" w:cs="Arial" w:eastAsia="Arial" w:hAnsi="Arial"/>
                <w:sz w:val="18"/>
                <w:szCs w:val="18"/>
                <w:b w:val="1"/>
                <w:bCs w:val="1"/>
                <w:color w:val="auto"/>
              </w:rPr>
              <w:t>N/A</w:t>
            </w:r>
          </w:p>
        </w:tc>
      </w:tr>
      <w:tr>
        <w:trPr>
          <w:trHeight w:val="148"/>
        </w:trPr>
        <w:tc>
          <w:tcPr>
            <w:tcW w:w="422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1739"/>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Number)</w:t>
            </w:r>
          </w:p>
        </w:tc>
      </w:tr>
      <w:tr>
        <w:trPr>
          <w:trHeight w:val="264"/>
        </w:trPr>
        <w:tc>
          <w:tcPr>
            <w:tcW w:w="422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1400 Centrepark Blvd, Ste 810</w:t>
            </w:r>
          </w:p>
        </w:tc>
        <w:tc>
          <w:tcPr>
            <w:tcW w:w="3260" w:type="dxa"/>
            <w:vAlign w:val="bottom"/>
          </w:tcPr>
          <w:p>
            <w:pPr>
              <w:spacing w:after="0"/>
              <w:rPr>
                <w:sz w:val="22"/>
                <w:szCs w:val="22"/>
                <w:color w:val="auto"/>
              </w:rPr>
            </w:pPr>
          </w:p>
        </w:tc>
      </w:tr>
      <w:tr>
        <w:trPr>
          <w:trHeight w:val="212"/>
        </w:trPr>
        <w:tc>
          <w:tcPr>
            <w:tcW w:w="4220" w:type="dxa"/>
            <w:vAlign w:val="bottom"/>
          </w:tcPr>
          <w:p>
            <w:pPr>
              <w:jc w:val="center"/>
              <w:ind w:right="1739"/>
              <w:spacing w:after="0"/>
              <w:rPr>
                <w:sz w:val="20"/>
                <w:szCs w:val="20"/>
                <w:color w:val="auto"/>
              </w:rPr>
            </w:pPr>
            <w:r>
              <w:rPr>
                <w:rFonts w:ascii="Arial" w:cs="Arial" w:eastAsia="Arial" w:hAnsi="Arial"/>
                <w:sz w:val="18"/>
                <w:szCs w:val="18"/>
                <w:b w:val="1"/>
                <w:bCs w:val="1"/>
                <w:color w:val="auto"/>
                <w:w w:val="90"/>
              </w:rPr>
              <w:t>West Palm Beach, Florida</w:t>
            </w:r>
          </w:p>
        </w:tc>
        <w:tc>
          <w:tcPr>
            <w:tcW w:w="3260" w:type="dxa"/>
            <w:vAlign w:val="bottom"/>
          </w:tcPr>
          <w:p>
            <w:pPr>
              <w:jc w:val="center"/>
              <w:ind w:left="1741"/>
              <w:spacing w:after="0"/>
              <w:rPr>
                <w:sz w:val="20"/>
                <w:szCs w:val="20"/>
                <w:color w:val="auto"/>
              </w:rPr>
            </w:pPr>
            <w:r>
              <w:rPr>
                <w:rFonts w:ascii="Arial" w:cs="Arial" w:eastAsia="Arial" w:hAnsi="Arial"/>
                <w:sz w:val="18"/>
                <w:szCs w:val="18"/>
                <w:b w:val="1"/>
                <w:bCs w:val="1"/>
                <w:color w:val="auto"/>
                <w:w w:val="87"/>
              </w:rPr>
              <w:t>33401</w:t>
            </w:r>
          </w:p>
        </w:tc>
      </w:tr>
      <w:tr>
        <w:trPr>
          <w:trHeight w:val="186"/>
        </w:trPr>
        <w:tc>
          <w:tcPr>
            <w:tcW w:w="4220" w:type="dxa"/>
            <w:vAlign w:val="bottom"/>
          </w:tcPr>
          <w:p>
            <w:pPr>
              <w:jc w:val="center"/>
              <w:ind w:right="1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60" w:type="dxa"/>
            <w:vAlign w:val="bottom"/>
          </w:tcPr>
          <w:p>
            <w:pPr>
              <w:jc w:val="center"/>
              <w:ind w:left="1741"/>
              <w:spacing w:after="0"/>
              <w:rPr>
                <w:sz w:val="20"/>
                <w:szCs w:val="20"/>
                <w:color w:val="auto"/>
              </w:rPr>
            </w:pPr>
            <w:r>
              <w:rPr>
                <w:rFonts w:ascii="Arial" w:cs="Arial" w:eastAsia="Arial" w:hAnsi="Arial"/>
                <w:sz w:val="14"/>
                <w:szCs w:val="14"/>
                <w:b w:val="1"/>
                <w:bCs w:val="1"/>
                <w:color w:val="auto"/>
                <w:w w:val="98"/>
              </w:rPr>
              <w:t>(Zip Code)</w:t>
            </w:r>
          </w:p>
        </w:tc>
      </w:tr>
    </w:tbl>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(561) 712-7860</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3"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14"/>
                <w:szCs w:val="14"/>
                <w:color w:val="auto"/>
              </w:rPr>
            </w:pPr>
          </w:p>
        </w:tc>
        <w:tc>
          <w:tcPr>
            <w:tcW w:w="366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3"/>
              </w:rPr>
              <w:t>Trading</w:t>
            </w:r>
          </w:p>
        </w:tc>
        <w:tc>
          <w:tcPr>
            <w:tcW w:w="302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66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89"/>
              </w:rPr>
              <w:t>Symbols</w:t>
            </w:r>
          </w:p>
        </w:tc>
        <w:tc>
          <w:tcPr>
            <w:tcW w:w="302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rPr>
              <w:t>CLA.U</w:t>
            </w: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430"/>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par value $0.0001 per</w:t>
            </w:r>
          </w:p>
        </w:tc>
        <w:tc>
          <w:tcPr>
            <w:tcW w:w="480" w:type="dxa"/>
            <w:vAlign w:val="bottom"/>
          </w:tcPr>
          <w:p>
            <w:pPr>
              <w:spacing w:after="0"/>
              <w:rPr>
                <w:sz w:val="18"/>
                <w:szCs w:val="18"/>
                <w:color w:val="auto"/>
              </w:rPr>
            </w:pPr>
          </w:p>
        </w:tc>
        <w:tc>
          <w:tcPr>
            <w:tcW w:w="366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rPr>
              <w:t>CLA</w:t>
            </w:r>
          </w:p>
        </w:tc>
        <w:tc>
          <w:tcPr>
            <w:tcW w:w="30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each warrant exercisable</w:t>
            </w:r>
          </w:p>
        </w:tc>
        <w:tc>
          <w:tcPr>
            <w:tcW w:w="480" w:type="dxa"/>
            <w:vAlign w:val="bottom"/>
          </w:tcPr>
          <w:p>
            <w:pPr>
              <w:spacing w:after="0"/>
              <w:rPr>
                <w:sz w:val="18"/>
                <w:szCs w:val="18"/>
                <w:color w:val="auto"/>
              </w:rPr>
            </w:pPr>
          </w:p>
        </w:tc>
        <w:tc>
          <w:tcPr>
            <w:tcW w:w="366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rPr>
              <w:t>CLA WS</w:t>
            </w:r>
          </w:p>
        </w:tc>
        <w:tc>
          <w:tcPr>
            <w:tcW w:w="30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for one Class A ordinary share, each at an</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 $11.50 per share</w:t>
            </w: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gridSpan w:val="7"/>
          </w:tcPr>
          <w:p>
            <w:pPr>
              <w:ind w:left="3080"/>
              <w:spacing w:after="0"/>
              <w:rPr>
                <w:sz w:val="20"/>
                <w:szCs w:val="20"/>
                <w:color w:val="auto"/>
              </w:rPr>
            </w:pPr>
            <w:r>
              <w:rPr>
                <w:rFonts w:ascii="Arial" w:cs="Arial" w:eastAsia="Arial" w:hAnsi="Arial"/>
                <w:sz w:val="18"/>
                <w:szCs w:val="18"/>
                <w:b w:val="1"/>
                <w:bCs w:val="1"/>
                <w:color w:val="auto"/>
                <w:w w:val="90"/>
              </w:rPr>
              <w:t>Securities registered pursuant to Section 12(g) of the Act: None</w:t>
            </w: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340" w:type="dxa"/>
            <w:vAlign w:val="bottom"/>
            <w:gridSpan w:val="3"/>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380" w:type="dxa"/>
            <w:vAlign w:val="bottom"/>
            <w:gridSpan w:val="4"/>
          </w:tcPr>
          <w:p>
            <w:pPr>
              <w:spacing w:after="0"/>
              <w:rPr>
                <w:sz w:val="14"/>
                <w:szCs w:val="14"/>
                <w:color w:val="auto"/>
              </w:rPr>
            </w:pPr>
          </w:p>
        </w:tc>
        <w:tc>
          <w:tcPr>
            <w:tcW w:w="7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2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gridSpan w:val="8"/>
          </w:tcPr>
          <w:p>
            <w:pPr>
              <w:ind w:left="4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40" w:type="dxa"/>
            <w:vAlign w:val="bottom"/>
            <w:gridSpan w:val="8"/>
          </w:tcPr>
          <w:p>
            <w:pPr>
              <w:ind w:left="4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40" w:type="dxa"/>
            <w:vAlign w:val="bottom"/>
          </w:tcPr>
          <w:p>
            <w:pPr>
              <w:ind w:left="180"/>
              <w:spacing w:after="0" w:line="207" w:lineRule="exact"/>
              <w:rPr>
                <w:sz w:val="20"/>
                <w:szCs w:val="20"/>
                <w:color w:val="auto"/>
              </w:rPr>
            </w:pPr>
            <w:r>
              <w:rPr>
                <w:rFonts w:ascii="Arial" w:cs="Arial" w:eastAsia="Arial" w:hAnsi="Arial"/>
                <w:sz w:val="18"/>
                <w:szCs w:val="18"/>
                <w:color w:val="auto"/>
                <w:w w:val="91"/>
              </w:rPr>
              <w:t xml:space="preserve">Yes  </w:t>
            </w:r>
            <w:r>
              <w:rPr>
                <w:rFonts w:ascii="MS PGothic" w:cs="MS PGothic" w:eastAsia="MS PGothic" w:hAnsi="MS PGothic"/>
                <w:sz w:val="18"/>
                <w:szCs w:val="18"/>
                <w:color w:val="auto"/>
                <w:w w:val="91"/>
              </w:rPr>
              <w:t>☐</w:t>
            </w:r>
          </w:p>
        </w:tc>
        <w:tc>
          <w:tcPr>
            <w:tcW w:w="12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3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ind w:left="120" w:right="60" w:firstLine="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submitted electronically every Interactive Data File required to be submitted pursuant to Rule 405 of Regulation S-T during the preceding 12 months (or for such shorter period that the registrant was required to file such reports) and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left="120" w:right="40" w:firstLine="4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20" w:type="dxa"/>
        <w:tblCellMar>
          <w:top w:w="0" w:type="dxa"/>
          <w:left w:w="0" w:type="dxa"/>
          <w:bottom w:w="0" w:type="dxa"/>
          <w:right w:w="0" w:type="dxa"/>
        </w:tblCellMar>
      </w:tblPr>
      <w:tr>
        <w:trPr>
          <w:trHeight w:val="277"/>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120" w:right="240" w:firstLine="440"/>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left="560"/>
        <w:spacing w:after="0" w:line="207" w:lineRule="exact"/>
        <w:tabs>
          <w:tab w:leader="none" w:pos="8120" w:val="left"/>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6" w:lineRule="exact"/>
        <w:rPr>
          <w:sz w:val="24"/>
          <w:szCs w:val="24"/>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registrant was not a public company at June 30, 2020, the last business day of the registrant’s most recently completed second fiscal quarter, and therefore it cannot calculate the aggregate market value of its voting and non-voting common equity held by non-affiliates at such date. The registrant’s units began trading on The New York Stock Exchange on August 21, 2020 and the registrant’s Class A ordinary shares began separate trading on The New York Stock Exchange on October 9, 2020. The aggregate market value of the registrant’s Class A ordinary shares outstanding, other than shares held by persons who may be deemed affiliates of the registrant, at December 31, 2020, computed by reference to the closing price for the Class A ordinary shares on such date, as reported on the New York Stock Exchange, was $270,000,000.</w:t>
      </w:r>
    </w:p>
    <w:p>
      <w:pPr>
        <w:spacing w:after="0" w:line="4" w:lineRule="exact"/>
        <w:rPr>
          <w:sz w:val="24"/>
          <w:szCs w:val="24"/>
          <w:color w:val="auto"/>
        </w:rPr>
      </w:pPr>
    </w:p>
    <w:p>
      <w:pPr>
        <w:ind w:left="120" w:right="460" w:firstLine="440"/>
        <w:spacing w:after="0" w:line="271" w:lineRule="auto"/>
        <w:rPr>
          <w:sz w:val="20"/>
          <w:szCs w:val="20"/>
          <w:color w:val="auto"/>
        </w:rPr>
      </w:pPr>
      <w:r>
        <w:rPr>
          <w:rFonts w:ascii="Arial" w:cs="Arial" w:eastAsia="Arial" w:hAnsi="Arial"/>
          <w:sz w:val="18"/>
          <w:szCs w:val="18"/>
          <w:color w:val="auto"/>
        </w:rPr>
        <w:t>As of March 9, 2021, the Registrant had 20,000,000 of its Class A ordinary shares, $0.0001 par value per share, and 5,000,000 of its Class B ordinary shares, $0.0001 par value per share, outstanding.</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54" w:lineRule="exact"/>
        <w:rPr>
          <w:sz w:val="24"/>
          <w:szCs w:val="24"/>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6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40" w:type="dxa"/>
            <w:vAlign w:val="bottom"/>
            <w:gridSpan w:val="6"/>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44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740" w:type="dxa"/>
            <w:vAlign w:val="bottom"/>
            <w:gridSpan w:val="3"/>
          </w:tcPr>
          <w:p>
            <w:pPr>
              <w:ind w:left="276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CAUTIONARY NOTE REGARDING FORWARD-LOOKING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BUSINESS.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1A. 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IB. UNRESOLVED STAFF COMMENTS.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2. PROPERTIES.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u w:val="single" w:color="auto"/>
                  <w:color w:val="0000EE"/>
                </w:rPr>
                <w:t>ITEM 3. LEGAL PROCEEDINGS</w:t>
              </w:r>
              <w:r>
                <w:rPr>
                  <w:rFonts w:ascii="Arial" w:cs="Arial" w:eastAsia="Arial" w:hAnsi="Arial"/>
                  <w:sz w:val="18"/>
                  <w:szCs w:val="18"/>
                  <w:color w:val="0000EE"/>
                </w:rPr>
                <w: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 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0"/>
        </w:trPr>
        <w:tc>
          <w:tcPr>
            <w:tcW w:w="120" w:type="dxa"/>
            <w:vAlign w:val="bottom"/>
          </w:tcPr>
          <w:p>
            <w:pPr>
              <w:spacing w:after="0"/>
              <w:rPr>
                <w:sz w:val="16"/>
                <w:szCs w:val="16"/>
                <w:color w:val="auto"/>
              </w:rPr>
            </w:pPr>
          </w:p>
        </w:tc>
        <w:tc>
          <w:tcPr>
            <w:tcW w:w="10520" w:type="dxa"/>
            <w:vAlign w:val="bottom"/>
            <w:gridSpan w:val="5"/>
          </w:tcPr>
          <w:p>
            <w:pPr>
              <w:spacing w:after="0" w:line="190"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ITEM 5. MARKET FOR REGISTRANT’S COMMON EQUITY, RELATED STOCKHOLDER MATTERS AND ISSUER PURCHASES OF</w:t>
              </w:r>
            </w:hyperlink>
          </w:p>
        </w:tc>
        <w:tc>
          <w:tcPr>
            <w:tcW w:w="44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EQUITY SECURITIES.</w:t>
              </w:r>
            </w:hyperlink>
          </w:p>
        </w:tc>
        <w:tc>
          <w:tcPr>
            <w:tcW w:w="8500" w:type="dxa"/>
            <w:vAlign w:val="bottom"/>
            <w:tcBorders>
              <w:top w:val="single" w:sz="8" w:color="0000EE"/>
            </w:tcBorders>
            <w:gridSpan w:val="2"/>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22"/>
        </w:trPr>
        <w:tc>
          <w:tcPr>
            <w:tcW w:w="120" w:type="dxa"/>
            <w:vAlign w:val="bottom"/>
          </w:tcPr>
          <w:p>
            <w:pPr>
              <w:spacing w:after="0"/>
              <w:rPr>
                <w:sz w:val="19"/>
                <w:szCs w:val="19"/>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6. SELECTED FINANCIAL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7. 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7A. 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u w:val="single" w:color="auto"/>
                  <w:color w:val="0000EE"/>
                </w:rPr>
                <w:t>ITEM 8. FINANCIAL STATEMENTS AND SUPPLEMENTARY DATA</w:t>
              </w:r>
              <w:r>
                <w:rPr>
                  <w:rFonts w:ascii="Arial" w:cs="Arial" w:eastAsia="Arial" w:hAnsi="Arial"/>
                  <w:sz w:val="18"/>
                  <w:szCs w:val="18"/>
                  <w:color w:val="0000EE"/>
                </w:rPr>
                <w: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9. 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9A. 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9B. 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PART III</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u w:val="single" w:color="auto"/>
                  <w:color w:val="0000EE"/>
                </w:rPr>
                <w:t>ITEM 10. DIRECTORS, EXECUTIVE OFFICERS AND CORPORATE GOVERNANCE</w:t>
              </w:r>
              <w:r>
                <w:rPr>
                  <w:rFonts w:ascii="Arial" w:cs="Arial" w:eastAsia="Arial" w:hAnsi="Arial"/>
                  <w:sz w:val="18"/>
                  <w:szCs w:val="18"/>
                  <w:color w:val="0000EE"/>
                </w:rPr>
                <w: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11. EXECUTIVE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0"/>
        </w:trPr>
        <w:tc>
          <w:tcPr>
            <w:tcW w:w="120" w:type="dxa"/>
            <w:vAlign w:val="bottom"/>
          </w:tcPr>
          <w:p>
            <w:pPr>
              <w:spacing w:after="0"/>
              <w:rPr>
                <w:sz w:val="16"/>
                <w:szCs w:val="16"/>
                <w:color w:val="auto"/>
              </w:rPr>
            </w:pPr>
          </w:p>
        </w:tc>
        <w:tc>
          <w:tcPr>
            <w:tcW w:w="10120" w:type="dxa"/>
            <w:vAlign w:val="bottom"/>
            <w:tcBorders>
              <w:bottom w:val="single" w:sz="8" w:color="0000EE"/>
            </w:tcBorders>
            <w:gridSpan w:val="3"/>
          </w:tcPr>
          <w:p>
            <w:pPr>
              <w:spacing w:after="0" w:line="190"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ITEM 12. SECURITY OWNERSHIP OF CERTAIN BENEFICIAL OWNERS AND MANAGEMENT AND RELATED STOCKHOLDER</w:t>
              </w:r>
            </w:hyperlink>
          </w:p>
        </w:tc>
        <w:tc>
          <w:tcPr>
            <w:tcW w:w="40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0520" w:type="dxa"/>
            <w:vAlign w:val="bottom"/>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1052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u w:val="single" w:color="auto"/>
                  <w:color w:val="0000EE"/>
                </w:rPr>
                <w:t>ITEM 13. CERTAIN RELATIONSHIPS AND RELATED TRANSACTIONS, AND DIRECTOR INDEPENDENCE</w:t>
              </w:r>
              <w:r>
                <w:rPr>
                  <w:rFonts w:ascii="Arial" w:cs="Arial" w:eastAsia="Arial" w:hAnsi="Arial"/>
                  <w:sz w:val="18"/>
                  <w:szCs w:val="18"/>
                  <w:color w:val="0000EE"/>
                </w:rPr>
                <w: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14. PRINCIPAL ACCOUNTING FEES AND SERVICES.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PART IV</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0" w:type="dxa"/>
            <w:vAlign w:val="bottom"/>
          </w:tcPr>
          <w:p>
            <w:pPr>
              <w:spacing w:after="0"/>
              <w:rPr>
                <w:sz w:val="18"/>
                <w:szCs w:val="18"/>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15. EXHIBITS,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20" w:type="dxa"/>
            <w:vAlign w:val="bottom"/>
          </w:tcPr>
          <w:p>
            <w:pPr>
              <w:spacing w:after="0"/>
              <w:rPr>
                <w:sz w:val="20"/>
                <w:szCs w:val="20"/>
                <w:color w:val="auto"/>
              </w:rPr>
            </w:pPr>
          </w:p>
        </w:tc>
        <w:tc>
          <w:tcPr>
            <w:tcW w:w="10520" w:type="dxa"/>
            <w:vAlign w:val="bottom"/>
            <w:gridSpan w:val="5"/>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Some of the statements contained in this report may constitute “forward looking statements” for purposes of the federal securities laws. Our forward 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 looking statements, but the absence of these words does not mean that a statement is not forward looking. Forward looking statements in this Annual Report on Form 10-K may include, for example, statements about:</w:t>
      </w:r>
    </w:p>
    <w:p>
      <w:pPr>
        <w:spacing w:after="0" w:line="83"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with Ouster, Inc., or any other initial business combination;</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(as described herein) or available to us from interest income on the Trust Account balance;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References in this report to “we,” “us” or the “Company” refer to Colonnade Acquisition Corp. References to our “management” or our “management team” refer to our officers and directors, and references to the “Sponsor” refer to Colonnade Sponsor LLC, a Delaware limited liability company. References to our “initial shareholders” refer to the holders of our Class B ordinary shares (the “Founder Shares”).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are a blank check company incorporated on June 4, 2020 as a Cayman Islands exempted company formed for the purpose of effecting a merger, share exchange, asset acquisition, share purchase, reorganization or similar business combination with one or more businesses. We have neither engaged in any operations nor generated any revenue to date. Based on our business activities, the Company is a “shell company” as defined under the Exchange Act of 1934 (the “Exchange Act”) because we have no operations and nominal assets consisting almost entirely of cash.</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August 25, 2020, we consummated our initial public offering (the “Public Offering”) of 20,000,000 units. Each unit consists of one Class A ordinary share and one-half of one redeemable warrant. Each warrant entitles the holder thereof to purchase one Class A ordinary share at a price of $11.50 per share. The units were sold at an offering price of $10.00 per unit, generating gross proceeds, before expenses, of $200,000,000. Prior to the consummation of the Public Offering, on June 30, 2020, the Sponsor received 5,750,000 Founder Shares in exchange for a capital contribution of $25,000, or $0.004 per share. The Sponsor surrendered 750,000 Founder Shares to the Company for no consideration in connection with the underwriters’ election to not exercise the over-allotment option relating to the Public Offering at the end of the 45-day option period on October 5, 2020.</w:t>
      </w:r>
    </w:p>
    <w:p>
      <w:pPr>
        <w:spacing w:after="0" w:line="16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Simultaneously with the consummation of the Public Offering, we consummated the private sale of an aggregate of 6,000,000 warrants, each exercisable to purchase one Class A ordinary share at $11.50 per share, to the Sponsor at the time of the Public Offering (and/or one or more of their estate planning vehicles) at a price of $1.00 per warrant, generating gross proceeds, before expenses, of approximately $6,000,000 (the “Private Placement”). The warrants sold in the Private Placement, or the private placement warrants, are identical to the warrants included in the units sold in the Public Offering, except that, so long as they are held by their initial purchasers or their permitted transferees, (i) they will not be redeemable by the Company, (ii) they (including the Class A ordinary shares issuable upon exercise of these warrants) may not, subject to certain limited exceptions, be transferred, assigned or sold until 30 days after the Company completes its initial business combination, (iii) they may be exercised by the holders on a cashless basis and (iv) they will be entitled to registration rights.</w:t>
      </w:r>
    </w:p>
    <w:p>
      <w:pPr>
        <w:spacing w:after="0" w:line="17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Upon the closing of the Public Offering and the Private Placement, $200,000,000 was placed in a trust account with Continental Stock Transfer &amp; Trust Company acting as trustee (the “Trust Account”). Except with respect to interest earned on the funds held in the Trust Account that may be released to the Company to pay its taxes, if any, the funds held in the Trust Account will not be released from the Trust Account until the earliest of</w:t>
      </w:r>
    </w:p>
    <w:p>
      <w:pPr>
        <w:spacing w:after="0" w:line="2" w:lineRule="exact"/>
        <w:rPr>
          <w:sz w:val="20"/>
          <w:szCs w:val="20"/>
          <w:color w:val="auto"/>
        </w:rPr>
      </w:pPr>
    </w:p>
    <w:p>
      <w:pPr>
        <w:ind w:left="120" w:right="80" w:hanging="4"/>
        <w:spacing w:after="0" w:line="287"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completion of the Company’s initial business combination, (ii) the redemption of our public shares if we are unable to complete our initial business combination by August 25, 2022, subject to applicable law, or (iii) the redemption of the Company’s public shares properly submitted in connection with a shareholder vote to amend its amended and restated memorandum and articles of association to modify the substance or timing of the Company’s obligation to provide for the redemption of its public shares in connection with an initial business combination or to redeem 100% of the public shares if the Company has not consummated an initial business combination by August 25, 2022.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proceeds deposited in the Trust Account could become subject to the claims of the Company’s creditors, if any, which could have priority over the claims of its public shareholders.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After the payment of underwriting discounts and commissions (excluding the deferred portion of $7,000,000 in underwriting discounts and commissions, which amount will be payable upon consummation of our initial business combination if consummated) and approximately $1,000,000 in expenses relating to the Public Offering, approximately $1,000,000 of the net proceeds of the Public Offering and Private Placement was not deposited into the Trust Account and was retained by us for working capital purposes. The net proceeds deposited into the Trust Account remain on deposit in the Trust Account earning interest. As of December 31, 2020 there was approximately $200,061,054 in investments and cash held in the Trust Account and approximately $697,957 of cash held outside the Trust Account available for working capital purposes.</w:t>
      </w:r>
    </w:p>
    <w:p>
      <w:pPr>
        <w:spacing w:after="0" w:line="164"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On December 21, 2020, we entered into a merger agreement, with Beam Merger Sub, Inc. (“Merger Sub”) and Ouster, Inc. (“Ouster”), relating to a proposed business combination transaction (the “Business Combination”) between the Company and Ouster (the “Merger Agreement”).</w:t>
      </w:r>
    </w:p>
    <w:p>
      <w:pPr>
        <w:spacing w:after="0" w:line="12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Pursuant to the Merger Agreement, the Company will domesticate as a Delaware corporation (and will be renamed “Ouster PubCo”) and Merger Sub, a wholly owned subsidiary of the Company, will merge with and into Ouster, the separate corporate existence of Merger Sub will cease and Ouster will be the surviving corporation and a wholly owned subsidiary of the Company (the “Merger”). In connection with the consummation of the Business Combination, the Company will change its name to “Ouster, Inc.”</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additional information regarding Ouster, the Merger Agreement and the Business Combination, see the definitive proxy statement/prospectus filed by the Company on February 18,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than as specifically discussed, this report does not assume the closing of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We are not presently engaged in, and we will not engage in, any operations for an indefinite period of time. We intend to effectuate our initial business combination using cash held in the Trust Account,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5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shares of Class A common stock,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Selection of Target Businesses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While we may pursue a business combination target in any business or industry, we intend to focus our search for a business combination on businesses that complement our management team’s expertise and network of relationships in the natural resources, energy, real estate and agricultural industries.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and private investment funds.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track record and business relationships of our officers and directors.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The rules of the NYSE require that we must consummate an initial business combination with one or more operating businesses or assets with a fair market value equal to at least 80% of the net assets held in the Trust Account (excluding the amount of any deferred underwriting discount held in trust) at the time of signing a definitive agreement in connection with our initial business combination.</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from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firm which is a member of FINRA or a valuation or appraisal firm, that such an initial business combination is fair to our company from a financial point of view. We are not required to obtain such an opinion in any other context.</w:t>
      </w:r>
    </w:p>
    <w:p>
      <w:pPr>
        <w:spacing w:after="0" w:line="19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evaluating a prospective target business, we expect to conduct a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7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 for Holders of Public Shares Upon Consummation of Our Initial Business Combination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their Founder Shares and public shares in connection with the completion of our initial business combination.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Conduct of Redemptions Pursuant to Tender Offer Rules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If a shareholder vote is not required and we do not decide to hold a shareholder vote for business or other legal reasons, we will (a) conduct the redemptions pursuant to Rule 13e-4 and Regulation 14E of the Exchange Act, which regulate issuer tender offers, and (b)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Submission of Our Initial Business Combination to a Shareholder Vote</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4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A quorum for such meeting will be present if the holders of a majority of issued and outstanding shares entitled to vote at the meeting are represented in person or by proxy. Our Sponsor, officers and directors will count toward this quorum and, pursuant to the letter agreement, our Sponsor, officers and directors have agreed to vote their Founder Shares, private placement shares and any public shares purchased during or after the Public Offering in favor of our initial business combination. Each public shareholder may elect to redeem their public shares irrespective of whether they vote for or against the proposed transaction or whether they were a public shareholder on the record date for the shareholder meeting held to approve the proposed transaction.</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NYSE rules.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w:t>
      </w:r>
    </w:p>
    <w:p>
      <w:pPr>
        <w:spacing w:after="0" w:line="168"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Redemption Rights Upon Completion of Our Initial Business Combination If We Seek Stockholder Approval</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20% of the shares sold in the Public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20% of the shares sold in the Public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20% of the shares sold in the Public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20% of the shares sold in the Public Offering) for or against our initial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Our amended and restated memorandum and articles of association provide that we will have only 24 months from the Public Offering to complete our initial business combination.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similar or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issued and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currently have four officers. Members of our management team are not obligated to devote any specific number of hours to the Company’s matters but they intend to devote as much of their time as they deem necessary to the Company’s affairs until we have completed our initial business combination. The amount of time that any members of our management team will devote in any time period will vary based on the current stage of the business combination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are required to file Annual Reports on Form 10-K and Quarterly Reports on Form 10-Q with the SEC on a regular basis, and are required to disclose certain material events (e.g., changes in corporate control, acquisitions or dispositions of a significant amount of assets other than in the ordinary course of business and bankruptcy) in a Current Report on Form 8-K. The SEC maintains an Internet website that contains reports, proxy and information statements and other information regarding issuers that file electronically with the SEC. The SEC’s Internet website is located at http://www.sec.gov. In addition, the Company will provide copies of these documents without charge upon request from us in writing at 1400 Centrepark Blvd, Ste 810, West Palm Beach, FL 33401.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i w:val="1"/>
          <w:iCs w:val="1"/>
          <w:color w:val="auto"/>
        </w:rPr>
        <w:t>An investment in our securities involves a high degree of risk. You should consider carefully all of the risks described below, together with the other information contained in this Annual Report on Form 10-K, the prospectus associated with our initial public offering and the Registration Statement,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For risk factors related to the Business Combination, see the definitive proxy statement/prospectus filed by the Company on February 18, 2021.</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 Business Combination</w:t>
      </w:r>
    </w:p>
    <w:p>
      <w:pPr>
        <w:spacing w:after="0" w:line="225"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5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are a blank check company incorporated under the laws of the Cayman Islands with no operating results.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61"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5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of December 31, 2020, we had a working capital deficit of $1,336,251. Further, we have incurred and expect to continue to incur significant costs in pursuit of our financing and acquisition plans. We cannot assure you that our plans to raise capital or to complete an initial business combination will be successful. These factors, among others, raise substantial doubt about our ability to continue as a going concern. The financial statements contained elsewhere in this report do not include any adjustments that might result from our inability to continue as a going concern.</w:t>
      </w:r>
    </w:p>
    <w:p>
      <w:pPr>
        <w:spacing w:after="0" w:line="261"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72" w:lineRule="exact"/>
        <w:rPr>
          <w:sz w:val="20"/>
          <w:szCs w:val="20"/>
          <w:color w:val="auto"/>
        </w:rPr>
      </w:pPr>
    </w:p>
    <w:p>
      <w:pPr>
        <w:ind w:left="120" w:right="320" w:firstLine="440"/>
        <w:spacing w:after="0" w:line="254" w:lineRule="auto"/>
        <w:rPr>
          <w:sz w:val="20"/>
          <w:szCs w:val="20"/>
          <w:color w:val="auto"/>
        </w:rPr>
      </w:pPr>
      <w:r>
        <w:rPr>
          <w:rFonts w:ascii="Arial" w:cs="Arial" w:eastAsia="Arial" w:hAnsi="Arial"/>
          <w:sz w:val="18"/>
          <w:szCs w:val="18"/>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the holders of our Founder Shares will participate in the vote on such approval. Accordingly, we may complete our initial business combination even if holders of a majority of our ordinary shares do not approve of the business combination we complete.</w:t>
      </w:r>
    </w:p>
    <w:p>
      <w:pPr>
        <w:spacing w:after="0" w:line="299"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Your only opportunity to effect your investment decision regarding a potential business combination may be limited to the exercise of your right to redeem your shares from us for cash.</w:t>
      </w:r>
    </w:p>
    <w:p>
      <w:pPr>
        <w:spacing w:after="0" w:line="58"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effect your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If we seek shareholder approval of our initial business combination, our initial shareholders and management team have agreed to vote in favor of such initial business combination, regardless of how our public shareholders vote.</w:t>
      </w:r>
    </w:p>
    <w:p>
      <w:pPr>
        <w:spacing w:after="0" w:line="5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initial shareholders owned 20% of our issued and outstanding ordinary shares immediately following the completion of the Public Offering. Our initial shareholders and management team also may from time to time purchase Class A ordinary shares prior to our initial business combination. Our amended and restated memorandum and articles of association provides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7,500,001, or 37.5%, of the 20,000,000 public shares sold in the Public Offering to be voted in favor of an initial business combination in order to have our initial business combination approved (assuming all outstanding shares are voted). Accordingly, if we seek shareholder approval of our initial business combination, the agreement by our initial shareholders and management team to vote in favor of our initial business combination will increase the likelihood that we will receive an ordinary resolution, being the requisite shareholder approval for such initial business combination.</w:t>
      </w:r>
    </w:p>
    <w:p>
      <w:pPr>
        <w:spacing w:after="0" w:line="289" w:lineRule="exact"/>
        <w:rPr>
          <w:sz w:val="20"/>
          <w:szCs w:val="20"/>
          <w:color w:val="auto"/>
        </w:rPr>
      </w:pPr>
    </w:p>
    <w:p>
      <w:pPr>
        <w:ind w:left="120" w:right="460"/>
        <w:spacing w:after="0" w:line="312" w:lineRule="auto"/>
        <w:rPr>
          <w:sz w:val="20"/>
          <w:szCs w:val="20"/>
          <w:color w:val="auto"/>
        </w:rPr>
      </w:pPr>
      <w:r>
        <w:rPr>
          <w:rFonts w:ascii="Arial" w:cs="Arial" w:eastAsia="Arial" w:hAnsi="Arial"/>
          <w:sz w:val="17"/>
          <w:szCs w:val="17"/>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8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5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347" w:lineRule="auto"/>
        <w:rPr>
          <w:sz w:val="20"/>
          <w:szCs w:val="20"/>
          <w:color w:val="auto"/>
        </w:rPr>
      </w:pPr>
      <w:r>
        <w:rPr>
          <w:rFonts w:ascii="Arial" w:cs="Arial" w:eastAsia="Arial" w:hAnsi="Arial"/>
          <w:sz w:val="16"/>
          <w:szCs w:val="16"/>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268" w:lineRule="exact"/>
        <w:rPr>
          <w:sz w:val="20"/>
          <w:szCs w:val="20"/>
          <w:color w:val="auto"/>
        </w:rPr>
      </w:pPr>
    </w:p>
    <w:p>
      <w:pPr>
        <w:ind w:left="120" w:right="720"/>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 as well as protectionist legislation in our target markets.</w:t>
      </w:r>
    </w:p>
    <w:p>
      <w:pPr>
        <w:spacing w:after="0" w:line="7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This outbreak of COVID-19 has resulted in a widespread health crisis that has and may continue to adversely affect the economies and financial markets worldwide, and the business of any potential target business with which we may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for and ability to consummate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w:t>
      </w:r>
    </w:p>
    <w:p>
      <w:pPr>
        <w:spacing w:after="0" w:line="278"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Public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6"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of the Public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Public Offering, in which case we would cease all operations except for the purpose of winding up and we would redeem our public shares and liquidate.</w:t>
      </w:r>
    </w:p>
    <w:p>
      <w:pPr>
        <w:spacing w:after="0" w:line="5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not be able to find a suitable target business and complete our initial business combination within 24 months after the Public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284" w:lineRule="exact"/>
        <w:rPr>
          <w:sz w:val="20"/>
          <w:szCs w:val="20"/>
          <w:color w:val="auto"/>
        </w:rPr>
      </w:pPr>
    </w:p>
    <w:p>
      <w:pPr>
        <w:ind w:left="120" w:right="36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initial shareholders, directors, officers, advisors and their affiliates may elect to purchase shares or public warrants from public shareholders, which may influence a vote on a proposed business combination and reduce the public “float” of our Class A ordinary shares.</w:t>
      </w:r>
    </w:p>
    <w:p>
      <w:pPr>
        <w:spacing w:after="0" w:line="72"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officers, advisors or their affiliates may purchase shares or public warrants in privately negotiated transactions or in the open market either prior to or following the completion of our initial business combination, although they are under no obligation to do so. There is no limit on the number of shares our initial shareholders, directors, officers, advisors or their affiliates may purchase in such transactions, subject to compliance with applicable law and NYSE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9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9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312" w:lineRule="auto"/>
        <w:rPr>
          <w:sz w:val="20"/>
          <w:szCs w:val="20"/>
          <w:color w:val="auto"/>
        </w:rPr>
      </w:pPr>
      <w:r>
        <w:rPr>
          <w:rFonts w:ascii="Arial" w:cs="Arial" w:eastAsia="Arial" w:hAnsi="Arial"/>
          <w:sz w:val="17"/>
          <w:szCs w:val="17"/>
          <w:b w:val="1"/>
          <w:bCs w:val="1"/>
          <w:color w:val="auto"/>
        </w:rPr>
        <w:t>If a shareholder fails to receive notice of our offer to redeem our public shares in connection with our initial business combination, or fails to comply with the procedures for submitting or tendering its shares, such shares may not be redeemed.</w:t>
      </w:r>
    </w:p>
    <w:p>
      <w:pPr>
        <w:spacing w:after="0" w:line="3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will comply with the proxy rules or tender offer rules, as applicable, when conducting redemptions in connection with our initial business combination.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Since the net proceeds of the Public Offering and the sale of the private placement warrants are intended to be used to complete an initial business combination with a target business, we may be deemed to be a “blank check” company under the United States securities laws. However, because we have net tangible assets in excess of $5,000,000 and have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that we will have a longer period of time to complete our initial business combination than do companies subject to Rule 419. Moreover, if the Public Offering had been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spacing w:after="0" w:line="282"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20% of our Class A ordinary shares, you will lose the ability to redeem all such shares in excess of 20% of our Class A ordinary shares.</w:t>
      </w:r>
    </w:p>
    <w:p>
      <w:pPr>
        <w:spacing w:after="0" w:line="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20% of the shares sold in the Public Offering,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7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the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288"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If the net proceeds of the Public Offering and the sale of the private placement warrants not being held in the Trust Account are insufficient to allow us to operate at least until August 25, 2022,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76"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Of the net proceeds of the Public Offering, only $1,000,000 was made available to us initially outside Trust Account to fund our working capital requirements. We believe that the funds available to us outside of the Trust Account will be sufficient to allow us to operate at least until August 25, 2022;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warrants of the post-business combination entity at a price of $1.00 per warrant at the option of the lender. Such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shareholders may be less than $10.00 per share.</w:t>
      </w:r>
    </w:p>
    <w:p>
      <w:pPr>
        <w:spacing w:after="0" w:line="5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Marcum LLP, our independent registered public accounting firm, and the underwriters of the Public Offering will not execute agreements with us waiving such claims to the monies held in the Trust Account.</w:t>
      </w:r>
    </w:p>
    <w:p>
      <w:pPr>
        <w:spacing w:after="0" w:line="16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this Form 10-K,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82"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58"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his obligations or that he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6"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296" w:lineRule="exact"/>
        <w:rPr>
          <w:sz w:val="20"/>
          <w:szCs w:val="20"/>
          <w:color w:val="auto"/>
        </w:rPr>
      </w:pPr>
    </w:p>
    <w:p>
      <w:pPr>
        <w:jc w:val="both"/>
        <w:ind w:left="120"/>
        <w:spacing w:after="0" w:line="343" w:lineRule="auto"/>
        <w:rPr>
          <w:sz w:val="20"/>
          <w:szCs w:val="20"/>
          <w:color w:val="auto"/>
        </w:rPr>
      </w:pPr>
      <w:r>
        <w:rPr>
          <w:rFonts w:ascii="Arial" w:cs="Arial" w:eastAsia="Arial" w:hAnsi="Arial"/>
          <w:sz w:val="15"/>
          <w:szCs w:val="15"/>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2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petition or an involuntary bankruptcy petition is filed against us that is not dismissed, the proceeds held in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92" w:lineRule="exact"/>
        <w:rPr>
          <w:sz w:val="20"/>
          <w:szCs w:val="20"/>
          <w:color w:val="auto"/>
        </w:rPr>
      </w:pPr>
    </w:p>
    <w:p>
      <w:pPr>
        <w:ind w:left="120" w:right="22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ind w:left="120" w:right="640"/>
        <w:spacing w:after="0" w:line="258"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16"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is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do not believe that our principal activities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The Trust Account is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of the Public Offering or (B) with respect to any other material provisions relating to shareholders’ rights or pre-initial business combination activity; or (iii) absent an initial business combination within 24 months of the Public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78"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 xml:space="preserve">Changes in laws or regulations, or a failure to comply with any laws and regulations, may adversely affect our business, including our ability to negotiate and complete our initial business combination, and results of </w:t>
      </w:r>
      <w:r>
        <w:rPr>
          <w:rFonts w:ascii="Arial" w:cs="Arial" w:eastAsia="Arial" w:hAnsi="Arial"/>
          <w:sz w:val="18"/>
          <w:szCs w:val="18"/>
          <w:color w:val="auto"/>
        </w:rPr>
        <w:t>operations.</w:t>
      </w:r>
    </w:p>
    <w:p>
      <w:pPr>
        <w:spacing w:after="0" w:line="5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296"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If we are unable to consummate our initial business combination within 24 months of the Public Offering, our public shareholders may be forced to wait beyond such to 24 months before redemption from our Trust Account.</w:t>
      </w:r>
    </w:p>
    <w:p>
      <w:pPr>
        <w:spacing w:after="0" w:line="5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are unable to consummate our initial business combination within 24 months of the Public Offering, the proceeds then on deposit in the Trust Account including interest earned on the funds held in the trust account (less taxes payable and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24 months of the Public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5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$18,293 and to imprisonment for five years in the Cayman Islands.</w:t>
      </w:r>
    </w:p>
    <w:p>
      <w:pPr>
        <w:spacing w:after="0" w:line="269"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We may not hold an annual meeting of shareholders until after the consummation of our initial business combination, which could delay the opportunity for our shareholders to elect directors.</w:t>
      </w:r>
    </w:p>
    <w:p>
      <w:pPr>
        <w:spacing w:after="0" w:line="5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accordance with NYSE corporate governance requirements, we are not required to hold an annual meeting until no later than one year after our first fiscal year end following our listing on NYSE. There is no requirement under the Companies Law for us to hold annual or general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 In addition, as holders of our Class A ordinary shares, our public shareholders will not have the right to vote on the election of directors until after the consummation of our initial business combination.</w:t>
      </w:r>
    </w:p>
    <w:p>
      <w:pPr>
        <w:spacing w:after="0" w:line="299"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3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89"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7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letter agreement with our Sponsor, officers and directors may be amended without shareholder approval.</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82"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Our initial shareholders control a substantial interest in us and thus may exert a substantial influence on actions requiring a shareholder vote, potentially in a manner that you do not support.</w:t>
      </w:r>
    </w:p>
    <w:p>
      <w:pPr>
        <w:spacing w:after="0" w:line="5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Our initial shareholders own 20% of our issued and outstanding ordinary shares. Accordingly, they may exert a substantial influence on actions requiring a shareholder vote, potentially in a manner that you do not support, including amendments to our amended and restated memorandum and articles of association. If our initial shareholders purchase any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report.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shareholders, because of their ownership position, will have considerable influence regarding the outcome. Accordingly, our initial shareholders will continue to exert control at least until the completion of our initial business combination.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If (i) we issue additional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(ii) the aggregate gross proceeds from such issuances represent more than 60% of the total equity proceeds, and interest thereon, available for the funding of our initial business combination, and (iii) the volume weighted average trading price of the Class A ordinary shares during the 20 trading day period starting on the trading day prior to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272" w:lineRule="exact"/>
        <w:rPr>
          <w:sz w:val="20"/>
          <w:szCs w:val="20"/>
          <w:color w:val="auto"/>
        </w:rPr>
      </w:pPr>
    </w:p>
    <w:p>
      <w:pPr>
        <w:ind w:left="120" w:right="820"/>
        <w:spacing w:after="0" w:line="282"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5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347" w:lineRule="auto"/>
        <w:rPr>
          <w:sz w:val="20"/>
          <w:szCs w:val="20"/>
          <w:color w:val="auto"/>
        </w:rPr>
      </w:pPr>
      <w:r>
        <w:rPr>
          <w:rFonts w:ascii="Arial" w:cs="Arial" w:eastAsia="Arial" w:hAnsi="Arial"/>
          <w:sz w:val="16"/>
          <w:szCs w:val="16"/>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270"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such reincorporation may result in taxes imposed on shareholders.</w:t>
      </w:r>
    </w:p>
    <w:p>
      <w:pPr>
        <w:spacing w:after="0" w:line="5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by special resolution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280"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5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333" w:lineRule="exact"/>
        <w:rPr>
          <w:sz w:val="20"/>
          <w:szCs w:val="20"/>
          <w:color w:val="auto"/>
        </w:rPr>
      </w:pPr>
    </w:p>
    <w:p>
      <w:pPr>
        <w:ind w:left="120" w:right="180"/>
        <w:spacing w:after="0" w:line="266"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7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Even if we conduct due diligence on a target business with which we combine, we cannot assure you that this diligence will identify all material issues that may be present within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78"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dependent upon our officers and directors and their loss could adversely affect our ability to operate.</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282" w:lineRule="exact"/>
        <w:rPr>
          <w:sz w:val="20"/>
          <w:szCs w:val="20"/>
          <w:color w:val="auto"/>
        </w:rPr>
      </w:pPr>
    </w:p>
    <w:p>
      <w:pPr>
        <w:ind w:left="120" w:right="20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7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378" w:lineRule="auto"/>
        <w:rPr>
          <w:sz w:val="20"/>
          <w:szCs w:val="20"/>
          <w:color w:val="auto"/>
        </w:rPr>
      </w:pPr>
      <w:r>
        <w:rPr>
          <w:rFonts w:ascii="Arial" w:cs="Arial" w:eastAsia="Arial" w:hAnsi="Arial"/>
          <w:sz w:val="15"/>
          <w:szCs w:val="15"/>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91" w:lineRule="exact"/>
        <w:rPr>
          <w:sz w:val="20"/>
          <w:szCs w:val="20"/>
          <w:color w:val="auto"/>
        </w:rPr>
      </w:pPr>
    </w:p>
    <w:p>
      <w:pPr>
        <w:ind w:left="120" w:right="200"/>
        <w:spacing w:after="0" w:line="303"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4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Cayman Islands law.</w:t>
      </w:r>
    </w:p>
    <w:p>
      <w:pPr>
        <w:spacing w:after="0" w:line="282" w:lineRule="exact"/>
        <w:rPr>
          <w:sz w:val="20"/>
          <w:szCs w:val="20"/>
          <w:color w:val="auto"/>
        </w:rPr>
      </w:pPr>
    </w:p>
    <w:p>
      <w:pPr>
        <w:jc w:val="both"/>
        <w:ind w:left="120" w:right="680"/>
        <w:spacing w:after="0" w:line="378" w:lineRule="auto"/>
        <w:rPr>
          <w:sz w:val="20"/>
          <w:szCs w:val="20"/>
          <w:color w:val="auto"/>
        </w:rPr>
      </w:pPr>
      <w:r>
        <w:rPr>
          <w:rFonts w:ascii="Arial" w:cs="Arial" w:eastAsia="Arial" w:hAnsi="Arial"/>
          <w:sz w:val="15"/>
          <w:szCs w:val="15"/>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85" w:lineRule="exact"/>
        <w:rPr>
          <w:sz w:val="20"/>
          <w:szCs w:val="20"/>
          <w:color w:val="auto"/>
        </w:rPr>
      </w:pPr>
    </w:p>
    <w:p>
      <w:pPr>
        <w:ind w:left="120" w:right="280"/>
        <w:spacing w:after="0" w:line="347" w:lineRule="auto"/>
        <w:rPr>
          <w:sz w:val="20"/>
          <w:szCs w:val="20"/>
          <w:color w:val="auto"/>
        </w:rPr>
      </w:pPr>
      <w:r>
        <w:rPr>
          <w:rFonts w:ascii="Arial" w:cs="Arial" w:eastAsia="Arial" w:hAnsi="Arial"/>
          <w:sz w:val="16"/>
          <w:szCs w:val="16"/>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7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272" w:lineRule="exact"/>
        <w:rPr>
          <w:sz w:val="20"/>
          <w:szCs w:val="20"/>
          <w:color w:val="auto"/>
        </w:rPr>
      </w:pPr>
    </w:p>
    <w:p>
      <w:pPr>
        <w:ind w:left="120" w:right="440"/>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3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Although we have no commitments as of the date of this report to issue any notes or other debt securities, or to otherwise incur outstanding debt following the Public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93" w:lineRule="exact"/>
        <w:rPr>
          <w:sz w:val="20"/>
          <w:szCs w:val="20"/>
          <w:color w:val="auto"/>
        </w:rPr>
      </w:pPr>
    </w:p>
    <w:p>
      <w:pPr>
        <w:ind w:left="1080" w:right="5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the Public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2"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net proceeds from the Public Offering and the Private Placement will provide us with $193,000,000 that we may use to complete our initial business combination (after taking into account the $7,000,000 of deferred underwriting commissions being held in the Trust Account).</w:t>
      </w:r>
    </w:p>
    <w:p>
      <w:pPr>
        <w:spacing w:after="0" w:line="14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4"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74"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68"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5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40"/>
        <w:spacing w:after="0" w:line="312"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36"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276" w:lineRule="exact"/>
        <w:rPr>
          <w:sz w:val="20"/>
          <w:szCs w:val="20"/>
          <w:color w:val="auto"/>
        </w:rPr>
      </w:pPr>
    </w:p>
    <w:p>
      <w:pPr>
        <w:ind w:left="120" w:right="40"/>
        <w:spacing w:after="0" w:line="281" w:lineRule="auto"/>
        <w:rPr>
          <w:sz w:val="20"/>
          <w:szCs w:val="20"/>
          <w:color w:val="auto"/>
        </w:rPr>
      </w:pPr>
      <w:r>
        <w:rPr>
          <w:rFonts w:ascii="Arial" w:cs="Arial" w:eastAsia="Arial" w:hAnsi="Arial"/>
          <w:sz w:val="17"/>
          <w:szCs w:val="17"/>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memorandum and articles of association will require a special resolution under Cayman Islands law, which requires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within 24 months of the Public Offering or (B) with respect to any other material provisions relating to shareholders’ rights or pre-initial business combination activity. We cannot assure you that we will not seek to amend our charter or governing instruments or extend the time to consummate an initial business combination in order to effectuate our initial business combination.</w:t>
      </w:r>
    </w:p>
    <w:p>
      <w:pPr>
        <w:spacing w:after="0" w:line="28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two-thirds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8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amended and restated memorandum and articles of association provide that any of its provisions related to pre-business combination activity (including the requirement to deposit proceeds of the Public Offering and the Private Placement into the Trust Account and not release such amounts except in specified circumstances, and to provide redemption rights to public shareholders as described herein) may be amended if approved by special resolution, under Cayman Islands law which requires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collectively beneficially own 20% of our ordinary shares following the Public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special purpose acquisition companies, and this may increase our ability to complete a business combination with which you do not agree. Our shareholders may pursue remedies against us for any breach of our amended and restated memorandum and articles of association.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of the Public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289"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5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have not selected any specific business combination target but intend to target businesses with enterprise values that are greater than we could acquire with the net proceeds of the Public Offering and the sale of the private placement warrants. As a result, if the cash portion of the purchase price exceeds the amount available from the Trust Account, net of amounts needed to satisfy any redemption by public shareholders,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our public shareholders may only receive their pro rata portion of the funds in the Trust Account that are available for distribution to public shareholders,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Acquiring and Operating a Business in Foreign Countries</w:t>
      </w:r>
    </w:p>
    <w:p>
      <w:pPr>
        <w:spacing w:after="0" w:line="225"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located outside of the United States, we would be subject to a variety of additional risks that may adversely affect us.</w:t>
      </w:r>
    </w:p>
    <w:p>
      <w:pPr>
        <w:spacing w:after="0" w:line="5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320" w:top="459" w:right="6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88"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5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Exchange rate fluctuations and currency policies may cause a target business’ ability to succeed in the international markets to be diminished.</w:t>
      </w:r>
    </w:p>
    <w:p>
      <w:pPr>
        <w:spacing w:after="0" w:line="14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Relating to our Management Team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officers.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82" w:lineRule="exact"/>
        <w:rPr>
          <w:sz w:val="20"/>
          <w:szCs w:val="20"/>
          <w:color w:val="auto"/>
        </w:rPr>
      </w:pPr>
    </w:p>
    <w:p>
      <w:pPr>
        <w:ind w:left="120" w:right="300"/>
        <w:spacing w:after="0" w:line="347" w:lineRule="auto"/>
        <w:rPr>
          <w:sz w:val="20"/>
          <w:szCs w:val="20"/>
          <w:color w:val="auto"/>
        </w:rPr>
      </w:pPr>
      <w:r>
        <w:rPr>
          <w:rFonts w:ascii="Arial" w:cs="Arial" w:eastAsia="Arial" w:hAnsi="Arial"/>
          <w:sz w:val="16"/>
          <w:szCs w:val="16"/>
          <w:b w:val="1"/>
          <w:b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2"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shareholders may experience losses on their investment in our securities.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We may seek business combination opportunities in industries or sectors that may be outside of our management’s areas of expertise.</w:t>
      </w:r>
    </w:p>
    <w:p>
      <w:pPr>
        <w:spacing w:after="0" w:line="133"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the Public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Form 10-K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our initial business combination could suffer a reduction in the value of their shares. Such shareholders are unlikely to have a remedy for such reduction in value.</w:t>
      </w:r>
    </w:p>
    <w:p>
      <w:pPr>
        <w:spacing w:after="0" w:line="272"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281" w:lineRule="exact"/>
        <w:rPr>
          <w:sz w:val="20"/>
          <w:szCs w:val="20"/>
          <w:color w:val="auto"/>
        </w:rPr>
      </w:pPr>
    </w:p>
    <w:p>
      <w:pPr>
        <w:ind w:left="120" w:right="220"/>
        <w:spacing w:after="0" w:line="347" w:lineRule="auto"/>
        <w:rPr>
          <w:sz w:val="20"/>
          <w:szCs w:val="20"/>
          <w:color w:val="auto"/>
        </w:rPr>
      </w:pPr>
      <w:r>
        <w:rPr>
          <w:rFonts w:ascii="Arial" w:cs="Arial" w:eastAsia="Arial" w:hAnsi="Arial"/>
          <w:sz w:val="16"/>
          <w:szCs w:val="16"/>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will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78"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14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296"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5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existing holders. Our directors also serve as officers and board members for other entities.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286" w:lineRule="exact"/>
        <w:rPr>
          <w:sz w:val="20"/>
          <w:szCs w:val="20"/>
          <w:color w:val="auto"/>
        </w:rPr>
      </w:pPr>
    </w:p>
    <w:p>
      <w:pPr>
        <w:jc w:val="both"/>
        <w:ind w:left="120" w:right="200"/>
        <w:spacing w:after="0" w:line="266" w:lineRule="auto"/>
        <w:rPr>
          <w:sz w:val="20"/>
          <w:szCs w:val="20"/>
          <w:color w:val="auto"/>
        </w:rPr>
      </w:pPr>
      <w:r>
        <w:rPr>
          <w:rFonts w:ascii="Arial" w:cs="Arial" w:eastAsia="Arial" w:hAnsi="Arial"/>
          <w:sz w:val="18"/>
          <w:szCs w:val="18"/>
          <w:b w:val="1"/>
          <w:bCs w:val="1"/>
          <w:color w:val="auto"/>
        </w:rPr>
        <w:t>Since our Sponsor, officers and directors will lose their entire investment in us if our initial business combination is not completed (other than with respect to public shares they may acquire after the Public Offering), a conflict of interest may arise in determining whether a particular business combination target is appropriate for our initial business combination.</w:t>
      </w:r>
    </w:p>
    <w:p>
      <w:pPr>
        <w:spacing w:after="0" w:line="7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June 30, 2020, our Sponsor paid $25,000, or approximately $0.004 per share, to cover certain of our offering costs in exchange for 5,750,000 Founder Shares. The Sponsor surrendered 750,000 Founder Shares to the Company for no consideration in connection with the underwriters’ election to not exercise the over-allotment option relating to the Public Offering at the end of the 45-day option period on October 5, 2020.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the Public Offering would be a maximum of 23,000,000 units if the underwriters’ over-allotment option is exercised in full, and therefore that such Founder Shares would represent 20% of the outstanding shares after the Public Offering. The Founder Shares will be worthless if we do not complete an initial business combination. In addition, our Sponsor has purchased an aggregate of 6,000,000 private placement warrants for an aggregate purchase price of $6,000,000, or $1.00 per warrant. The private placement warrants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Public Offering nears, which is the deadline for our completion of an initial business combination.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5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5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of the Public Offering or (B) with respect to any other material provisions relating to shareholders’ rights or pre-initial business combination activity, and (iii) the redemption of our public shares if we are unable to complete an initial business combination within 24 months of the Public Offering, subject to applicable law and as further described herein.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72"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NYSE may delist our securities from trading on its exchange, which could limit investors’ ability to make transactions in our securities and subject us to additional trading restrictions.</w:t>
      </w:r>
    </w:p>
    <w:p>
      <w:pPr>
        <w:spacing w:after="0" w:line="5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units, Class A ordinary shares and warrants are listed on NYSE. We cannot assure you that our securities will continue to be listed on NYSE in the future or prior to our initial business combination. In order to continue listing our securities on NYSE prior to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NYSE’s initial listing requirements, which are more rigorous than NYSE’s continued listing requirements, in order to continue to maintain the listing of our securities on NYSE. For instance, our share price would generally be required to be at least $4.00 per share and our shareholders’ equity would generally be required to be at least $5.0 million. We cannot assure you that we will be able to meet those initial listing requirements at that time.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If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80" w:right="20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Our units, Class A ordinary shares and warrants are listed on NYSE, and, as a result,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NYSE, our securities would not qualify as covered securities under the statute and we would be subject to regulation in each state in which we offer our securities.</w:t>
      </w:r>
    </w:p>
    <w:p>
      <w:pPr>
        <w:spacing w:after="0" w:line="285" w:lineRule="exact"/>
        <w:rPr>
          <w:sz w:val="20"/>
          <w:szCs w:val="20"/>
          <w:color w:val="auto"/>
        </w:rPr>
      </w:pPr>
    </w:p>
    <w:p>
      <w:pPr>
        <w:ind w:left="120" w:right="900"/>
        <w:spacing w:after="0" w:line="282"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ordinary shares or certain exemptions are available.</w:t>
      </w:r>
    </w:p>
    <w:p>
      <w:pPr>
        <w:spacing w:after="0" w:line="5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our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8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7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288"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5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w:t>
      </w:r>
    </w:p>
    <w:p>
      <w:pPr>
        <w:spacing w:after="0" w:line="2" w:lineRule="exact"/>
        <w:rPr>
          <w:sz w:val="20"/>
          <w:szCs w:val="20"/>
          <w:color w:val="auto"/>
        </w:rPr>
      </w:pPr>
    </w:p>
    <w:p>
      <w:pPr>
        <w:ind w:left="120" w:hanging="4"/>
        <w:spacing w:after="0" w:line="268" w:lineRule="auto"/>
        <w:tabs>
          <w:tab w:leader="none" w:pos="3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our Class A ordinary shares (as defined in the next sentence)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28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7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the Public Offering, our initial shareholders, the holders of our private placement warrants, the holders of warrants that may be issued upon conversion of working capital loans and their permitted transferees can demand that we register the Class A ordinary shares into which Founder Shares are convertible, the private placement warrants and the Class A ordinary shares issuable upon exercise of the private placement warrants, the warrants or the Class A ordinary shares issuable upon exercise of warrants that may be issued upon conversion of working capital loans and any other securities of the Company acquired by them prior to the consummation of our initial business combination.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80"/>
        <w:spacing w:after="0" w:line="303" w:lineRule="auto"/>
        <w:rPr>
          <w:sz w:val="20"/>
          <w:szCs w:val="20"/>
          <w:color w:val="auto"/>
        </w:rPr>
      </w:pPr>
      <w:r>
        <w:rPr>
          <w:rFonts w:ascii="Arial" w:cs="Arial" w:eastAsia="Arial" w:hAnsi="Arial"/>
          <w:sz w:val="16"/>
          <w:szCs w:val="16"/>
          <w:b w:val="1"/>
          <w:b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4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amended and restated memorandum and articles of association authorizes the issuance of up to 200,000,000 Class A ordinary shares, par value $0.0001 per share, 20,000,000 Class B ordinary shares, par value $0.0001 per share, and 1,000,000 preferred shares, par value $0.0001 per share. There are 180,000,000 and 15,000,000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our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our initial business combination. Immediately after the Public Offering, there will be no preferred shares issued and outstanding.</w:t>
      </w:r>
    </w:p>
    <w:p>
      <w:pPr>
        <w:spacing w:after="0" w:line="19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may issue a substantial number of additional Class A ordinary shares or preferred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therein. However, our amended and restated memorandum and articles of association provide, among other things, 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72"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Public Offering;</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329"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5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concurrently with or immediately following the consummation of our initial business combination on a one-for-one basis, subject to adjustment for share splits,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38"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272"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5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80" w:hanging="4"/>
        <w:spacing w:after="0" w:line="260" w:lineRule="auto"/>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5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closing price of our Class A ordinary shares equals or exceeds $18.00 per share (as adjusted for share splits, share 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289"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5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issued warrants to purchase 10,000,000 of our Class A ordinary shares as part of the units sold in the Public Offering and, simultaneously with the Public Offering, we issued in a Private Placement an aggregate of 6,000,000 private placement warrants, at $1.00 per warrant. In addition, if the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82"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special purpose acquisition companies.</w:t>
      </w:r>
    </w:p>
    <w:p>
      <w:pPr>
        <w:spacing w:after="0" w:line="58"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were issued upon separation of the units, and only whole units can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left="120" w:right="4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282" w:lineRule="exact"/>
        <w:rPr>
          <w:sz w:val="20"/>
          <w:szCs w:val="20"/>
          <w:color w:val="auto"/>
        </w:rPr>
      </w:pPr>
    </w:p>
    <w:p>
      <w:pPr>
        <w:ind w:left="120" w:right="460"/>
        <w:spacing w:after="0" w:line="312" w:lineRule="auto"/>
        <w:rPr>
          <w:sz w:val="20"/>
          <w:szCs w:val="20"/>
          <w:color w:val="auto"/>
        </w:rPr>
      </w:pPr>
      <w:r>
        <w:rPr>
          <w:rFonts w:ascii="Arial" w:cs="Arial" w:eastAsia="Arial" w:hAnsi="Arial"/>
          <w:sz w:val="17"/>
          <w:szCs w:val="17"/>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3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27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5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133"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99"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We are subject to changing law and regulations regarding regulatory matters, corporate governance and public disclosure that have increased both our costs and the risk of non-compliance.</w:t>
      </w:r>
    </w:p>
    <w:p>
      <w:pPr>
        <w:spacing w:after="0" w:line="5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employ a mail forwarding service, which may delay or disrupt our ability to receive mail in a timely manner.</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IB.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maintain executive offices at 1400 Centrepark Blvd, Ste 810, West Palm Beach, FL 33401 pursuant to an agreement with our Sponsor. The cost for this space is included in the aggregate $10,000 per-month fee we pay to our Sponsor for office space and administrative services. We believe, based on rents and fees for similar services, that the fee charged by our Sponsor is at least as favorable as we could have obtained from an unaffiliated entity. We consider our current office space, combined with the office space otherwise available to our executive officers, adequate for our current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As of December 31, 2020, to the knowledge of our management, there was no material litigation, arbitration or governmental proceeding pending against us or any members of our management team in their capacity as such, and we and the members of our management team have not been subject to any such proceeding.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units, Class A ordinary shares and warrants listed on NYSE under the symbols “CLA.U”, “CLA” and “CLA WS”,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As of December 31, 2020, there was one holder of record of our units, one holder of record of our Class A ordinary shares and two holders of record of our warrants. The number of holders of record does not include a substantially greater number of “street name” holders or beneficial holders whose units, Class A ordinary shares and warrants are held of record by banks, brokers and other financial institutions.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August 25, 2020, we consummated the Public Offering of 20,000,000 units. The units sold in the Public Offering were sold at an offering price of $10.00 per unit, generating total gross proceeds of $200,000,000. BTIG, LLC acted as sole book-running manager of the Public Offering. The securities in the offering were registered under the Securities Act on a registration statement on Form S-1 (No. 333-240378). The Securities and Exchange Commission declared the registration statement effective on August 20,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Simultaneously with the consummation of the Public Offering, the Sponsor consummated the Private Placement of an aggregate of 6,000,000 warrants at a price of $1.00 per private placement warrant, generating total proceeds of $6,000,000. The issuance was made pursuant to the exemption from registration contained in Section 4(a)(2) of the Securities Act.</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private placement warrants are identical to the warrants underlying the units sold in the Public Offering, except that the private placement warrants are not transferable, assignable or salable until 30 days after the completion of a business combination, subject to certain limited exceptions.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 the gross proceeds received from the Public Offering and the private placement warrants, $200,000,000 was placed in the Trust Account.</w:t>
      </w:r>
    </w:p>
    <w:p>
      <w:pPr>
        <w:spacing w:after="0" w:line="248"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We paid a total of $4,000,000 in underwriting discounts and commissions and $597,631 for other costs and expenses related to the Public Offering. In addition, the underwriters agreed to defer up to $7,000,000 in underwriting discounts and commissions.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“smaller reporting company,” we are not required to provide the information called for by this Item.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Annual Report on Form 10-K.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a blank check company incorporated in the Cayman Islands on June 4, 2020 formed for the purpose of effecting a merger, share exchange, asset acquisition, stock purchase, reorganization or similar business combination with one or more businesses. We intend to effectuate our business combination using cash derived from the proceeds of our initial public offering consummated on August 25, 2020 (the “Public Offering”), our shares, debt or a combination of cash, shares and debt.</w:t>
      </w:r>
    </w:p>
    <w:p>
      <w:pPr>
        <w:spacing w:after="0" w:line="18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for Business Combination</w:t>
      </w:r>
    </w:p>
    <w:p>
      <w:pPr>
        <w:spacing w:after="0" w:line="121"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On December 21, 2020, we entered into a merger agreement, with Beam Merger Sub, Inc. (“Merger Sub”) and Ouster, Inc. (“Ouster”), relating to a proposed business combination transaction (the “Business Combination”) between the Company and Ouster (the “Merger Agreement”).</w:t>
      </w:r>
    </w:p>
    <w:p>
      <w:pPr>
        <w:spacing w:after="0" w:line="12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Pursuant to the Merger Agreement, the Company will domesticate as a Delaware corporation (and will be renamed “Ouster PubCo”) and Merger Sub, a wholly owned subsidiary of the Company, will merge with and into Ouster, the separate corporate existence of Merger Sub will cease and Ouster will be the surviving corporation and a wholly owned subsidiary of the Company (the “Merger”). In connection with the consummation of the Business Combination, the Company will change its name to “Ouster, Inc.”</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from June 4, 2020 (inception) through December 31, 2020 were organizational activities, those necessary to prepare for the Public Offering, identifying a target for our business combination, and activities in connection with the proposed acquisition of Ouster.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period from June 4, 2020 (inception) through December 31, 2020, we had a net loss of $2,702,566, which consisted of operating costs of $2,763,620, offset by interest earned on marketable securities held in the Trust Account of $57,914 and an unrealized gain on marketable securities held in the Trust Account of $3,140.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August 25, 2020, we consummated the Public Offering of 20,000,000 units, at a price of $10.00 per unit, generating gross proceeds of $200,000,000. Simultaneously with the closing of the Public Offering, we consummated the sale of 6,000,000 private placement warrants to the Sponsor at a price of $1.00 per warrant, generating gross proceeds of $6,000,000.</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Following the Public Offering, and the sale of the private placement warrants, a total of $200,000,000 was placed in the Trust Account. We incurred $11,597,631 in transaction costs, including $4,000,000 of underwriting fees, $7,000,000 of deferred underwriting fees and $597,631 of other costs.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the period from June 4, 2020 (inception) through December 31, 2020, cash used in operating activities was $729,512, which consisted of our net loss of $2,702,566, interest earned on marketable securities held in the Trust Account of $57,914, an unrealized gain on marketable securities of $3,140 and changes in operating assets and liabilities, which provided $2,034,108 of cash.</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of December 31, 2020, we had cash and marketable securities held in the Trust Account of $200,061,054. We may withdraw interest to pay our taxes, if any. Through December 31, 2020, we have not withdrawn any amounts to pay for our tax obligations. We intend to use substantially all of the funds held in the Trust Account, including any amounts representing interest earned on the Trust Account (which interest shall be net of taxes payable)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of December 31, 2020, we had cash of $697,957.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monitor the adequacy of our working capital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a monthly fee of $10,000 for office space, utilities, secretarial and administrative support services, provided to the Company. We began incurring these fees on August 21, 2020 and will continue to incur these fees monthly until the earlier of the completion of a business combination and the Company’s liquidation.</w:t>
      </w:r>
    </w:p>
    <w:p>
      <w:pPr>
        <w:spacing w:after="0" w:line="18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underwriters are entitled to a deferred fee of $0.35 per unit, or $7,000,000 in the aggregate. A portion of such amount not to exceed 40% of the total amount of deferred underwriting commissions held in the Trust Account may be paid at the sole discretion of the Company to parties who may or may not participate in the Public Offering (but who are members of FINRA) that assist us in consummating a business combination. The election to make such payments to such parties will be solely at the discretion of our management team. The deferred fee will become payable to the underwriters from the amounts held in the Trust Account solely in the event that we complete a business combination, subject to the terms of the underwriting agreement.</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December 4, 2020, we entered into an agreement with a service provider, pursuant to which the service provider will serve as the placement agent for us in connection with a proposed private placement (the “Proposed Transaction”) of our equity or equity-linked securities (the “Equity Securities”). We agreed to pay the service provider a cash fee of equal to 50% of 3.5% of the gross proceeds of the total fair market of the Equity Securities sold in the Proposed Transaction subject to a minimum fee of $1,000,000 and reimbursable expenses not to exceed $50,000 without our prior written consent.</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On December 4, 2020, we entered into an agreement with a service provider, pursuant to which the service provider will serve as media relations, due diligence, and transaction preparation in connection with a proposed business combination. We agreed to pay the service provider a cash fee of (i) $15,000 per month until the consummation of a business combination, (ii) $200,000 payable only upon consummation of a business combination and (iii) a discretionary performance bonus in the amount of $200,000 upon the consummation of the business combination, at our sole discretion.</w:t>
      </w:r>
    </w:p>
    <w:p>
      <w:pPr>
        <w:spacing w:after="0" w:line="15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December 5, 2020, we entered into an agreement with a service provider, pursuant to which the service provider will serve as the co-placement agent for us in connection with a proposed private placement (the “Transaction”) of our equity or equity-linked securities (the “Securities”). We agreed to pay the service provider a cash fee of $2,800,000, payable at the closing of the business combination and a cash fee equal to 50% of 3.5% of the gross proceeds of the total Securities sold in the Transaction subject to a minimum fee of $2,200,000.</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Redemption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account for our Class A ordinary shares subject to possible conversion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are presented at redemption value as temporary equity, outside of the shareholders’ equity section of our consolidated balance sheet.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apply the two-class method in calculating earnings per share. Net income per common share, basic and diluted for Class A ordinary shares subject to possible redemption is calculated by dividing the interest income earned on the Trust Account, net of applicable taxes, if any, by the weighted average number of shares of Class A ordinary shares subject to possible redemption outstanding for the period. Net loss per common share, basic and diluted for non-redeemable Class B ordinary shares is calculated by dividing net income less income attributable to Class A ordinary shares subject to possible redemption, by the weighted average number of shares of non-redeemable Class B ordinary shares outstanding for the period presented.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Following the consummation of our Public Offering, the net proceeds of our Public Offering, including amounts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Reference is made to pages F-1 through F-16 comprising a portion of this Annual Report on Form 10-K.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 the effectiveness of our disclosure controls and procedures as of December 31, 2020, pursuant to Rule 13a-15(b) under the Exchange Act. Based upon that evaluation, our Certifying Officer concluded that, as of December 31, 2020, our disclosure controls and procedures were effective.</w:t>
      </w:r>
    </w:p>
    <w:p>
      <w:pPr>
        <w:spacing w:after="0" w:line="16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and executive officers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Joseph S. Sambuco</w:t>
            </w:r>
          </w:p>
        </w:tc>
        <w:tc>
          <w:tcPr>
            <w:tcW w:w="2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59</w:t>
            </w:r>
          </w:p>
        </w:tc>
        <w:tc>
          <w:tcPr>
            <w:tcW w:w="1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Chairman of the Board of Directors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Remy W. Trafelet</w:t>
            </w:r>
          </w:p>
        </w:tc>
        <w:tc>
          <w:tcPr>
            <w:tcW w:w="2340" w:type="dxa"/>
            <w:vAlign w:val="bottom"/>
            <w:gridSpan w:val="2"/>
          </w:tcPr>
          <w:p>
            <w:pPr>
              <w:ind w:left="2120"/>
              <w:spacing w:after="0"/>
              <w:rPr>
                <w:sz w:val="20"/>
                <w:szCs w:val="20"/>
                <w:color w:val="auto"/>
              </w:rPr>
            </w:pPr>
            <w:r>
              <w:rPr>
                <w:rFonts w:ascii="Arial" w:cs="Arial" w:eastAsia="Arial" w:hAnsi="Arial"/>
                <w:sz w:val="18"/>
                <w:szCs w:val="18"/>
                <w:color w:val="auto"/>
                <w:w w:val="99"/>
              </w:rPr>
              <w:t>50</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Flores</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99"/>
              </w:rPr>
              <w:t>61</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Emil W. Henry, Jr.</w:t>
            </w:r>
          </w:p>
        </w:tc>
        <w:tc>
          <w:tcPr>
            <w:tcW w:w="2340" w:type="dxa"/>
            <w:vAlign w:val="bottom"/>
            <w:gridSpan w:val="2"/>
          </w:tcPr>
          <w:p>
            <w:pPr>
              <w:ind w:left="2120"/>
              <w:spacing w:after="0"/>
              <w:rPr>
                <w:sz w:val="20"/>
                <w:szCs w:val="20"/>
                <w:color w:val="auto"/>
              </w:rPr>
            </w:pPr>
            <w:r>
              <w:rPr>
                <w:rFonts w:ascii="Arial" w:cs="Arial" w:eastAsia="Arial" w:hAnsi="Arial"/>
                <w:sz w:val="18"/>
                <w:szCs w:val="18"/>
                <w:color w:val="auto"/>
                <w:w w:val="99"/>
              </w:rPr>
              <w:t>59</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Manny De Zárraga</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99"/>
              </w:rPr>
              <w:t>60</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365"/>
        </w:trPr>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340" w:type="dxa"/>
            <w:vAlign w:val="bottom"/>
            <w:gridSpan w:val="2"/>
          </w:tcPr>
          <w:p>
            <w:pPr>
              <w:jc w:val="right"/>
              <w:ind w:right="59"/>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b w:val="1"/>
          <w:bCs w:val="1"/>
          <w:i w:val="1"/>
          <w:iCs w:val="1"/>
          <w:color w:val="auto"/>
        </w:rPr>
        <w:t xml:space="preserve">Joseph S. Sambuco </w:t>
      </w:r>
      <w:r>
        <w:rPr>
          <w:rFonts w:ascii="Arial" w:cs="Arial" w:eastAsia="Arial" w:hAnsi="Arial"/>
          <w:sz w:val="16"/>
          <w:szCs w:val="16"/>
          <w:color w:val="auto"/>
        </w:rPr>
        <w:t>has served as our Chairman since our inception. Mr. Sambuco is the Chairman and Chief Executive Officer of Colonnade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Properties LLC (“Colonnade”) which he founded along with Prudential Real Estate Investors in 2000. Under his leadership, he successfully built Colonnade into a fully-integrated and diversified real estate investment, finance, operating and asset management company. Mr. Sambuco is also a director and President of St. Giles Hotels, USA, Inc., a hotel investment and operating company. Prior to forming Colonnade, Mr. Sambuco was a Managing Director and the Chief Financial Officer of the Taylor Simpson Group, a real estate investment and asset management firm that acquired LF Property Investment Company, the real estate division of Lazard Frères &amp; Co LLC, where he began his career in 1982. Mr. Sambuco was actively involved Lazard’s financial advisory practice where he was responsible for advising clients about the real estate components for their mergers and acquisitions, restructurings, and financings. Mr. Sambuco holds a B.A. in accounting from Rutgers University, which he graduated from in 1982.</w:t>
      </w:r>
    </w:p>
    <w:p>
      <w:pPr>
        <w:spacing w:after="0" w:line="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Mr. Sambuco serves on the Board of Hazeltree Fund Services and the Palm Beach Civic Association. He is a former Trustee of the Palm Beach Day Academy and recently served on the board of Alico, Inc., an agricultural business. Mr. Sambuco is well qualified to sit on our board due to his comprehensive operational, capital markets and investment management experience in the real estate sector. His widespread network of relationships in the real estate industry will significantly enhance the company’s deal sourcing efforts.</w:t>
      </w:r>
    </w:p>
    <w:p>
      <w:pPr>
        <w:spacing w:after="0" w:line="193"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b w:val="1"/>
          <w:bCs w:val="1"/>
          <w:i w:val="1"/>
          <w:iCs w:val="1"/>
          <w:color w:val="auto"/>
        </w:rPr>
        <w:t xml:space="preserve">Remy W. Trafelet </w:t>
      </w:r>
      <w:r>
        <w:rPr>
          <w:rFonts w:ascii="Arial" w:cs="Arial" w:eastAsia="Arial" w:hAnsi="Arial"/>
          <w:sz w:val="16"/>
          <w:szCs w:val="16"/>
          <w:color w:val="auto"/>
        </w:rPr>
        <w:t>has served as our Chief Executive Officer and a director since our inception. Mr. Trafelet is President and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Trafelet &amp; Company, LLC, a private investment firm that invests across a broad range of asset classes and industries, including financial services, energy, technology and agriculture. Mr. Trafelet began his career in 1992 as an analyst at Fidelity Management and Research Company where he became a portfolio manager at age 25. In 2000, Mr. Trafelet formed Trafelet Delta Funds, which managed several long/short equity portfolios. The firm grew to over $5.5 billion in assets under management with offices in New York and London. In 2009, Mr. Trafelet spun off the firm’s London operations to Habrok Capital Management, a global long/short equity hedge fund. Mr. Trafelet is the Founder and Chairman of Hazeltree Fund Services, a FinTech company providing treasury solutions to more than 200 financial institutions with over $2.0 trillion of assets under advisory. From 2016 to 2019, Mr. Trafelet served as President and Chief Executive Officer of Alico Inc. (NASDAQ: ALCO), an agribusiness holding company. During his tenure, he implemented a corporate restructuring and operating efficiency program, which improved the company’s return on capital employed.</w:t>
      </w:r>
    </w:p>
    <w:p>
      <w:pPr>
        <w:spacing w:after="0" w:line="6" w:lineRule="exact"/>
        <w:rPr>
          <w:sz w:val="20"/>
          <w:szCs w:val="20"/>
          <w:color w:val="auto"/>
        </w:rPr>
      </w:pPr>
    </w:p>
    <w:p>
      <w:pPr>
        <w:ind w:left="120" w:right="160"/>
        <w:spacing w:after="0" w:line="288" w:lineRule="auto"/>
        <w:rPr>
          <w:sz w:val="20"/>
          <w:szCs w:val="20"/>
          <w:color w:val="auto"/>
        </w:rPr>
      </w:pPr>
      <w:r>
        <w:rPr>
          <w:rFonts w:ascii="Arial" w:cs="Arial" w:eastAsia="Arial" w:hAnsi="Arial"/>
          <w:sz w:val="16"/>
          <w:szCs w:val="16"/>
          <w:color w:val="auto"/>
        </w:rPr>
        <w:t>Mr. Trafelet is a Trustee and Chairman of the Investment Committee for the Boys’ Club of New York and also serves as a member of the board for the Children’s Scholarship Fund. He is a former Trustee and Chairman of the Investment Committee of Phillips Exeter Academy. Mr. Trafelet is also a former Trustee for The Eaglebrook School, and a board member of the Atlantic Salmon Federation. Mr. Trafelet graduated from Phillips Exeter Academy and earned an A.B. from Dartmouth College, where he graduated with honors and was named a Presidential Scholar. Mr. Trafelet is a Chartered Financial Analyst. Mr. Trafelet is well qualified to sit on our board due to his extensive and successful capital markets, investment and valuation experience specifically in the energy sector. His familiarity of running a publicly traded agricultural company and his operational knowledge will provide the company with highly valuable experiences and perspectives as it seeks to identify an attractive business target.</w:t>
      </w:r>
    </w:p>
    <w:p>
      <w:pPr>
        <w:spacing w:after="0" w:line="16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i w:val="1"/>
          <w:iCs w:val="1"/>
          <w:color w:val="auto"/>
        </w:rPr>
        <w:t xml:space="preserve">James C. Flores </w:t>
      </w:r>
      <w:r>
        <w:rPr>
          <w:rFonts w:ascii="Arial" w:cs="Arial" w:eastAsia="Arial" w:hAnsi="Arial"/>
          <w:sz w:val="16"/>
          <w:szCs w:val="16"/>
          <w:color w:val="auto"/>
        </w:rPr>
        <w:t>has served on our board of directors since the completion of our initial public offering. Mr. Flores has served as Chairman,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President of Sable Permian Resources since May of 2017. Sable engages in the acquisition, consolidation and optimization of oil and gas upstream opportunities in the Permian Basin in West Texas. Since 1982, Mr. Flores has had an extensive career in the oil and gas industry in the roles of Chairman, Chief Executive Officer, and President of one private and four public oil &amp; gas exploration and production companies listed on the New York Stock Exchange. Initially, in 1994, he led Flores &amp; Rucks, Inc. (the NYSE:FNR) and then Ocean Energy Inc. (the NYSE:OEI) in 1997. In 2001, he became the Chairman and CEO of Plains Resources Inc. (the NYSE:PLX) where under his leadership the exploration and production assets of PLX were spun off into Plains Exploration &amp; Production Company (the NYSE:PXP). Mr. Flores served in the capacity of PXP’s Chairman, CEO, and President where, after 10-plus years of substantial growth, PXP was acquired by Freeport-McMoRan Copper &amp; Gold Inc. (the NYSE:FCX) in May of 2013 where Mr. Flores served as Vice Chairman of FCX until November 2015. Prior to Sable Permian Resources, Mr. Flores served as Chairman and CEO of Freeport-McMoRan Oil &amp; Gas, a wholly owned subsidiary of Freeport-McMoRan Inc., the world’s largest publicly traded copper producer. Mr. Flores graduated from Louisiana State University with B.S. degrees in corporate finance and petroleum land management. He is a member of the National Petroleum Council, serves as Trustee for the Baylor College of Medicine and is a Director for the Waterfowl Research Foundation. He was inducted into the All-American Wildcatters in 1999 and is a member of the World Presidents’ Organization. He was recognized as the Executive of the Year in 2004 in Oil and Gas Investor magazine. In addition, Mr. Flores and his wife, Cherie, have endowed the LSU Flores MBA program. The Flores are dedicated supporters to many philanthropic causes and organizations focusing on Medical, Arts, Academic, Service and Conservation efforts ranging locally from the United Way to national support of the Nature Conservancy and Ducks Unlimited. Mr. Flores is well qualified to serve on our board due to his extensive investment, operational, and board experience in the oil and gas industry.</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Emil W. Henry, Jr. </w:t>
      </w:r>
      <w:r>
        <w:rPr>
          <w:rFonts w:ascii="Arial" w:cs="Arial" w:eastAsia="Arial" w:hAnsi="Arial"/>
          <w:sz w:val="17"/>
          <w:szCs w:val="17"/>
          <w:color w:val="auto"/>
        </w:rPr>
        <w:t>has served on our board of directors since the completion of our initial public offering. Emil is the Founder,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a Managing Director at Tiger Infrastructure Partners. Emil previously served as Global Head of Lehman Brothers’ infrastructure private equity business. From 1990 to 2005, he was a Partner and Managing Director with Gleacher Partners, where he served as Chairman of Asset Management and led the firm’s investment activities. In 2005, Emil was appointed by the President and confirmed by the United States Senate, unanimously, as Assistant Secretary of the Treasury. In this role, he served as attaché to the President’s Working Group on Financial Markets, oversaw the Office of Critical Infrastructure Protection, led the Treasury’s efforts to establish emergency response protocols in the event of a financial crisis and was key advisor to two Treasury secretaries. Emil outlined publicly and prior to the financial crisis how a systemic crisis might unfold driven by Fannie Mae’s and Freddie Mac’s concentrated holdings of sub-prime mortgages. Emil was awarded the Alexander Hamilton Award, the highest honor the Treasury can bestow upon a public official. Earlier in his career, he was a member of Morgan Stanley’s private equity group. Emil currently serves on the boards of Easterly Government Properties, StoneCastle Financial, and numerous boards of Tiger Infrastructure portfolio companies. Emil has represented the U.S. Treasury on the boards of the Securities Investor Protection Corporation (SIPC), and the National Gallery of Art and is a member of the Council on Foreign Relations. He is a frequent public speaker and author on matters of public policy. He holds an MBA from Harvard Business School and a B.A. in Economics, cum laude, from Yale University. Mr. Henry is well qualified to serve on our board due to his extensive capital markets, investment and board experience.</w:t>
      </w:r>
    </w:p>
    <w:p>
      <w:pPr>
        <w:spacing w:after="0" w:line="18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b w:val="1"/>
          <w:bCs w:val="1"/>
          <w:i w:val="1"/>
          <w:iCs w:val="1"/>
          <w:color w:val="auto"/>
        </w:rPr>
        <w:t xml:space="preserve">Manny De Zárraga </w:t>
      </w:r>
      <w:r>
        <w:rPr>
          <w:rFonts w:ascii="Arial" w:cs="Arial" w:eastAsia="Arial" w:hAnsi="Arial"/>
          <w:sz w:val="17"/>
          <w:szCs w:val="17"/>
          <w:color w:val="auto"/>
        </w:rPr>
        <w:t>has served on our board of directors since the completion of our initial public offering. Manny is an executive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and member of JLL Capital Markets, Americas’ Executive Committee. He joined JLL as part of the HFF acquisition and serves as co-head of the firm’s National Investment Advisory Group. Manny has more than 28 years of experience in real estate investment banking and specializes in the execution and expansion of the firm’s capital markets platform through the representation of institutional and major global family offices owners of institutional-grade commercial real estate properties. He also oversees the firm’s Special Assets Group and is an active member of the Global Capital Team, with a special focus on the Latin American markets. Prior to joining HFF in 2002, Manny was a principal and managing director at Sonnenblick-Goldman Company for 14 years and served on the firm’s operating committee. During his time there, he was involved in real estate capital transactions made up of all major property types. He also serves since 1994 as the U.S. investment advisor to Grupo Multiplan and previously served as the privatization advisor to the government of Puerto Rico for the sale of government-owned hotels. Prior to Sonnenblick-Goldman, Manny was vice president of the Trade Finance Corporation, where he worked in the development of a mortgage- based securitization program in conjunction with Salomon Brothers. Mr. De Zárraga is well qualified to serve on our board due to his extensive advisory and capital markets experience in the real estate industry.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Terms of Office and Appointment of Directors and Officers</w:t>
      </w:r>
    </w:p>
    <w:p>
      <w:pPr>
        <w:spacing w:after="0" w:line="121"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Our board of directors consists of five members and is divided into three classes with only one class of directors being elected in each year, and with each class (except for those directors appointed prior to our first annual meeting of shareholders) serving a three-year term. In accordance with NYSE corporate governance requirements, we are not required to hold an annual meeting until one year after our first fiscal year end following our listing on NYSE. The term of office of the first class of directors, consisting of Mr. Henry, will expire at our first annual meeting of shareholders. The term of office of the second class of directors, consisting of Messrs. Flores and De Zárraga, will expire at the second annual meeting of shareholders. The term of office of the third class of directors, consisting of Messrs. Sambuco and Trafelet, will expire at the third annual meeting of shareholders.</w:t>
      </w:r>
    </w:p>
    <w:p>
      <w:pPr>
        <w:spacing w:after="0" w:line="16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rules of the NYSE require that a majority of our board of directors be independent within one year of our Public Offering. An “independent director” is defined generally as a person who, in the opinion of the Company’s board of directors, has no material relationship with the listed company (either directly or as a partner, shareholder or officer of an organization that has a relationship with the Company). Our board of directors has determined that each of Messrs. Flores, Henry and De Zárraga is an “independent director” as defined in the NYSE listing standards and applicable SEC rules. Our independent directors will have regularly scheduled meetings at which only independent directors are present.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board of directors has established an audit committee of the board of directors. Messrs. Flores, Henry and De Zárraga serve as the members of the audit committee, and Mr. De Zárraga chairs the audit committee. All members of our audit committee are independent of and unaffiliated with our Sponsor and our underwriters.</w:t>
      </w:r>
    </w:p>
    <w:p>
      <w:pPr>
        <w:spacing w:after="0" w:line="184"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Mr. De Zárraga qualifies as an “audit committee financial expert” as defined in applicable SEC rules and has accounting or related financial management expertise.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131" w:lineRule="exact"/>
        <w:rPr>
          <w:sz w:val="20"/>
          <w:szCs w:val="20"/>
          <w:color w:val="auto"/>
        </w:rPr>
      </w:pPr>
    </w:p>
    <w:p>
      <w:pPr>
        <w:ind w:left="1080" w:right="40" w:hanging="424"/>
        <w:spacing w:after="0" w:line="30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62" w:lineRule="exact"/>
        <w:rPr>
          <w:rFonts w:ascii="Arial" w:cs="Arial" w:eastAsia="Arial" w:hAnsi="Arial"/>
          <w:sz w:val="16"/>
          <w:szCs w:val="16"/>
          <w:color w:val="auto"/>
        </w:rPr>
      </w:pPr>
    </w:p>
    <w:p>
      <w:pPr>
        <w:ind w:left="1080" w:right="120" w:hanging="424"/>
        <w:spacing w:after="0" w:line="31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firm has with us in order to evaluate their continued independence;</w:t>
      </w:r>
    </w:p>
    <w:p>
      <w:pPr>
        <w:spacing w:after="0" w:line="54" w:lineRule="exact"/>
        <w:rPr>
          <w:rFonts w:ascii="Arial" w:cs="Arial" w:eastAsia="Arial" w:hAnsi="Arial"/>
          <w:sz w:val="16"/>
          <w:szCs w:val="16"/>
          <w:color w:val="auto"/>
        </w:rPr>
      </w:pPr>
    </w:p>
    <w:p>
      <w:pPr>
        <w:ind w:left="1080" w:right="40" w:hanging="424"/>
        <w:spacing w:after="0" w:line="275"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81" w:lineRule="exact"/>
        <w:rPr>
          <w:rFonts w:ascii="Arial" w:cs="Arial" w:eastAsia="Arial" w:hAnsi="Arial"/>
          <w:sz w:val="17"/>
          <w:szCs w:val="17"/>
          <w:color w:val="auto"/>
        </w:rPr>
      </w:pPr>
    </w:p>
    <w:p>
      <w:pPr>
        <w:ind w:left="1080" w:right="20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92"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a nominating and corporate governance committee comprised of Messrs. Flores, Henry and De Zárraga. Mr. Henry serves as chair of the nominating and corporate governance committee. All members of our nominating and corporate governance committee are independent of and unaffiliated with our Sponsor and our underwriters.</w:t>
      </w:r>
    </w:p>
    <w:p>
      <w:pPr>
        <w:spacing w:after="0" w:line="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have adopted a nominating and corporate governance committee charter, which details the purpose and responsibilities of the nominating and corporate governance committee, including:</w:t>
      </w:r>
    </w:p>
    <w:p>
      <w:pPr>
        <w:spacing w:after="0" w:line="76" w:lineRule="exact"/>
        <w:rPr>
          <w:sz w:val="20"/>
          <w:szCs w:val="20"/>
          <w:color w:val="auto"/>
        </w:rPr>
      </w:pPr>
    </w:p>
    <w:p>
      <w:pPr>
        <w:ind w:left="10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charter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84"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Our board of directors has established a compensation committee of the board of directors. Messrs. Flores, Henry and De Zárraga serve as the members of the compensation committee, and Mr. Flores chairs the compensation committee. All members of our compensation committee are independent of and unaffiliated with our Sponsor and our underwriters.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adopted a compensation committee charter, which details the principal functions of the compensation committee, including:</w:t>
      </w:r>
    </w:p>
    <w:p>
      <w:pPr>
        <w:spacing w:after="0" w:line="142" w:lineRule="exact"/>
        <w:rPr>
          <w:sz w:val="20"/>
          <w:szCs w:val="20"/>
          <w:color w:val="auto"/>
        </w:rPr>
      </w:pPr>
    </w:p>
    <w:p>
      <w:pPr>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Notwithstanding the foregoing, as indicated above, other than the payment of customary fees we may elect to make to members of our board of directors for director service and payment to an affiliate of our Sponsor of $10,000 per month, for up to 24 months, for office space, utilities and secretarial and administrative support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95"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charter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NYSE and the SEC.</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have adopted a Code of Business Conduct and Ethics applicable to our directors, officers and employees. We have filed a copy of our Code of Business Conduct and Ethics as an exhibit to our registration statement in connection with the Public Offering. You are able to review this document by accessing our public filings at the SEC’s web site at www.sec.gov. In addition, a copy of the Code of Business Conduct and Ethics and the charters of the committees of our board of directors will be provided without charge upon request from us in writing at 1400 Centrepark Blvd, Ste 810, West Palm Beach, FL 33401 or by telephone at (561) 712-7860.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NYSE rules, we will disclose the nature of such amendment or waiver on our website.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Section 16(a) of the Exchange Act requires the Company’s executive officers, directors, and persons who beneficially own more than ten percent of a registered class of the Company’s equity securities, to file with the SEC initial reports of ownership and reports of changes in ownership of the Company’s common stock. Such officers, directors, and persons are required by SEC regulation to furnish the Company with copies of all Section 16(a) forms that they file with the SEC.</w:t>
      </w:r>
    </w:p>
    <w:p>
      <w:pPr>
        <w:spacing w:after="0" w:line="18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Based solely on a review of the copies of such forms that were received by the Company, except for a Form 4 filed on October 26, 2020 for the Sponsor and Mr. Sambuco to report one transaction, the Company is not aware of any failures to file reports or report transactions in a timely manner during the year ended December 31, 2020.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None of our officers or directors have received any cash compensation for services rendered to us. We will pay our Sponsor $10,000 per month for office space, utilities, secretarial and administrative support services provided to members of our management team.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68"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78"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99"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the beneficial ownership of our ordinary shares as of January 15, 2021, by:</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person known by us to be a beneficial owner of more than 5% of our outstanding ordinary shares of, on an as-converted basis;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following table is based on 25,000,000 ordinary shares outstanding as of March 9, 2021, of which 20,000,000 were Class A shares and 5,000,000 were Class B shares. Unless otherwise indicated, it is believed that all persons named in the table below have sole voting and investment power with respect to all ordinary shares beneficially owned by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r>
              <w:rPr>
                <w:rFonts w:ascii="Arial" w:cs="Arial" w:eastAsia="Arial" w:hAnsi="Arial"/>
                <w:sz w:val="12"/>
                <w:szCs w:val="12"/>
                <w:b w:val="1"/>
                <w:bCs w:val="1"/>
                <w:color w:val="auto"/>
                <w:w w:val="92"/>
              </w:rPr>
              <w:t>(1)</w:t>
            </w:r>
          </w:p>
        </w:tc>
        <w:tc>
          <w:tcPr>
            <w:tcW w:w="34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63"/>
        </w:trPr>
        <w:tc>
          <w:tcPr>
            <w:tcW w:w="2580" w:type="dxa"/>
            <w:vAlign w:val="bottom"/>
            <w:tcBorders>
              <w:bottom w:val="single" w:sz="8" w:color="auto"/>
            </w:tcBorders>
            <w:vMerge w:val="continue"/>
          </w:tcPr>
          <w:p>
            <w:pPr>
              <w:spacing w:after="0"/>
              <w:rPr>
                <w:sz w:val="13"/>
                <w:szCs w:val="13"/>
                <w:color w:val="auto"/>
              </w:rPr>
            </w:pPr>
          </w:p>
        </w:tc>
        <w:tc>
          <w:tcPr>
            <w:tcW w:w="3480" w:type="dxa"/>
            <w:vAlign w:val="bottom"/>
          </w:tcPr>
          <w:p>
            <w:pPr>
              <w:spacing w:after="0"/>
              <w:rPr>
                <w:sz w:val="13"/>
                <w:szCs w:val="13"/>
                <w:color w:val="auto"/>
              </w:rPr>
            </w:pPr>
          </w:p>
        </w:tc>
        <w:tc>
          <w:tcPr>
            <w:tcW w:w="12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Colonnade Sponsor LLC</w:t>
            </w:r>
            <w:r>
              <w:rPr>
                <w:rFonts w:ascii="Arial" w:cs="Arial" w:eastAsia="Arial" w:hAnsi="Arial"/>
                <w:sz w:val="15"/>
                <w:szCs w:val="15"/>
                <w:color w:val="auto"/>
              </w:rPr>
              <w:t>(3)</w:t>
            </w:r>
          </w:p>
        </w:tc>
        <w:tc>
          <w:tcPr>
            <w:tcW w:w="34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5,000,000</w:t>
            </w:r>
          </w:p>
        </w:tc>
        <w:tc>
          <w:tcPr>
            <w:tcW w:w="4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ind w:left="540"/>
              <w:spacing w:after="0" w:line="203" w:lineRule="exact"/>
              <w:rPr>
                <w:sz w:val="20"/>
                <w:szCs w:val="20"/>
                <w:color w:val="auto"/>
              </w:rPr>
            </w:pPr>
            <w:r>
              <w:rPr>
                <w:rFonts w:ascii="Arial" w:cs="Arial" w:eastAsia="Arial" w:hAnsi="Arial"/>
                <w:sz w:val="18"/>
                <w:szCs w:val="18"/>
                <w:color w:val="auto"/>
                <w:w w:val="93"/>
              </w:rPr>
              <w:t>20.0%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Joseph S. Sambuco</w:t>
            </w:r>
            <w:r>
              <w:rPr>
                <w:rFonts w:ascii="Arial" w:cs="Arial" w:eastAsia="Arial" w:hAnsi="Arial"/>
                <w:sz w:val="15"/>
                <w:szCs w:val="15"/>
                <w:color w:val="auto"/>
              </w:rPr>
              <w:t>(3)</w:t>
            </w:r>
          </w:p>
        </w:tc>
        <w:tc>
          <w:tcPr>
            <w:tcW w:w="34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Remy W. Trafelet</w:t>
            </w:r>
            <w:r>
              <w:rPr>
                <w:rFonts w:ascii="Arial" w:cs="Arial" w:eastAsia="Arial" w:hAnsi="Arial"/>
                <w:sz w:val="15"/>
                <w:szCs w:val="15"/>
                <w:color w:val="auto"/>
              </w:rPr>
              <w:t>(3)</w:t>
            </w:r>
          </w:p>
        </w:tc>
        <w:tc>
          <w:tcPr>
            <w:tcW w:w="3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James C. Flores</w:t>
            </w:r>
            <w:r>
              <w:rPr>
                <w:rFonts w:ascii="Arial" w:cs="Arial" w:eastAsia="Arial" w:hAnsi="Arial"/>
                <w:sz w:val="15"/>
                <w:szCs w:val="15"/>
                <w:color w:val="auto"/>
              </w:rPr>
              <w:t>(3)</w:t>
            </w:r>
          </w:p>
        </w:tc>
        <w:tc>
          <w:tcPr>
            <w:tcW w:w="34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mil W. Henry, Jr. </w:t>
            </w:r>
            <w:r>
              <w:rPr>
                <w:rFonts w:ascii="Arial" w:cs="Arial" w:eastAsia="Arial" w:hAnsi="Arial"/>
                <w:sz w:val="15"/>
                <w:szCs w:val="15"/>
                <w:color w:val="auto"/>
              </w:rPr>
              <w:t>(3)</w:t>
            </w:r>
          </w:p>
        </w:tc>
        <w:tc>
          <w:tcPr>
            <w:tcW w:w="3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Manny De Zárraga</w:t>
            </w:r>
            <w:r>
              <w:rPr>
                <w:rFonts w:ascii="Arial" w:cs="Arial" w:eastAsia="Arial" w:hAnsi="Arial"/>
                <w:sz w:val="15"/>
                <w:szCs w:val="15"/>
                <w:color w:val="auto"/>
              </w:rPr>
              <w:t>(3)</w:t>
            </w:r>
          </w:p>
        </w:tc>
        <w:tc>
          <w:tcPr>
            <w:tcW w:w="348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our shareholders listed is 1400 Centrepark Blvd, Ste 810, West Palm Beach, FL 33401.</w:t>
      </w:r>
    </w:p>
    <w:p>
      <w:pPr>
        <w:spacing w:after="0" w:line="46"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w:t>
      </w:r>
    </w:p>
    <w:p>
      <w:pPr>
        <w:spacing w:after="0" w:line="1" w:lineRule="exact"/>
        <w:rPr>
          <w:rFonts w:ascii="Arial" w:cs="Arial" w:eastAsia="Arial" w:hAnsi="Arial"/>
          <w:sz w:val="18"/>
          <w:szCs w:val="18"/>
          <w:color w:val="auto"/>
        </w:rPr>
      </w:pPr>
    </w:p>
    <w:p>
      <w:pPr>
        <w:ind w:left="540" w:right="40" w:hanging="424"/>
        <w:spacing w:after="0" w:line="25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Colonnade Sponsor LLC is the record holder of such shares. Mr. Sambuco is the manager, and the members of the Company’s management team are among the members, of Colonnade Sponsor LLC. Messrs. Sambuco and Trafelet are among the members who share voting and investment discretion with respect to the shares held of record by Colonnade Sponsor LLC. Each of the foregoing individuals disclaims any beneficial ownership of the securities held by Colonnade Sponsor LLC other than to the extent of any pecuniary interest he may have therein, directly or indirectly.</w:t>
      </w:r>
    </w:p>
    <w:p>
      <w:pPr>
        <w:spacing w:after="0" w:line="295" w:lineRule="exact"/>
        <w:rPr>
          <w:sz w:val="20"/>
          <w:szCs w:val="20"/>
          <w:color w:val="auto"/>
        </w:rPr>
      </w:pPr>
    </w:p>
    <w:p>
      <w:pPr>
        <w:ind w:left="120" w:right="1980"/>
        <w:spacing w:after="0" w:line="378"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i w:val="1"/>
          <w:iCs w:val="1"/>
          <w:color w:val="auto"/>
        </w:rPr>
        <w:t>Founder Shares</w:t>
      </w:r>
    </w:p>
    <w:p>
      <w:pPr>
        <w:ind w:left="120" w:firstLine="440"/>
        <w:spacing w:after="0" w:line="259" w:lineRule="auto"/>
        <w:rPr>
          <w:sz w:val="20"/>
          <w:szCs w:val="20"/>
          <w:color w:val="auto"/>
        </w:rPr>
      </w:pPr>
      <w:r>
        <w:rPr>
          <w:rFonts w:ascii="Arial" w:cs="Arial" w:eastAsia="Arial" w:hAnsi="Arial"/>
          <w:sz w:val="18"/>
          <w:szCs w:val="18"/>
          <w:color w:val="auto"/>
        </w:rPr>
        <w:t>On June 30, 2020, the Sponsor paid $25,000, or approximately $0.004 per share, to cover certain of our offering costs relating to the Public Offering in exchange for 5,750,000 Founder Shares. The Sponsor surrendered 750,000 Founder Shares to the Company for no consideration in connection with the underwriters’ election to not exercise the overallotment option relating to the Public Offering at the end of the 45-day option period on October 5, 2020.</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connection with the Business Combination, each of the 5,000,000 Founder Shares will convert on a one-for-one basis into one share of Ouster PubCo common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Sponsor purchased an aggregate of 6,000,000 private placement warrants, each exercisable to purchase one Class A ordinary share at $11.50 per share, at a price of $1.00 per warrant, or $6,000,000 in the aggregate, in connection with the Public Offering. The private placement warrants are identical to the warrants sold in the Public Offering except that the private placement warrants, so long as they are held by the Sponsor or its permitted transferees, (i) are not be redeemable by the Company, (ii) may not (including the Class A ordinary shares issuable upon exercise of these warrants), subject to certain limited exceptions, be transferred, assigned or sold by the holders until 30 days after the completion of our initial business combination, (iii) may be exercised by the holders on a cashless basis and (iv) are entitled to registration rights.</w:t>
      </w:r>
    </w:p>
    <w:p>
      <w:pPr>
        <w:spacing w:after="0" w:line="16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connection with the Business Combination, each of the 6,000,000 private placement warrants will convert automatically into one warrant to purchase one share of Ouster PubCo common stock pursuant to the warrant agreement between the Company and Continental Stock Transfer &amp; Trust Company, dated as of August 20, 2020.</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459"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Subscription Agreements</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Concurrently with the execution of the Merger Agreement, we entered into subscription agreements with certain institutional and accredited investors (the “PIPE Investors”) and with Colonnade WPB LLC, an affiliate of the Sponsor (the “Sponsor Related PIPE Investor”), pursuant to which the PIPE Investors and Sponsor Related PIPE Investor have subscribed for shares of Ouster PubCo common stock (the “PIPE Investment”). The Sponsor Related PIPE Investor is expected to fund $11,750,000 of the PIPE Investment, for which it will receive 1,175,000 shares of Ouster PubCo common stock. The Sponsor Related PIPE Investor is controlled by our Chairman Joseph S. Sambuco.</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PIPE Investment will be consummated substantially concurrently with the closing of the Business Combination.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currently utilize office space at 1400 Centrepark Boulevard, Suite 810, West Palm Beach, FL 33401 from the Sponsor as our executive offices. Commencing upon consummation of the Public Offering, we pay the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Note and Advances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June 30, 2020, the Sponsor agreed to loan the Company up to an aggregate amount of $300,000 to be used, in part, for transaction costs incurred in connection with the Public Offering pursuant to an unsecured promissory note. The promissory note was non-interest bearing and payable on the earlier of December 31, 2020 and the completion of the Public Offering. The outstanding balance of $126,005 under the promissory note was paid in full in connection with the closing of the Public Offering.</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officers and directors are entitled to reimbursement for any out-of-pocket expenses related to identifying, investigating, negotiating and completing an initial business combination. Our audit committee reviews on a quarterly basis all payments that were made to the Sponsor, our officers, directors or its or their affiliates.</w:t>
      </w:r>
    </w:p>
    <w:p>
      <w:pPr>
        <w:spacing w:after="0" w:line="184"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the Sponsor or an affiliate of the Sponsor or certain of our officers and directors may, but are not obligated to, loan the Company funds as may be required on a non-interest basis. If we complete the business combination, we would repay such loaned amounts. In the event that the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at a price of $1.00 per warrant at the option of the lender. Such warrants would be identical to the private placement warrants. Except as set forth above, the terms of such loans, if any, have not been determined and no written agreements exist with respect to such loans.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holders of the Founder Shares, private placement warrants and the Class A ordinary shares underlying such private placement warrants and private placement warrants that may be issued upon conversion of working capital loans have registration rights to require us to register a sale of any of our securities held by them pursuant to a registration rights agreement.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Business Combination, the registration rights agreement will be amended and restated.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fees paid or to be paid to Marcum LLP, or Marcum, for services rendered.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of fees billed for professional services rendered for the audit of our year-end financial statements and services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normally provided by Marcum in connection with regulatory filings. The aggregate fees billed by Marcum for professional services rendered for the audit of our annual consolidated financial statements, review of the financial information included in our Forms 10-Q for the respective periods and other required filings with the SEC for the period from June 4, 2020 (inception) through December 31, 2020 totaled approximately $76,000. The above amounts include interim procedures and audit fees, as well as attendance at audit committee meetings.</w:t>
      </w:r>
    </w:p>
    <w:p>
      <w:pPr>
        <w:spacing w:after="0" w:line="1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Audit-Related Fees</w:t>
      </w:r>
      <w:r>
        <w:rPr>
          <w:rFonts w:ascii="Arial" w:cs="Arial" w:eastAsia="Arial" w:hAnsi="Arial"/>
          <w:sz w:val="17"/>
          <w:szCs w:val="17"/>
          <w:color w:val="auto"/>
        </w:rPr>
        <w:t>. Audit-related services consist of fees billed for assurance and related services that are reasonably related to performance of the audit</w:t>
      </w:r>
      <w:r>
        <w:rPr>
          <w:rFonts w:ascii="Arial" w:cs="Arial" w:eastAsia="Arial" w:hAnsi="Arial"/>
          <w:sz w:val="17"/>
          <w:szCs w:val="17"/>
          <w:i w:val="1"/>
          <w:iCs w:val="1"/>
          <w:color w:val="auto"/>
        </w:rPr>
        <w:t xml:space="preserve"> </w:t>
      </w:r>
      <w:r>
        <w:rPr>
          <w:rFonts w:ascii="Arial" w:cs="Arial" w:eastAsia="Arial" w:hAnsi="Arial"/>
          <w:sz w:val="17"/>
          <w:szCs w:val="17"/>
          <w:color w:val="auto"/>
        </w:rPr>
        <w:t>or review of our consolidated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period from June 4, 2020 (inception) through December 31,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Tax Fees</w:t>
      </w:r>
      <w:r>
        <w:rPr>
          <w:rFonts w:ascii="Arial" w:cs="Arial" w:eastAsia="Arial" w:hAnsi="Arial"/>
          <w:sz w:val="17"/>
          <w:szCs w:val="17"/>
          <w:color w:val="auto"/>
        </w:rPr>
        <w:t>. We did not pay Marcum for tax planning and tax advice for the period from June 4, 2020 (inception) through December 31, 2020.</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Marcum for other services for the period from June 4, 2020 (inception) through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 xml:space="preserve">Our audit committee was formed upon the consummation of our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exceptions for non-audit services described in the Exchange Act which are approved by the audit committee prior to the completion of the audit).</w:t>
      </w: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160" w:type="dxa"/>
            <w:vAlign w:val="bottom"/>
          </w:tcPr>
          <w:p>
            <w:pPr>
              <w:ind w:left="266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640" w:type="dxa"/>
            <w:vAlign w:val="bottom"/>
            <w:gridSpan w:val="3"/>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640" w:type="dxa"/>
            <w:vAlign w:val="bottom"/>
            <w:gridSpan w:val="3"/>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Financial Statements</w:t>
            </w:r>
          </w:p>
        </w:tc>
        <w:tc>
          <w:tcPr>
            <w:tcW w:w="8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9680" w:type="dxa"/>
            <w:vAlign w:val="bottom"/>
            <w:gridSpan w:val="2"/>
            <w:vMerge w:val="restart"/>
          </w:tcPr>
          <w:p>
            <w:pPr>
              <w:ind w:left="60"/>
              <w:spacing w:after="0"/>
              <w:rPr>
                <w:sz w:val="20"/>
                <w:szCs w:val="20"/>
                <w:color w:val="auto"/>
              </w:rPr>
            </w:pPr>
            <w:r>
              <w:rPr>
                <w:rFonts w:ascii="Arial" w:cs="Arial" w:eastAsia="Arial" w:hAnsi="Arial"/>
                <w:sz w:val="18"/>
                <w:szCs w:val="18"/>
                <w:color w:val="auto"/>
              </w:rPr>
              <w:t>Report of Independent Registered Public Accounting Firm</w:t>
            </w: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9680" w:type="dxa"/>
            <w:vAlign w:val="bottom"/>
            <w:gridSpan w:val="2"/>
            <w:vMerge w:val="continue"/>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80" w:type="dxa"/>
            <w:vAlign w:val="bottom"/>
            <w:gridSpan w:val="2"/>
          </w:tcPr>
          <w:p>
            <w:pPr>
              <w:ind w:left="60"/>
              <w:spacing w:after="0"/>
              <w:rPr>
                <w:sz w:val="20"/>
                <w:szCs w:val="20"/>
                <w:color w:val="auto"/>
              </w:rPr>
            </w:pPr>
            <w:r>
              <w:rPr>
                <w:rFonts w:ascii="Arial" w:cs="Arial" w:eastAsia="Arial" w:hAnsi="Arial"/>
                <w:sz w:val="18"/>
                <w:szCs w:val="18"/>
                <w:color w:val="auto"/>
              </w:rPr>
              <w:t>Consolidated Balance Sheet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80" w:type="dxa"/>
            <w:vAlign w:val="bottom"/>
            <w:gridSpan w:val="2"/>
          </w:tcPr>
          <w:p>
            <w:pPr>
              <w:ind w:left="60"/>
              <w:spacing w:after="0"/>
              <w:rPr>
                <w:sz w:val="20"/>
                <w:szCs w:val="20"/>
                <w:color w:val="auto"/>
              </w:rPr>
            </w:pPr>
            <w:r>
              <w:rPr>
                <w:rFonts w:ascii="Arial" w:cs="Arial" w:eastAsia="Arial" w:hAnsi="Arial"/>
                <w:sz w:val="18"/>
                <w:szCs w:val="18"/>
                <w:color w:val="auto"/>
              </w:rPr>
              <w:t>Consolidated Statement of Operations</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80" w:type="dxa"/>
            <w:vAlign w:val="bottom"/>
            <w:gridSpan w:val="2"/>
          </w:tcPr>
          <w:p>
            <w:pPr>
              <w:ind w:left="60"/>
              <w:spacing w:after="0"/>
              <w:rPr>
                <w:sz w:val="20"/>
                <w:szCs w:val="20"/>
                <w:color w:val="auto"/>
              </w:rPr>
            </w:pPr>
            <w:r>
              <w:rPr>
                <w:rFonts w:ascii="Arial" w:cs="Arial" w:eastAsia="Arial" w:hAnsi="Arial"/>
                <w:sz w:val="18"/>
                <w:szCs w:val="18"/>
                <w:color w:val="auto"/>
              </w:rPr>
              <w:t>Consolidated Statement of Changes in Shareholders’ Equity</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80" w:type="dxa"/>
            <w:vAlign w:val="bottom"/>
            <w:gridSpan w:val="2"/>
          </w:tcPr>
          <w:p>
            <w:pPr>
              <w:ind w:left="60"/>
              <w:spacing w:after="0"/>
              <w:rPr>
                <w:sz w:val="20"/>
                <w:szCs w:val="20"/>
                <w:color w:val="auto"/>
              </w:rPr>
            </w:pPr>
            <w:r>
              <w:rPr>
                <w:rFonts w:ascii="Arial" w:cs="Arial" w:eastAsia="Arial" w:hAnsi="Arial"/>
                <w:sz w:val="18"/>
                <w:szCs w:val="18"/>
                <w:color w:val="auto"/>
              </w:rPr>
              <w:t>Consolidated Statement of Cash Flows</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9680" w:type="dxa"/>
            <w:vAlign w:val="bottom"/>
            <w:gridSpan w:val="2"/>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00" w:right="7880" w:hanging="552"/>
        <w:spacing w:after="0" w:line="383" w:lineRule="auto"/>
        <w:tabs>
          <w:tab w:leader="none" w:pos="108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 xml:space="preserve">Financial Statement Schedule </w:t>
      </w:r>
      <w:r>
        <w:rPr>
          <w:rFonts w:ascii="Arial" w:cs="Arial" w:eastAsia="Arial" w:hAnsi="Arial"/>
          <w:sz w:val="18"/>
          <w:szCs w:val="18"/>
          <w:color w:val="auto"/>
        </w:rPr>
        <w:t>None.</w:t>
      </w: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17" w:lineRule="exact"/>
        <w:rPr>
          <w:rFonts w:ascii="Arial" w:cs="Arial" w:eastAsia="Arial" w:hAnsi="Arial"/>
          <w:sz w:val="18"/>
          <w:szCs w:val="18"/>
          <w:color w:val="auto"/>
        </w:rPr>
      </w:pPr>
    </w:p>
    <w:p>
      <w:pPr>
        <w:ind w:left="1100" w:right="120"/>
        <w:spacing w:after="0" w:line="259" w:lineRule="auto"/>
        <w:rPr>
          <w:rFonts w:ascii="Arial" w:cs="Arial" w:eastAsia="Arial" w:hAnsi="Arial"/>
          <w:sz w:val="18"/>
          <w:szCs w:val="18"/>
          <w:color w:val="auto"/>
        </w:rPr>
      </w:pPr>
      <w:r>
        <w:rPr>
          <w:rFonts w:ascii="Arial" w:cs="Arial" w:eastAsia="Arial" w:hAnsi="Arial"/>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COLONNADE ACQUISITION CORP.</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1"/>
        </w:trPr>
        <w:tc>
          <w:tcPr>
            <w:tcW w:w="4960" w:type="dxa"/>
            <w:vAlign w:val="bottom"/>
            <w:vMerge w:val="restart"/>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Report of Independent Registered Public Accounting Firm</w:t>
              </w:r>
            </w:hyperlink>
          </w:p>
        </w:tc>
        <w:tc>
          <w:tcPr>
            <w:tcW w:w="568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5680" w:type="dxa"/>
            <w:vAlign w:val="bottom"/>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Financial Statements:</w:t>
            </w:r>
          </w:p>
        </w:tc>
        <w:tc>
          <w:tcPr>
            <w:tcW w:w="5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Balance Sheet as of December 31, 2020</w:t>
              </w:r>
            </w:hyperlink>
          </w:p>
        </w:tc>
        <w:tc>
          <w:tcPr>
            <w:tcW w:w="568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rFonts w:ascii="Arial" w:cs="Arial" w:eastAsia="Arial" w:hAnsi="Arial"/>
                <w:sz w:val="18"/>
                <w:szCs w:val="18"/>
                <w:u w:val="single" w:color="auto"/>
                <w:color w:val="0000EE"/>
                <w:w w:val="91"/>
              </w:rPr>
            </w:pPr>
            <w:hyperlink w:anchor="page57">
              <w:r>
                <w:rPr>
                  <w:rFonts w:ascii="Arial" w:cs="Arial" w:eastAsia="Arial" w:hAnsi="Arial"/>
                  <w:sz w:val="18"/>
                  <w:szCs w:val="18"/>
                  <w:u w:val="single" w:color="auto"/>
                  <w:color w:val="0000EE"/>
                  <w:w w:val="91"/>
                </w:rPr>
                <w:t>Consolidated Statement of Operations for the period from June</w:t>
              </w:r>
            </w:hyperlink>
          </w:p>
        </w:tc>
        <w:tc>
          <w:tcPr>
            <w:tcW w:w="5680" w:type="dxa"/>
            <w:vAlign w:val="bottom"/>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 2020 (inception) through December 31, 2020</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rFonts w:ascii="Arial" w:cs="Arial" w:eastAsia="Arial" w:hAnsi="Arial"/>
                <w:sz w:val="18"/>
                <w:szCs w:val="18"/>
                <w:u w:val="single" w:color="auto"/>
                <w:color w:val="0000EE"/>
                <w:w w:val="96"/>
              </w:rPr>
            </w:pPr>
            <w:hyperlink w:anchor="page58">
              <w:r>
                <w:rPr>
                  <w:rFonts w:ascii="Arial" w:cs="Arial" w:eastAsia="Arial" w:hAnsi="Arial"/>
                  <w:sz w:val="18"/>
                  <w:szCs w:val="18"/>
                  <w:u w:val="single" w:color="auto"/>
                  <w:color w:val="0000EE"/>
                  <w:w w:val="96"/>
                </w:rPr>
                <w:t>Consolidated Statement of Changes in Shareholders’ Equity for the period from June 4, 2020 (inception) through December 31, 2020</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rFonts w:ascii="Arial" w:cs="Arial" w:eastAsia="Arial" w:hAnsi="Arial"/>
                <w:sz w:val="18"/>
                <w:szCs w:val="18"/>
                <w:u w:val="single" w:color="auto"/>
                <w:color w:val="0000EE"/>
                <w:w w:val="90"/>
              </w:rPr>
            </w:pPr>
            <w:hyperlink w:anchor="page59">
              <w:r>
                <w:rPr>
                  <w:rFonts w:ascii="Arial" w:cs="Arial" w:eastAsia="Arial" w:hAnsi="Arial"/>
                  <w:sz w:val="18"/>
                  <w:szCs w:val="18"/>
                  <w:u w:val="single" w:color="auto"/>
                  <w:color w:val="0000EE"/>
                  <w:w w:val="90"/>
                </w:rPr>
                <w:t>Consolidated Statement of Cash Flows for the period from June</w:t>
              </w:r>
            </w:hyperlink>
          </w:p>
        </w:tc>
        <w:tc>
          <w:tcPr>
            <w:tcW w:w="5680" w:type="dxa"/>
            <w:vAlign w:val="bottom"/>
          </w:tcPr>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4, 2020 (inception) through December 31, 2020</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Notes to Consolidated Financial Statements</w:t>
              </w:r>
            </w:hyperlink>
          </w:p>
        </w:tc>
        <w:tc>
          <w:tcPr>
            <w:tcW w:w="568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365"/>
        </w:trPr>
        <w:tc>
          <w:tcPr>
            <w:tcW w:w="4960" w:type="dxa"/>
            <w:vAlign w:val="bottom"/>
          </w:tcPr>
          <w:p>
            <w:pPr>
              <w:spacing w:after="0"/>
              <w:rPr>
                <w:sz w:val="24"/>
                <w:szCs w:val="24"/>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Colonnade Acquisition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audited the accompanying consolidated balance sheet of Colonnade Acquisition Corp. (the “Company”) as of December 31, 2020, the related consolidated statements of operations, changes in shareholders’ equity and cash flows for the period from June 4,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4, 2020 (inception) through December 31, 2020,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more fully described in Note 1 to the financial statements, the Company’s business plan is dependent on the completion of a business combination and the Company’s cash and working capital as of December 31, 2020 are not sufficient to complete its planned activities,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Marcum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Marcum LLP</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r>
        <w:rPr>
          <w:rFonts w:ascii="Arial" w:cs="Arial" w:eastAsia="Arial" w:hAnsi="Arial"/>
          <w:sz w:val="18"/>
          <w:szCs w:val="18"/>
          <w:b w:val="1"/>
          <w:bCs w:val="1"/>
          <w:color w:val="auto"/>
        </w:rPr>
        <w: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8,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20" w:type="dxa"/>
            <w:vAlign w:val="bottom"/>
          </w:tcPr>
          <w:p>
            <w:pPr>
              <w:spacing w:after="0"/>
              <w:rPr>
                <w:sz w:val="24"/>
                <w:szCs w:val="24"/>
                <w:color w:val="auto"/>
              </w:rPr>
            </w:pPr>
          </w:p>
        </w:tc>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rPr>
              <w:t>COLONNADE ACQUISITION CORP.</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tcPr>
          <w:p>
            <w:pPr>
              <w:jc w:val="center"/>
              <w:ind w:left="1010"/>
              <w:spacing w:after="0"/>
              <w:rPr>
                <w:sz w:val="20"/>
                <w:szCs w:val="20"/>
                <w:color w:val="auto"/>
              </w:rPr>
            </w:pPr>
            <w:r>
              <w:rPr>
                <w:rFonts w:ascii="Arial" w:cs="Arial" w:eastAsia="Arial" w:hAnsi="Arial"/>
                <w:sz w:val="18"/>
                <w:szCs w:val="18"/>
                <w:b w:val="1"/>
                <w:bCs w:val="1"/>
                <w:color w:val="auto"/>
                <w:w w:val="99"/>
              </w:rPr>
              <w:t>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900" w:type="dxa"/>
            <w:vAlign w:val="bottom"/>
          </w:tcPr>
          <w:p>
            <w:pPr>
              <w:jc w:val="center"/>
              <w:ind w:left="1010"/>
              <w:spacing w:after="0"/>
              <w:rPr>
                <w:sz w:val="20"/>
                <w:szCs w:val="20"/>
                <w:color w:val="auto"/>
              </w:rPr>
            </w:pPr>
            <w:r>
              <w:rPr>
                <w:rFonts w:ascii="Arial" w:cs="Arial" w:eastAsia="Arial" w:hAnsi="Arial"/>
                <w:sz w:val="18"/>
                <w:szCs w:val="18"/>
                <w:b w:val="1"/>
                <w:bCs w:val="1"/>
                <w:color w:val="auto"/>
                <w:w w:val="96"/>
              </w:rPr>
              <w:t>DECEMBER 31, 2020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200,061,054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201,073,149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2,348,246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offering costs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2,348,346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9,348,346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Class A ordinary shares subject to possible redemption, 18,666,781 shares at redemption value</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186,724,794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200,000,000 shares authorized; 1,333,219 shares issued and outstanding (excluding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18,666,781 shares subject to possible redemption)</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Class B ordinary shares, $0.0001 par value; 20,000,000 shares authorized; 5,000,000 shares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7,701,942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(2,702,566)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201,073,149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9660" w:type="dxa"/>
            <w:vAlign w:val="bottom"/>
            <w:gridSpan w:val="2"/>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20" w:type="dxa"/>
            <w:vAlign w:val="bottom"/>
          </w:tcPr>
          <w:p>
            <w:pPr>
              <w:spacing w:after="0"/>
              <w:rPr>
                <w:sz w:val="24"/>
                <w:szCs w:val="24"/>
                <w:color w:val="auto"/>
              </w:rPr>
            </w:pPr>
          </w:p>
        </w:tc>
        <w:tc>
          <w:tcPr>
            <w:tcW w:w="9540" w:type="dxa"/>
            <w:vAlign w:val="bottom"/>
          </w:tcPr>
          <w:p>
            <w:pPr>
              <w:jc w:val="center"/>
              <w:ind w:left="1390"/>
              <w:spacing w:after="0"/>
              <w:rPr>
                <w:sz w:val="20"/>
                <w:szCs w:val="20"/>
                <w:color w:val="auto"/>
              </w:rPr>
            </w:pPr>
            <w:r>
              <w:rPr>
                <w:rFonts w:ascii="Arial" w:cs="Arial" w:eastAsia="Arial" w:hAnsi="Arial"/>
                <w:sz w:val="18"/>
                <w:szCs w:val="18"/>
                <w:b w:val="1"/>
                <w:bCs w:val="1"/>
                <w:color w:val="auto"/>
              </w:rPr>
              <w:t>COLONNADE ACQUISITION CORP.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STATEMENT OF OPERATIONS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54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FOR THE PERIOD FROM JUNE 4, 2020 (INCEPTION) THROUGH DECEMBER 31, 2020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operational costs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2,763,620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(2,763,620)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57,914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 held in Trust Account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(2,702,566)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4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Class A ordinary shares subject to redemption</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18,938,199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 ordinary shares subject to redemption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4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ordinary shares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6,150,329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COLONNADE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JUNE 4, 2020 (INCEPTION) THROUGH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52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0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Ordinary Shares</w:t>
            </w: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2"/>
                <w:szCs w:val="12"/>
                <w:color w:val="auto"/>
              </w:rPr>
            </w:pPr>
          </w:p>
        </w:tc>
        <w:tc>
          <w:tcPr>
            <w:tcW w:w="10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81"/>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4, 2020 (inception)</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5,750,000</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20,000,000 Units, net of underwriting</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 and offering costs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2,000</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188,400,369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188,402,369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Sale of 6,000,000 Private Placement Warrants</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Class A ordinary shares subject to possible</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(18,666,781)</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(1,867)</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(186,722,927)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(186,724,794)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(2,702,566)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(2,702,566)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b w:val="1"/>
                <w:bCs w:val="1"/>
                <w:color w:val="auto"/>
              </w:rPr>
              <w:t>Balance – 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1,333,219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133</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5,000,000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500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7,701,942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(2,702,566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9960" w:type="dxa"/>
            <w:vAlign w:val="bottom"/>
            <w:gridSpan w:val="2"/>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20" w:type="dxa"/>
            <w:vAlign w:val="bottom"/>
          </w:tcPr>
          <w:p>
            <w:pPr>
              <w:spacing w:after="0"/>
              <w:rPr>
                <w:sz w:val="24"/>
                <w:szCs w:val="24"/>
                <w:color w:val="auto"/>
              </w:rPr>
            </w:pPr>
          </w:p>
        </w:tc>
        <w:tc>
          <w:tcPr>
            <w:tcW w:w="9840" w:type="dxa"/>
            <w:vAlign w:val="bottom"/>
          </w:tcPr>
          <w:p>
            <w:pPr>
              <w:jc w:val="center"/>
              <w:ind w:left="1090"/>
              <w:spacing w:after="0"/>
              <w:rPr>
                <w:sz w:val="20"/>
                <w:szCs w:val="20"/>
                <w:color w:val="auto"/>
              </w:rPr>
            </w:pPr>
            <w:r>
              <w:rPr>
                <w:rFonts w:ascii="Arial" w:cs="Arial" w:eastAsia="Arial" w:hAnsi="Arial"/>
                <w:sz w:val="18"/>
                <w:szCs w:val="18"/>
                <w:b w:val="1"/>
                <w:bCs w:val="1"/>
                <w:color w:val="auto"/>
              </w:rPr>
              <w:t>COLONNADE ACQUISITION CORP.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jc w:val="center"/>
              <w:ind w:left="1070"/>
              <w:spacing w:after="0"/>
              <w:rPr>
                <w:sz w:val="20"/>
                <w:szCs w:val="20"/>
                <w:color w:val="auto"/>
              </w:rPr>
            </w:pPr>
            <w:r>
              <w:rPr>
                <w:rFonts w:ascii="Arial" w:cs="Arial" w:eastAsia="Arial" w:hAnsi="Arial"/>
                <w:sz w:val="18"/>
                <w:szCs w:val="18"/>
                <w:b w:val="1"/>
                <w:bCs w:val="1"/>
                <w:color w:val="auto"/>
                <w:w w:val="99"/>
              </w:rPr>
              <w:t>STATEMENT OF CASH FLOWS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84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FOR THE PERIOD FROM JUNE 4, 2020 (INCEPTION) THROUGH DECEMBER 31,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(2,702,566)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(57,914)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 held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(314,138)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(729,512)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(200,000,000</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3"/>
              </w:rPr>
              <w:t>196,000,000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(126,005)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(572,531)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201,427,469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697,957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3"/>
              </w:rPr>
              <w:t>189,422,360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(2,697,566)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Deferred underwriting fee payable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paid directly by Sponsor from proceeds from issuance of Class B ordinary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Offering costs included in accrued offering costs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COLONNADE ACQUISITION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Colonnade Acquisition Corp. (the “Company”) is a blank check company incorporated as a Cayman Islands exempted company on June 4, 2020. The Company was formed for the purpose of effecting a merger, share exchange, asset acquisition, share purchase, reorganization or similar business combination with one or more businesses (“Business Combination”).</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Although the Company is not limited to a particular industry or geographic region for purposes of completing a Business Combination, the Company intends to focus on industries that complements the Company’s management team’s expertise and network of relationships in the natural resources, energy, real estate and agricultural industries.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has one subsidiary, Beam Merger Sub, Inc. (formerly known as C-Sweet Sub, Inc,), a direct wholly owned subsidiary of the Company incorporated in Delaware on December 15, 2020 (“Merger Sub”).</w:t>
      </w:r>
    </w:p>
    <w:p>
      <w:pPr>
        <w:spacing w:after="0" w:line="170"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As of December 31, 2020, the Company had not commenced any operations. All activity for the period from June 4, 2020 (inception) through December 31, 2020 relates to the Company’s formation, the initial public offering (“Initial Public Offering”), which is described below, identifying a target company for a Business Combination, and activities in connection with the proposed acquisition of Ouster, Inc., a Delaware corporation (“Ouster”) (see Note 6).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6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registration statement for the Company’s Initial Public Offering became effective on August 20, 2020. On August 25, 2020, the Company consummated the Initial Public Offering of 20,000,000 units (the “Units” and, with respect to the Class A ordinary shares included in the Units sold, the “Public Shares”), at $10.00 per Unit, generating gross proceeds of $200,000,000, which is described in Note 3.</w:t>
      </w:r>
    </w:p>
    <w:p>
      <w:pPr>
        <w:spacing w:after="0" w:line="165"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Colonnade Sponsor LLC (the “Sponsor”), generating gross proceeds of $6,000,000, which is described in Note 4.</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Transaction costs amounted to $11,597,631, consisting of $4,000,000 of underwriting fees, $7,000,000 of deferred underwriting fees and $597,631 of other offering costs.</w:t>
      </w:r>
    </w:p>
    <w:p>
      <w:pPr>
        <w:spacing w:after="0" w:line="17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Following the closing of the Initial Public Offering on August 25, 2020, an amount of $200,000,000 ($10.00 per Unit) from the net proceeds of the sale of the Units in the Initial Public Offering and the sale of the Private Placement Warrants was placed in a trust account (the “Trust Account”) invested in U.S. government securities, within the meaning set forth in Section 2(a)(16) of the Investment Company Act of 1940, as amended (the “Investment Company Act”), with a maturity of 185 days or less, or in any open-ended investment company that holds itself out as a money market fund meeting certain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164"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completing a Business Combination. The Company must complete its initial Business Combination with one or more target businesses that together have a fair market value equal to at least 80% of the net assets held in the Trust Account (excluding the amount of any deferred underwriting commissions held in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6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The shareholders will be entitled to redeem their shares for a pro rata portion of the amount held in the Trust Account (initially $10.00 per share), calculated as of two business days prior to the completion of a Business Combination, including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If the Company seeks shareholder approval, the Company will complete a Business Combination only if it receives an ordinary resolution under Cayman Islands law approving a Business Combination, which requires the affirmative vote of a majority of the shareholders who vote at a general meeting of the Company. If a shareholder vote is not required under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in or after the Initial Public Offering in favor of approving a Business Combination and to waive its redemption rights with respect to any such shares in connection with a shareholder vote to approve a Business Combination. However, in no event will the Company redeem its Public Shares in an amount that would cause its net tangible assets to be less than $5,000,001. In such case, the Company would not proceed with the redemption of its Public Shares and the related Business Combination, and instead may search for an alternate Business Combination. Additionally, each public shareholder may elect to redeem its Public Shares, without voting, and if they do vote, irrespective of whether they vote for or against a proposed Business Combination.</w:t>
      </w:r>
    </w:p>
    <w:p>
      <w:pPr>
        <w:spacing w:after="0" w:line="186"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Notwithstanding the foregoing, 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20% of the Public Shares without the Company’s prior written consent.</w:t>
      </w:r>
    </w:p>
    <w:p>
      <w:pPr>
        <w:spacing w:after="0" w:line="176"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120" w:right="200" w:hanging="4"/>
        <w:spacing w:after="0" w:line="25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modify the substance or timing of the Company’s obligation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in conjunction with any such amendment and (iii) to waive its rights to liquidating distributions from the Trust Account with respect to the Founder Shares if the Company fails to complete a Business Combination.</w:t>
      </w:r>
    </w:p>
    <w:p>
      <w:pPr>
        <w:spacing w:after="0" w:line="19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Company will have until August 25, 2022 (the “Combination Period”) to complete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w:t>
      </w:r>
    </w:p>
    <w:p>
      <w:pPr>
        <w:spacing w:after="0" w:line="165"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by a prospective target business with which the Company has entered into a written letter of intent, confidentiality or other similar agreement or business combination agreement, reduce the amount of funds in the Trust Account to below the lesser of (1) $10.00 per Public Share and</w:t>
      </w:r>
    </w:p>
    <w:p>
      <w:pPr>
        <w:spacing w:after="0" w:line="2" w:lineRule="exact"/>
        <w:rPr>
          <w:sz w:val="20"/>
          <w:szCs w:val="20"/>
          <w:color w:val="auto"/>
        </w:rPr>
      </w:pPr>
    </w:p>
    <w:p>
      <w:pPr>
        <w:ind w:left="120" w:right="160" w:hanging="4"/>
        <w:spacing w:after="0" w:line="268" w:lineRule="auto"/>
        <w:tabs>
          <w:tab w:leader="none" w:pos="3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actual amount per Public Share held in the Trust Account as of the date of the liquidation of the Trust Account, if less than $10.00 per Public Share due to reductions in the value of trust assets, less taxes payable. This liability will not apply to any claims by a third party or prospective target business who executed a waiver of any and all rights to the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public accountants), prospective target businesses or other entities with which the Company does business, execute agreements with the Company waiving any right, title, interest or claim of any kind in or to monies held in the Trust Account.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As of December 31, 2020, the Company had $697,957 in its operating bank accounts, $200,061,054 in securities held in the Trust Account to be used for a Business Combination or to repurchase or redeem its ordinary shares in connection therewith and working capital deficit of $1,336,251. As of December 31, 2020, approximately $61,000 of the amount on deposit in the Trust Account represented interest income, which is available to pay the Company’s tax obligations.</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84"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August 25, 2022, the deadline to complete a Business Combination pursuant to the Company’s Amended and Restated Certificate of Incorporation (unless otherwise amended by stockholders). These financial statements do not include any adjustments relating to the recovery of the recorded assets or the classification of the liabilities that might be necessary should the Company be unable to continue as a going concern.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w:t>
      </w:r>
    </w:p>
    <w:p>
      <w:pPr>
        <w:spacing w:after="0" w:line="184"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December 31, 2020, substantially all of the assets held in the Trust Account were held in money market funds, which primarily invest in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Treasury Bills.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Net income (loss) per ordinary share is computed by dividing net income by the weighted-average number of ordinary shares outstanding during the period. The Company has not considered the effect of the warrants sold in the Public Offering and Private Placement to purchase an aggregate of 16,000,000 shares in the calculation of diluted loss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Company’s statement of operations includes a presentation of income (loss) per share for Class A ordinary shares subject to possible redemption in a manner similar to the two-class method of income (loss) per ordinary share. Net income (loss) per ordinary share, basic and diluted, for Class A Ordinary shares subject to possible redemption is calculated by dividing the proportionate share of income or loss on marketable securities held by the Trust Account by the weighted average number of Class A Ordinary shares subject to possible redemption outstanding since original issuance.</w:t>
      </w:r>
    </w:p>
    <w:p>
      <w:pPr>
        <w:spacing w:after="0" w:line="15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Net income (loss) per share, basic and diluted, for non-redeemable ordinary shares is calculated by dividing the net loss, adjusted for income or loss on marketable securities attributable to Class A Ordinary shares subject to possible redemption, by the weighted average number of non-redeemable ordinary shares outstanding for the period.</w:t>
      </w:r>
    </w:p>
    <w:p>
      <w:pPr>
        <w:spacing w:after="0" w:line="184" w:lineRule="exact"/>
        <w:rPr>
          <w:sz w:val="20"/>
          <w:szCs w:val="20"/>
          <w:color w:val="auto"/>
        </w:rPr>
      </w:pPr>
    </w:p>
    <w:p>
      <w:pPr>
        <w:ind w:left="120" w:right="20"/>
        <w:spacing w:after="0" w:line="381" w:lineRule="auto"/>
        <w:rPr>
          <w:sz w:val="20"/>
          <w:szCs w:val="20"/>
          <w:color w:val="auto"/>
        </w:rPr>
      </w:pPr>
      <w:r>
        <w:rPr>
          <w:rFonts w:ascii="Arial" w:cs="Arial" w:eastAsia="Arial" w:hAnsi="Arial"/>
          <w:sz w:val="15"/>
          <w:szCs w:val="15"/>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June 4, 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Class A Ordinary shares subject to possible redemption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Numerator: Earnings allocable to Class A Ordinary shares subject to possible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Unrealized gain on investments held in Trust Account</w:t>
            </w: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income allocable to Class A Ordinary shares subject to possible</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56,982</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Denominator: Weighted Average Class A Ordinary shares subject to possible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18,938,199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income per share</w:t>
            </w: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Non-Redeemable Ordinary Shares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Numerator: Net Loss minus Net Earnings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(2,702,566)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ind w:left="340"/>
              <w:spacing w:after="0" w:line="201" w:lineRule="exact"/>
              <w:rPr>
                <w:sz w:val="20"/>
                <w:szCs w:val="20"/>
                <w:color w:val="auto"/>
              </w:rPr>
            </w:pPr>
            <w:r>
              <w:rPr>
                <w:rFonts w:ascii="Arial" w:cs="Arial" w:eastAsia="Arial" w:hAnsi="Arial"/>
                <w:sz w:val="18"/>
                <w:szCs w:val="18"/>
                <w:color w:val="auto"/>
              </w:rPr>
              <w:t>Less: Net income allocable to Class A Ordinary shares subject to possible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redemption</w:t>
            </w:r>
          </w:p>
        </w:tc>
        <w:tc>
          <w:tcPr>
            <w:tcW w:w="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Non-Redeemable 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(2,759,548)</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6,150,329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As of December 31, 2020, the Company has not experienced losses on this account and management believes the Company is not exposed to significant risks on such account.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 primarily due to their short-term nature.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consolidated financial statements.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389"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Pursuant to the Initial Public Offering, the Company sold 20,000,000 Units, at a purchase price of $10.00 per Unit. Each Unit consists of one Class A ordinary share and one-half of one redeemable warrant (“Public Warrant”). Each whole Public Warrant entitles the holder to purchase one Class A ordinary share at an exercise price of $11.50 per share, subject to adjustment (see Note 7).</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Each Private Placement Warrant is exercisable for one Class A ordinary share at a price of $11.50 per share, subject to adjustment (see Note 7). The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On June 30, 2020, the Sponsor paid an aggregate of $25,000 to cover certain offering costs of the Company in consideration for 5,750,000 of the Company’s Class B ordinary shares (the “Founder Shares”). The Founder Shares included an aggregate of up to 750,000 shares that were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On October 9, 2020, the underwriters’ election to exercise their over-allotment option expired unexercised, resulting in the forfeiture of 750,000 Founder Shares. Accordingly, as of December 31, 2020, there are 5,000,000 Founder Shares issued and outstanding (see Note 7).</w:t>
      </w:r>
    </w:p>
    <w:p>
      <w:pPr>
        <w:spacing w:after="0" w:line="16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amalgamation, share exchange, reorganization</w:t>
      </w:r>
    </w:p>
    <w:p>
      <w:pPr>
        <w:spacing w:after="0" w:line="176"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or other similar transaction that results in all of the Company’s shareholders having the right to exchange their Class A ordinary shares for cash, securities or other property.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The Company entered into an agreement whereby, commencing on August 21, 2020, the Company will pay the Sponsor $10,000 per month for office space, utilities, secretarial and administrative support services. Upon completion of a Business Combination or its liquidation, the Company will cease paying these monthly fees. For the period from June 4, 2020 (inception) through December 31, 2020, the Company incurred and paid $40,000 of such fees.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Due to Sponsor</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Sponsor advanced $600,000 to the Company in anticipation of the amount to be paid for the purchase of additional Private Placement Units in the event the underwriters’ exercised their over-allotment option. The advance was due on demand should the over-allotment option not be exercised by the underwriters. On September 23, 2020, the $600,000 was returned to the Sponsor as the over-allotment option was not exercised.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On June 30, 2020, the Sponsor agreed to loan the Company up to an aggregate amount of $300,000 to be used, in part, for transaction costs incurred in connection with the Initial Public Offering (the “Promissory Note”). The Promissory Note was non-interest bearing and payable on the earlier of</w:t>
      </w:r>
    </w:p>
    <w:p>
      <w:pPr>
        <w:ind w:left="120" w:right="420" w:hanging="4"/>
        <w:spacing w:after="0" w:line="260"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December 31, 2020 and (ii) the completion of the Initial Public Offering. The outstanding balance under the Note of $126,005 was repaid at the closing of the Initial Public Offering on August 25, 2020.</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Pursuant to a registration rights agreement entered into on August 20, 2020, the holders of the Founder Shares, Private Placement Warrants and warrants that may be issued upon conversion of the Working Capital Loans (and any Class A ordinary shares issuable upon the exercise of the Private Placement Warrants and warrants that may be issued upon conversion of Working Capital Loans and upon conversion of the Founder Shares) are entitled to registration rights requiring the Company to register a sale of any of the securities held by them, including any other securities of the Company acquired by them prior to the consummation of the Company’s initial Business Combination.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underwriters are entitled to a deferred fee of $0.35 per Unit, or $7,000,000 in the aggregate. A portion of such amount not to exceed 40% of the total amount of deferred underwriting commissions held in the Trust Account may be paid at the sole discretion of the Company to parties who may or may not participate in the Initial Public Offering (but who are members of FINRA) that assist the Company in consummating a Business Combination. The election to make such payments to such parties will be solely at the discretion of the Company’s management team. The deferred fee will become payable to the underwriters from the amounts held in the Trust Account solely in the event that the Company completes a Business Combination, subject to the terms of the underwriting agreement.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and Consulting Agreements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On December 4, 2020, the Company entered into an agreement with a service provider, pursuant to which the service provider will serve as the placement agent for the Company in connection with a proposed private placement (the “Proposed Transaction”) of the Company’s equity or equity-linked securities (the “Equity Securities”). The Company agreed to pay the service provider a cash fee of equal to 50% of 3.5% of the gross proceeds of the total fair market of the Equity Securities sold in the Proposed Transaction subject to a minimum fee of $1,000,000 and reimbursable expenses not to exceed $50,000 without the Company’s prior written consent. As of December 31, 2020, no amounts were incurred under this agreement.</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December 4, 2020, the Company entered into an agreement with a service provider, pursuant to which the service provider will serve as media relations, due diligence, and transaction prep for the Company in connection with a proposed business combination. The Company agreed to pay the service provider a cash fee of (i) $15,000 per month until the consummation of a Business Combination, (ii) $200,000 payable only upon consummation of a Business Combination and (iii) a discretionary performance bonus in the amount of $200,000 upon the consummation of the Business Combination, at the sole discretion of the Company. As of December 31, 2020, the Company incurred $4,839 under this agreement, of which is included in accrued expenses in the accompanying balance sheet.</w:t>
      </w:r>
    </w:p>
    <w:p>
      <w:pPr>
        <w:spacing w:after="0" w:line="192"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On December 5, 2020, the Company entered into an agreement with a service provider, pursuant to which the service provider will serve as the co-placement agent for the Company in connection with a proposed private placement (the “Transaction”) of the Company’s equity or equity-linked securities (the “Securities”). The Company agreed to pay the service provider a cash fee of $2,800,000, payable at the closing of the Business Combination and a cash fee equal to 50% of 3.5% of the gross proceeds of the total Securities sold in the Transaction subject to a minimum fee of $2,200,000. As of December 31, 2020, no amounts were incurred under this agreement.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jc w:val="both"/>
        <w:ind w:left="120" w:right="120"/>
        <w:spacing w:after="0" w:line="277" w:lineRule="auto"/>
        <w:rPr>
          <w:sz w:val="20"/>
          <w:szCs w:val="20"/>
          <w:color w:val="auto"/>
        </w:rPr>
      </w:pPr>
      <w:r>
        <w:rPr>
          <w:rFonts w:ascii="Arial" w:cs="Arial" w:eastAsia="Arial" w:hAnsi="Arial"/>
          <w:sz w:val="18"/>
          <w:szCs w:val="18"/>
          <w:color w:val="auto"/>
        </w:rPr>
        <w:t>On December 21, 2020, the Company entered into an Agreement and Plan of Merger (the “Merger Agreement”), with Merger Sub and Ouster, relating to a proposed business combination transaction between the Company and Ouster.</w:t>
      </w:r>
    </w:p>
    <w:p>
      <w:pPr>
        <w:spacing w:after="0" w:line="170" w:lineRule="exact"/>
        <w:rPr>
          <w:sz w:val="20"/>
          <w:szCs w:val="20"/>
          <w:color w:val="auto"/>
        </w:rPr>
      </w:pPr>
    </w:p>
    <w:p>
      <w:pPr>
        <w:jc w:val="both"/>
        <w:ind w:left="120" w:right="160"/>
        <w:spacing w:after="0" w:line="308" w:lineRule="auto"/>
        <w:rPr>
          <w:sz w:val="20"/>
          <w:szCs w:val="20"/>
          <w:color w:val="auto"/>
        </w:rPr>
      </w:pPr>
      <w:r>
        <w:rPr>
          <w:rFonts w:ascii="Arial" w:cs="Arial" w:eastAsia="Arial" w:hAnsi="Arial"/>
          <w:sz w:val="17"/>
          <w:szCs w:val="17"/>
          <w:color w:val="auto"/>
        </w:rPr>
        <w:t>Pursuant to the Merger Agreement, Merger Sub will merge with and into Ouster, the separate corporate existence of Merger Sub will cease and Ouster will be the surviving corporation and a wholly owned subsidiary of the Company (the “Merger”) and will be renamed Ouster Inc.</w:t>
      </w:r>
    </w:p>
    <w:p>
      <w:pPr>
        <w:spacing w:after="0" w:line="14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As a result of the Merger, among other things, all outstanding shares of capital stock of Ouster will be cancelled in exchange for the right to receive, in the aggregate, a number of shares of Ouster PubCo common stock (as defined in the Merger Agreement) equal to the quotient obtained by dividing (x) $1,500,000,000 by (y) $10.00.</w:t>
      </w:r>
    </w:p>
    <w:p>
      <w:pPr>
        <w:spacing w:after="0" w:line="18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SHAREHOLDERS’ EQUITY</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b w:val="1"/>
          <w:bCs w:val="1"/>
          <w:i w:val="1"/>
          <w:iCs w:val="1"/>
          <w:color w:val="auto"/>
        </w:rPr>
        <w:t>Preference Shares</w:t>
      </w:r>
      <w:r>
        <w:rPr>
          <w:rFonts w:ascii="Arial" w:cs="Arial" w:eastAsia="Arial" w:hAnsi="Arial"/>
          <w:sz w:val="16"/>
          <w:szCs w:val="16"/>
          <w:color w:val="auto"/>
        </w:rPr>
        <w:t>—The Company is authorized to issue 1,000,000 preference shares with a par value of $0.0001. The Company’s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preference shares with voting and other rights that could adversely affect the voting power and other rights of the holders of the ordinary shares and could have anti-takeover effects. At December 31, 2020, there were no preference shares issued or outstanding.</w:t>
      </w:r>
    </w:p>
    <w:p>
      <w:pPr>
        <w:spacing w:after="0" w:line="16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200,000,000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entitled to one vote for each share. At December 31, 2020, there were 1,333,219 Class A ordinary shares issued and outstanding, excluding 18,666,781 Class A ordinary shares subject to possible redemption.</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B ordinary shares are entitled to one vote for each share. At December 31, 2020, there were 5,000,000 Class B ordinary shares issued and outstanding.</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Only holders of the Class B ordinary shares will have the right to vote on the election of directors prior to the Business Combination. Holders of Class A ordinary shares and holders of Class B ordinary shares will vote together as a single class on all other matters submitted to a vote of the Company’s shareholders except as otherwise required by law.</w:t>
      </w:r>
    </w:p>
    <w:p>
      <w:pPr>
        <w:spacing w:after="0" w:line="18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 Class B ordinary shares will automatically convert into Class A ordinary shares concurrently with or immediately following the completion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9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warrants will be issued upon separation of the Units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whole warrants will trade.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In addition, if the Class A ordinary shares are at the time of any exercise of a warrant not listed on a national securities exchange such that they satisfy the definition of a “covered security” under Section 18(b)(1) of the Securities Act, the Company may, at its option, require holders of the Public Warrants who exercise their warrants to do so on a “cashless basis” in accordance with Section 3(a)(9) of the Securities Act and, in the event the Company elects to do so, the Company will not be required to file or maintain in effect a registration statement, but it will use its best efforts to register or qualify the shares under applicable blue sky laws to the extent an exemption is not available.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warrants become exercisable, the Company may redeem the outstanding Public Warrants:</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and only if, the reported closing price of the ordinary shares equals or exceeds $18.00 per share (as adjusted for share splits, share capitalizations, reorganizations, recapitalizations and the like) for any 20 trading days within a 30-trading day period ending three business days before the Company send to the notice of redemption to the warrant holders.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and (z) the volume weighted average trading price of the Class A ordinary shares during the 20 trading day period starting on the trading day prior to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(x) the Private Placement Warrants and the Class A ordinary shares issuable upon the exercise of the Private Placement Warrants will not be transferable, assignable or salable until 30 days after the completion of a Business Combination, subject to certain limited exceptions, (y) the Private Placement Warrants will be exercisable on a cashless basis and be non-redeemable so long as they are held by the initial purchasers or their permitted transferees and (z) the Private Placement Warrants and the Class A ordinary shares issuable upon exercise of the Private Placement Warrants will be entitled to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FAIR VALUE MEASUREMENTS</w:t>
      </w:r>
    </w:p>
    <w:p>
      <w:pPr>
        <w:spacing w:after="0" w:line="121"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98" w:lineRule="exact"/>
        <w:rPr>
          <w:sz w:val="20"/>
          <w:szCs w:val="20"/>
          <w:color w:val="auto"/>
        </w:rPr>
      </w:pPr>
    </w:p>
    <w:p>
      <w:pPr>
        <w:jc w:val="both"/>
        <w:ind w:left="1960" w:right="40" w:hanging="1498"/>
        <w:spacing w:after="0" w:line="263" w:lineRule="auto"/>
        <w:tabs>
          <w:tab w:leader="none" w:pos="1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6" w:lineRule="exact"/>
        <w:rPr>
          <w:sz w:val="20"/>
          <w:szCs w:val="20"/>
          <w:color w:val="auto"/>
        </w:rPr>
      </w:pPr>
    </w:p>
    <w:p>
      <w:pPr>
        <w:ind w:left="1960" w:right="240" w:hanging="1498"/>
        <w:spacing w:after="0" w:line="308" w:lineRule="auto"/>
        <w:tabs>
          <w:tab w:leader="none" w:pos="1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38" w:lineRule="exact"/>
        <w:rPr>
          <w:sz w:val="20"/>
          <w:szCs w:val="20"/>
          <w:color w:val="auto"/>
        </w:rPr>
      </w:pPr>
    </w:p>
    <w:p>
      <w:pPr>
        <w:ind w:left="1960" w:right="300" w:hanging="1498"/>
        <w:spacing w:after="0" w:line="277" w:lineRule="auto"/>
        <w:tabs>
          <w:tab w:leader="none" w:pos="1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our assessment of the assumptions that market participants would use in pricing the asset or liability.</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560" w:type="dxa"/>
            <w:vAlign w:val="bottom"/>
          </w:tcPr>
          <w:p>
            <w:pPr>
              <w:spacing w:after="0"/>
              <w:rPr>
                <w:sz w:val="16"/>
                <w:szCs w:val="16"/>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Level</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spacing w:after="0"/>
              <w:rPr>
                <w:sz w:val="20"/>
                <w:szCs w:val="20"/>
                <w:color w:val="auto"/>
              </w:rPr>
            </w:pPr>
            <w:r>
              <w:rPr>
                <w:rFonts w:ascii="Arial" w:cs="Arial" w:eastAsia="Arial" w:hAnsi="Arial"/>
                <w:sz w:val="18"/>
                <w:szCs w:val="18"/>
                <w:color w:val="auto"/>
                <w:w w:val="98"/>
              </w:rPr>
              <w:t>$  200,061,054</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960" w:type="dxa"/>
            <w:vAlign w:val="bottom"/>
            <w:tcBorders>
              <w:bottom w:val="single" w:sz="8" w:color="0000EE"/>
            </w:tcBorders>
            <w:gridSpan w:val="33"/>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Agreement and Plan of Merger, dated as of December 21, 2020, by and among Colonnade Acquisition Corp., Beam Merger Sub, Inc.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33"/>
          </w:tcPr>
          <w:p>
            <w:pPr>
              <w:spacing w:after="0" w:line="196" w:lineRule="exact"/>
              <w:rPr>
                <w:rFonts w:ascii="Arial" w:cs="Arial" w:eastAsia="Arial" w:hAnsi="Arial"/>
                <w:sz w:val="18"/>
                <w:szCs w:val="18"/>
                <w:color w:val="0000EE"/>
                <w:w w:val="97"/>
              </w:rPr>
            </w:pPr>
            <w:hyperlink r:id="rId86">
              <w:r>
                <w:rPr>
                  <w:rFonts w:ascii="Arial" w:cs="Arial" w:eastAsia="Arial" w:hAnsi="Arial"/>
                  <w:sz w:val="18"/>
                  <w:szCs w:val="18"/>
                  <w:color w:val="0000EE"/>
                  <w:w w:val="97"/>
                </w:rPr>
                <w:t>Ouster, Inc. (Incorporated by reference to the corresponding exhibit to the Company’s Registration Statement on Form S-4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No. 333-251611), filed with the SEC on December 22, 2020).</w:t>
              </w:r>
            </w:hyperlink>
          </w:p>
        </w:tc>
        <w:tc>
          <w:tcPr>
            <w:tcW w:w="7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220" w:type="dxa"/>
            <w:vAlign w:val="bottom"/>
            <w:tcBorders>
              <w:bottom w:val="single" w:sz="8" w:color="0000EE"/>
            </w:tcBorders>
            <w:gridSpan w:val="18"/>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Amended and Restated Memorandum and Articles of Association (Incorporated by reference to the corresponding exhibit to the</w:t>
              </w:r>
            </w:hyperlink>
          </w:p>
        </w:tc>
        <w:tc>
          <w:tcPr>
            <w:tcW w:w="7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33"/>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Company’s Current Report on Form 8-K (File No. 001-39463), filed with the SEC on August 25,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60" w:type="dxa"/>
            <w:vAlign w:val="bottom"/>
            <w:gridSpan w:val="33"/>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Specimen Unit Certificate (Incorporated by reference to the corresponding exhibit to the Company’s Registration Statement on Form S-l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(File No. 333-240378), filed with the SEC on August 4, 2020).</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20" w:type="dxa"/>
            <w:vAlign w:val="bottom"/>
            <w:tcBorders>
              <w:bottom w:val="single" w:sz="8" w:color="0000EE"/>
            </w:tcBorders>
            <w:gridSpan w:val="31"/>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Specimen Ordinary Share Certificate (Incorporated by reference to the corresponding exhibit to the Company’s Registration Statement on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Form S-l (File No. 333-240378), filed with the SEC on August 4, 2020).</w:t>
              </w:r>
            </w:hyperlink>
          </w:p>
        </w:tc>
        <w:tc>
          <w:tcPr>
            <w:tcW w:w="47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960" w:type="dxa"/>
            <w:vAlign w:val="bottom"/>
            <w:gridSpan w:val="33"/>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Specimen Warrant Certificate (Incorporated by reference to the corresponding exhibit to the Company’s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S-l (File No. 333-240378), filed with the SEC on August 4, 2020).</w:t>
              </w:r>
            </w:hyperlink>
          </w:p>
        </w:tc>
        <w:tc>
          <w:tcPr>
            <w:tcW w:w="5040" w:type="dxa"/>
            <w:vAlign w:val="bottom"/>
            <w:tcBorders>
              <w:top w:val="single" w:sz="8" w:color="0000EE"/>
            </w:tcBorders>
            <w:gridSpan w:val="15"/>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9600" w:type="dxa"/>
            <w:vAlign w:val="bottom"/>
            <w:tcBorders>
              <w:bottom w:val="single" w:sz="8" w:color="0000EE"/>
            </w:tcBorders>
            <w:gridSpan w:val="23"/>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Warrant Agreement between Colonnade Acquisition Corp. and Continental Stock Transfer &amp; Trust Company, dated as of August 20,</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2020 (Incorporated by reference to Exhibit 4.1 to the Company’s Current Report on Form 8-K (File No. 001-39463), filed with the SEC</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33"/>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on August 25,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60" w:type="dxa"/>
            <w:vAlign w:val="bottom"/>
            <w:gridSpan w:val="33"/>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Letter Agreement among Colonnade Acquisition Corp. and BTIG, LLC, dated as of August 20, 2020 (Incorporated by reference to the</w:t>
              </w:r>
            </w:hyperlink>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Borders>
              <w:top w:val="single" w:sz="8" w:color="0000EE"/>
            </w:tcBorders>
            <w:gridSpan w:val="25"/>
          </w:tcPr>
          <w:p>
            <w:pPr>
              <w:spacing w:after="0"/>
              <w:rPr>
                <w:rFonts w:ascii="Arial" w:cs="Arial" w:eastAsia="Arial" w:hAnsi="Arial"/>
                <w:sz w:val="18"/>
                <w:szCs w:val="18"/>
                <w:u w:val="single" w:color="auto"/>
                <w:color w:val="0000EE"/>
                <w:w w:val="93"/>
              </w:rPr>
            </w:pPr>
            <w:hyperlink r:id="rId92">
              <w:r>
                <w:rPr>
                  <w:rFonts w:ascii="Arial" w:cs="Arial" w:eastAsia="Arial" w:hAnsi="Arial"/>
                  <w:sz w:val="18"/>
                  <w:szCs w:val="18"/>
                  <w:u w:val="single" w:color="auto"/>
                  <w:color w:val="0000EE"/>
                  <w:w w:val="93"/>
                </w:rPr>
                <w:t>corresponding exhibit to the Company’s Current Report on Form 8-K (File No. 001-39463), filed with the SEC on August 25, 2020).</w:t>
              </w:r>
            </w:hyperlink>
          </w:p>
        </w:tc>
        <w:tc>
          <w:tcPr>
            <w:tcW w:w="2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9960" w:type="dxa"/>
            <w:vAlign w:val="bottom"/>
            <w:gridSpan w:val="33"/>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Investment Management Trust Agreement between Colonnade Acquisition Corp. and Continental Stock Transfer &amp; Trust Company,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dated as of August 20, 2020 (Incorporated by reference to the corresponding exhibit to the Company’s Current Report on Form 8-K (File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33"/>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No. 001-39463), filed with the SEC on August 25,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10.3</w:t>
            </w:r>
          </w:p>
        </w:tc>
        <w:tc>
          <w:tcPr>
            <w:tcW w:w="540" w:type="dxa"/>
            <w:vAlign w:val="bottom"/>
          </w:tcPr>
          <w:p>
            <w:pPr>
              <w:spacing w:after="0"/>
              <w:rPr>
                <w:sz w:val="24"/>
                <w:szCs w:val="24"/>
                <w:color w:val="auto"/>
              </w:rPr>
            </w:pPr>
          </w:p>
        </w:tc>
        <w:tc>
          <w:tcPr>
            <w:tcW w:w="9900" w:type="dxa"/>
            <w:vAlign w:val="bottom"/>
            <w:tcBorders>
              <w:bottom w:val="single" w:sz="8" w:color="0000EE"/>
            </w:tcBorders>
            <w:gridSpan w:val="30"/>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Registration Rights Agreement among Colonnade Acquisition Corp., Colonnade Sponsor LLC and the holders signatory thereto, dated as</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33"/>
          </w:tcPr>
          <w:p>
            <w:pPr>
              <w:spacing w:after="0" w:line="196" w:lineRule="exact"/>
              <w:rPr>
                <w:rFonts w:ascii="Arial" w:cs="Arial" w:eastAsia="Arial" w:hAnsi="Arial"/>
                <w:sz w:val="18"/>
                <w:szCs w:val="18"/>
                <w:color w:val="0000EE"/>
                <w:w w:val="98"/>
              </w:rPr>
            </w:pPr>
            <w:hyperlink r:id="rId94">
              <w:r>
                <w:rPr>
                  <w:rFonts w:ascii="Arial" w:cs="Arial" w:eastAsia="Arial" w:hAnsi="Arial"/>
                  <w:sz w:val="18"/>
                  <w:szCs w:val="18"/>
                  <w:color w:val="0000EE"/>
                  <w:w w:val="98"/>
                </w:rPr>
                <w:t>of August 20, 2020 (Incorporated by reference to the corresponding exhibit to the Company’s Current Report on Form 8-K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No. 001-39463), filed with the SEC on August 25, 2020).</w:t>
              </w:r>
            </w:hyperlink>
          </w:p>
        </w:tc>
        <w:tc>
          <w:tcPr>
            <w:tcW w:w="7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10.4</w:t>
            </w:r>
          </w:p>
        </w:tc>
        <w:tc>
          <w:tcPr>
            <w:tcW w:w="540" w:type="dxa"/>
            <w:vAlign w:val="bottom"/>
          </w:tcPr>
          <w:p>
            <w:pPr>
              <w:spacing w:after="0"/>
              <w:rPr>
                <w:sz w:val="24"/>
                <w:szCs w:val="24"/>
                <w:color w:val="auto"/>
              </w:rPr>
            </w:pPr>
          </w:p>
        </w:tc>
        <w:tc>
          <w:tcPr>
            <w:tcW w:w="9960" w:type="dxa"/>
            <w:vAlign w:val="bottom"/>
            <w:tcBorders>
              <w:bottom w:val="single" w:sz="8" w:color="0000EE"/>
            </w:tcBorders>
            <w:gridSpan w:val="33"/>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Private Placement Warrants Purchase Agreement between Colonnade Acquisition Corp. and Colonnade Sponsor LLC, dated as of August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20, 2020 (Incorporated by reference to the corresponding exhibit to the Company’s Current Report on Form 8-K (File No. 001-39463),</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filed with the SEC on August 25, 2020).</w:t>
              </w:r>
            </w:hyperlink>
          </w:p>
        </w:tc>
        <w:tc>
          <w:tcPr>
            <w:tcW w:w="70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10.5</w:t>
            </w:r>
          </w:p>
        </w:tc>
        <w:tc>
          <w:tcPr>
            <w:tcW w:w="540" w:type="dxa"/>
            <w:vAlign w:val="bottom"/>
          </w:tcPr>
          <w:p>
            <w:pPr>
              <w:spacing w:after="0"/>
              <w:rPr>
                <w:sz w:val="24"/>
                <w:szCs w:val="24"/>
                <w:color w:val="auto"/>
              </w:rPr>
            </w:pPr>
          </w:p>
        </w:tc>
        <w:tc>
          <w:tcPr>
            <w:tcW w:w="9700" w:type="dxa"/>
            <w:vAlign w:val="bottom"/>
            <w:tcBorders>
              <w:bottom w:val="single" w:sz="8" w:color="0000EE"/>
            </w:tcBorders>
            <w:gridSpan w:val="24"/>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Administrative Services Agreement by and among Colonnade Acquisition Corp. and Colonnade Sponsor LLC, dated as of August 20,</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2020 (Incorporated by reference to the corresponding exhibit to the Company’s Current Report on Form 8-K (File No. 001-39463), filed</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33"/>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with the SEC on August 25,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10.6</w:t>
            </w:r>
          </w:p>
        </w:tc>
        <w:tc>
          <w:tcPr>
            <w:tcW w:w="540" w:type="dxa"/>
            <w:vAlign w:val="bottom"/>
          </w:tcPr>
          <w:p>
            <w:pPr>
              <w:spacing w:after="0"/>
              <w:rPr>
                <w:sz w:val="24"/>
                <w:szCs w:val="24"/>
                <w:color w:val="auto"/>
              </w:rPr>
            </w:pPr>
          </w:p>
        </w:tc>
        <w:tc>
          <w:tcPr>
            <w:tcW w:w="9960" w:type="dxa"/>
            <w:vAlign w:val="bottom"/>
            <w:gridSpan w:val="33"/>
          </w:tcPr>
          <w:p>
            <w:pPr>
              <w:spacing w:after="0"/>
              <w:rPr>
                <w:rFonts w:ascii="Arial" w:cs="Arial" w:eastAsia="Arial" w:hAnsi="Arial"/>
                <w:sz w:val="18"/>
                <w:szCs w:val="18"/>
                <w:color w:val="0000EE"/>
                <w:w w:val="96"/>
              </w:rPr>
            </w:pPr>
            <w:hyperlink r:id="rId97">
              <w:r>
                <w:rPr>
                  <w:rFonts w:ascii="Arial" w:cs="Arial" w:eastAsia="Arial" w:hAnsi="Arial"/>
                  <w:sz w:val="18"/>
                  <w:szCs w:val="18"/>
                  <w:color w:val="0000EE"/>
                  <w:w w:val="96"/>
                </w:rPr>
                <w:t>Form of Indemnity Agreement (Incorporated by reference to Exhibit 10.5 to the Company’s Form S-1 Registration Statement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No. 333-240378), filed with the SEC on August 4, 2020).</w:t>
              </w:r>
            </w:hyperlink>
          </w:p>
        </w:tc>
        <w:tc>
          <w:tcPr>
            <w:tcW w:w="5220" w:type="dxa"/>
            <w:vAlign w:val="bottom"/>
            <w:tcBorders>
              <w:top w:val="single" w:sz="8" w:color="0000EE"/>
            </w:tcBorders>
            <w:gridSpan w:val="11"/>
          </w:tcPr>
          <w:p>
            <w:pPr>
              <w:spacing w:after="0"/>
              <w:rPr>
                <w:sz w:val="17"/>
                <w:szCs w:val="17"/>
                <w:color w:val="auto"/>
              </w:rPr>
            </w:pPr>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10.7</w:t>
            </w:r>
          </w:p>
        </w:tc>
        <w:tc>
          <w:tcPr>
            <w:tcW w:w="540" w:type="dxa"/>
            <w:vAlign w:val="bottom"/>
          </w:tcPr>
          <w:p>
            <w:pPr>
              <w:spacing w:after="0"/>
              <w:rPr>
                <w:sz w:val="24"/>
                <w:szCs w:val="24"/>
                <w:color w:val="auto"/>
              </w:rPr>
            </w:pPr>
          </w:p>
        </w:tc>
        <w:tc>
          <w:tcPr>
            <w:tcW w:w="9960" w:type="dxa"/>
            <w:vAlign w:val="bottom"/>
            <w:gridSpan w:val="33"/>
          </w:tcPr>
          <w:p>
            <w:pP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Promissory Note, dated as of June 30, 2020 by Colonnade Acquisition Corp. in favor of Colonnade Sponsor LLC, in the amount of</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780" w:type="dxa"/>
            <w:vAlign w:val="bottom"/>
            <w:gridSpan w:val="1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u w:val="single" w:color="auto"/>
                  <w:color w:val="0000EE"/>
                  <w:w w:val="91"/>
                </w:rPr>
                <w:t>$</w:t>
              </w:r>
              <w:r>
                <w:rPr>
                  <w:rFonts w:ascii="Arial" w:cs="Arial" w:eastAsia="Arial" w:hAnsi="Arial"/>
                  <w:sz w:val="18"/>
                  <w:szCs w:val="18"/>
                  <w:color w:val="0000EE"/>
                  <w:w w:val="91"/>
                </w:rPr>
                <w:t>300,000 (Incorporated by reference to Exhibit 10.6 to the Company’s Form S-1 Registration Statement (File No. 333-240378),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3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the SEC on August 4,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780" w:type="dxa"/>
            <w:vAlign w:val="bottom"/>
            <w:gridSpan w:val="1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10.8</w:t>
            </w:r>
          </w:p>
        </w:tc>
        <w:tc>
          <w:tcPr>
            <w:tcW w:w="54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Securities Subscription Agreement by and among Colonnade Acquisition Corp. and Colonnade Sponsor LLC, dated June 30, 2020</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(Incorporated by reference to Exhibit 10.7 to the Company’s Form S-1 Registration Statement (File No. 333-240378), filed with the SEC</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on August 4, 2020).</w:t>
              </w:r>
            </w:hyperlink>
          </w:p>
        </w:tc>
        <w:tc>
          <w:tcPr>
            <w:tcW w:w="84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9960" w:type="dxa"/>
            <w:vAlign w:val="bottom"/>
            <w:gridSpan w:val="33"/>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Power of Attorney (included on signature pages herein).</w:t>
              </w:r>
            </w:hyperlink>
          </w:p>
        </w:tc>
        <w:tc>
          <w:tcPr>
            <w:tcW w:w="0" w:type="dxa"/>
            <w:vAlign w:val="bottom"/>
          </w:tcPr>
          <w:p>
            <w:pPr>
              <w:spacing w:after="0"/>
              <w:rPr>
                <w:sz w:val="1"/>
                <w:szCs w:val="1"/>
                <w:color w:val="auto"/>
              </w:rPr>
            </w:pPr>
          </w:p>
        </w:tc>
      </w:tr>
      <w:tr>
        <w:trPr>
          <w:trHeight w:val="283"/>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4"/>
                <w:szCs w:val="24"/>
                <w:color w:val="auto"/>
              </w:rPr>
            </w:pPr>
          </w:p>
        </w:tc>
        <w:tc>
          <w:tcPr>
            <w:tcW w:w="92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Principal Executive Officer and Principal Financial Officer Pursuant to Rules 13a-14(a) and 15d-14(a) under the</w:t>
              </w:r>
            </w:hyperlink>
          </w:p>
        </w:tc>
        <w:tc>
          <w:tcPr>
            <w:tcW w:w="7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gridSpan w:val="33"/>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Securities Exchange Act of 1934, as Adopted Pursuant to Section 302 of the Sarbanes-Oxley Act of 2002.</w:t>
              </w:r>
            </w:hyperlink>
          </w:p>
        </w:tc>
        <w:tc>
          <w:tcPr>
            <w:tcW w:w="0" w:type="dxa"/>
            <w:vAlign w:val="bottom"/>
          </w:tcPr>
          <w:p>
            <w:pPr>
              <w:spacing w:after="0"/>
              <w:rPr>
                <w:sz w:val="1"/>
                <w:szCs w:val="1"/>
                <w:color w:val="auto"/>
              </w:rPr>
            </w:pPr>
          </w:p>
        </w:tc>
      </w:tr>
      <w:tr>
        <w:trPr>
          <w:trHeight w:val="283"/>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9960" w:type="dxa"/>
            <w:vAlign w:val="bottom"/>
            <w:gridSpan w:val="33"/>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Section 906 of the Sarbanes-Oxley Act of 2002.</w:t>
              </w:r>
            </w:hyperlink>
          </w:p>
        </w:tc>
        <w:tc>
          <w:tcPr>
            <w:tcW w:w="6300" w:type="dxa"/>
            <w:vAlign w:val="bottom"/>
            <w:tcBorders>
              <w:top w:val="single" w:sz="8" w:color="0000EE"/>
            </w:tcBorders>
            <w:gridSpan w:val="19"/>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0"/>
                <w:szCs w:val="20"/>
                <w:color w:val="auto"/>
              </w:rPr>
            </w:pPr>
          </w:p>
        </w:tc>
        <w:tc>
          <w:tcPr>
            <w:tcW w:w="9580" w:type="dxa"/>
            <w:vAlign w:val="bottom"/>
            <w:gridSpan w:val="32"/>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80" w:type="dxa"/>
            <w:vAlign w:val="bottom"/>
          </w:tcPr>
          <w:p>
            <w:pPr>
              <w:spacing w:after="0"/>
              <w:rPr>
                <w:sz w:val="24"/>
                <w:szCs w:val="24"/>
                <w:color w:val="auto"/>
              </w:rPr>
            </w:pPr>
          </w:p>
        </w:tc>
        <w:tc>
          <w:tcPr>
            <w:tcW w:w="9580" w:type="dxa"/>
            <w:vAlign w:val="bottom"/>
            <w:gridSpan w:val="32"/>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80" w:type="dxa"/>
            <w:vAlign w:val="bottom"/>
          </w:tcPr>
          <w:p>
            <w:pPr>
              <w:spacing w:after="0"/>
              <w:rPr>
                <w:sz w:val="24"/>
                <w:szCs w:val="24"/>
                <w:color w:val="auto"/>
              </w:rPr>
            </w:pPr>
          </w:p>
        </w:tc>
        <w:tc>
          <w:tcPr>
            <w:tcW w:w="9580" w:type="dxa"/>
            <w:vAlign w:val="bottom"/>
            <w:gridSpan w:val="32"/>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101.DEF XBRL</w:t>
            </w:r>
          </w:p>
        </w:tc>
        <w:tc>
          <w:tcPr>
            <w:tcW w:w="9580" w:type="dxa"/>
            <w:vAlign w:val="bottom"/>
            <w:gridSpan w:val="32"/>
          </w:tcPr>
          <w:p>
            <w:pPr>
              <w:ind w:left="240"/>
              <w:spacing w:after="0"/>
              <w:rPr>
                <w:sz w:val="20"/>
                <w:szCs w:val="20"/>
                <w:color w:val="auto"/>
              </w:rPr>
            </w:pPr>
            <w:r>
              <w:rPr>
                <w:rFonts w:ascii="Arial" w:cs="Arial" w:eastAsia="Arial" w:hAnsi="Arial"/>
                <w:sz w:val="18"/>
                <w:szCs w:val="18"/>
                <w:color w:val="auto"/>
              </w:rPr>
              <w:t>Taxonomy Extension Definition Linkbase Document</w:t>
            </w:r>
          </w:p>
        </w:tc>
        <w:tc>
          <w:tcPr>
            <w:tcW w:w="0" w:type="dxa"/>
            <w:vAlign w:val="bottom"/>
          </w:tcPr>
          <w:p>
            <w:pPr>
              <w:spacing w:after="0"/>
              <w:rPr>
                <w:sz w:val="1"/>
                <w:szCs w:val="1"/>
                <w:color w:val="auto"/>
              </w:rPr>
            </w:pP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101.LAB XBRL</w:t>
            </w:r>
          </w:p>
        </w:tc>
        <w:tc>
          <w:tcPr>
            <w:tcW w:w="9580" w:type="dxa"/>
            <w:vAlign w:val="bottom"/>
            <w:gridSpan w:val="32"/>
          </w:tcPr>
          <w:p>
            <w:pPr>
              <w:ind w:left="240"/>
              <w:spacing w:after="0"/>
              <w:rPr>
                <w:sz w:val="20"/>
                <w:szCs w:val="20"/>
                <w:color w:val="auto"/>
              </w:rPr>
            </w:pPr>
            <w:r>
              <w:rPr>
                <w:rFonts w:ascii="Arial" w:cs="Arial" w:eastAsia="Arial" w:hAnsi="Arial"/>
                <w:sz w:val="18"/>
                <w:szCs w:val="18"/>
                <w:color w:val="auto"/>
              </w:rPr>
              <w:t>Taxonomy Extension Label Linkbase Document</w:t>
            </w:r>
          </w:p>
        </w:tc>
        <w:tc>
          <w:tcPr>
            <w:tcW w:w="0" w:type="dxa"/>
            <w:vAlign w:val="bottom"/>
          </w:tcPr>
          <w:p>
            <w:pPr>
              <w:spacing w:after="0"/>
              <w:rPr>
                <w:sz w:val="1"/>
                <w:szCs w:val="1"/>
                <w:color w:val="auto"/>
              </w:rPr>
            </w:pP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101.PRE XBRL</w:t>
            </w:r>
          </w:p>
        </w:tc>
        <w:tc>
          <w:tcPr>
            <w:tcW w:w="9580" w:type="dxa"/>
            <w:vAlign w:val="bottom"/>
            <w:gridSpan w:val="32"/>
          </w:tcPr>
          <w:p>
            <w:pPr>
              <w:ind w:left="240"/>
              <w:spacing w:after="0"/>
              <w:rPr>
                <w:sz w:val="20"/>
                <w:szCs w:val="20"/>
                <w:color w:val="auto"/>
              </w:rPr>
            </w:pPr>
            <w:r>
              <w:rPr>
                <w:rFonts w:ascii="Arial" w:cs="Arial" w:eastAsia="Arial" w:hAnsi="Arial"/>
                <w:sz w:val="18"/>
                <w:szCs w:val="18"/>
                <w:color w:val="auto"/>
              </w:rPr>
              <w:t>Taxonomy Extension Presentation Linkbase Document</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March 9, 2021</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COLONNADE ACQUISITION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Remy W. Trafelet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Remy W. Trafelet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undersigned of Colonnade Acquisition Corp. hereby constitute and appoint each of Joseph S. Sambuco and Remy W. Trafelet, with the power to act without the others and with full power of substitution and resubstitution, our hue and lawful attorney-in-fact and agent with full power to execute in our name and behalf in the capacities indicated below any and all amendments to this report and to file the same, with all exhibits and other documents relating thereto and hereby ratify and confirm all that such attorney-in-fact, or such attorney-in-fact’s substitute, may lawfully do or cause to be done by virtue hereof.</w:t>
      </w:r>
    </w:p>
    <w:p>
      <w:pPr>
        <w:spacing w:after="0" w:line="18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in the capacities and on the dates indicated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54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550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 Sambuco</w:t>
            </w:r>
          </w:p>
        </w:tc>
        <w:tc>
          <w:tcPr>
            <w:tcW w:w="10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760" w:type="dxa"/>
            <w:vAlign w:val="bottom"/>
          </w:tcPr>
          <w:p>
            <w:pPr>
              <w:spacing w:after="0"/>
              <w:rPr>
                <w:sz w:val="20"/>
                <w:szCs w:val="20"/>
                <w:color w:val="auto"/>
              </w:rPr>
            </w:pPr>
            <w:r>
              <w:rPr>
                <w:rFonts w:ascii="Arial" w:cs="Arial" w:eastAsia="Arial" w:hAnsi="Arial"/>
                <w:sz w:val="18"/>
                <w:szCs w:val="18"/>
                <w:color w:val="auto"/>
              </w:rPr>
              <w:t>March 9, 2021</w:t>
            </w: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Joseph S. Sambuco</w:t>
            </w: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Remy W. Trafelet</w:t>
            </w:r>
          </w:p>
        </w:tc>
        <w:tc>
          <w:tcPr>
            <w:tcW w:w="10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760" w:type="dxa"/>
            <w:vAlign w:val="bottom"/>
          </w:tcPr>
          <w:p>
            <w:pPr>
              <w:spacing w:after="0"/>
              <w:rPr>
                <w:sz w:val="20"/>
                <w:szCs w:val="20"/>
                <w:color w:val="auto"/>
              </w:rPr>
            </w:pPr>
            <w:r>
              <w:rPr>
                <w:rFonts w:ascii="Arial" w:cs="Arial" w:eastAsia="Arial" w:hAnsi="Arial"/>
                <w:sz w:val="18"/>
                <w:szCs w:val="18"/>
                <w:color w:val="auto"/>
              </w:rPr>
              <w:t>March 9, 2021</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Remy W. Trafelet</w:t>
            </w:r>
          </w:p>
        </w:tc>
        <w:tc>
          <w:tcPr>
            <w:tcW w:w="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(Principal Executive Officer and Principal Financial and Accounting</w:t>
            </w:r>
          </w:p>
        </w:tc>
        <w:tc>
          <w:tcPr>
            <w:tcW w:w="176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760" w:type="dxa"/>
            <w:vAlign w:val="bottom"/>
          </w:tcPr>
          <w:p>
            <w:pPr>
              <w:spacing w:after="0"/>
              <w:rPr>
                <w:sz w:val="20"/>
                <w:szCs w:val="20"/>
                <w:color w:val="auto"/>
              </w:rPr>
            </w:pPr>
          </w:p>
        </w:tc>
      </w:tr>
      <w:tr>
        <w:trPr>
          <w:trHeight w:val="432"/>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 Flores</w:t>
            </w:r>
          </w:p>
        </w:tc>
        <w:tc>
          <w:tcPr>
            <w:tcW w:w="10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9, 2021</w:t>
            </w: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James C. Flores</w:t>
            </w: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W. Henry, Jr.</w:t>
            </w:r>
          </w:p>
        </w:tc>
        <w:tc>
          <w:tcPr>
            <w:tcW w:w="10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9, 2021</w:t>
            </w: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Emil W. Henry, Jr.</w:t>
            </w: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Manny De Zárraga</w:t>
            </w:r>
          </w:p>
        </w:tc>
        <w:tc>
          <w:tcPr>
            <w:tcW w:w="10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9, 2021</w:t>
            </w: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Manny De Zárraga</w:t>
            </w: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Remy W. Trafelet, certify that:</w:t>
      </w:r>
    </w:p>
    <w:p>
      <w:pPr>
        <w:spacing w:after="0" w:line="131" w:lineRule="exact"/>
        <w:rPr>
          <w:sz w:val="20"/>
          <w:szCs w:val="20"/>
          <w:color w:val="auto"/>
        </w:rPr>
      </w:pPr>
    </w:p>
    <w:p>
      <w:pPr>
        <w:ind w:left="1180" w:hanging="6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Colonnade Acquisition Corp.;</w:t>
      </w:r>
    </w:p>
    <w:p>
      <w:pPr>
        <w:spacing w:after="0" w:line="130" w:lineRule="exact"/>
        <w:rPr>
          <w:rFonts w:ascii="Arial" w:cs="Arial" w:eastAsia="Arial" w:hAnsi="Arial"/>
          <w:sz w:val="18"/>
          <w:szCs w:val="18"/>
          <w:color w:val="auto"/>
        </w:rPr>
      </w:pPr>
    </w:p>
    <w:p>
      <w:pPr>
        <w:ind w:left="1180" w:right="60" w:hanging="644"/>
        <w:spacing w:after="0" w:line="263"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1180" w:right="120" w:hanging="644"/>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1180" w:hanging="644"/>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w:t>
      </w:r>
    </w:p>
    <w:p>
      <w:pPr>
        <w:spacing w:after="0" w:line="46"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8"/>
          <w:szCs w:val="18"/>
          <w:color w:val="auto"/>
        </w:rPr>
        <w:t>15d-15(e)) for the registrant and have:</w:t>
      </w:r>
    </w:p>
    <w:p>
      <w:pPr>
        <w:spacing w:after="0" w:line="116" w:lineRule="exact"/>
        <w:rPr>
          <w:rFonts w:ascii="Arial" w:cs="Arial" w:eastAsia="Arial" w:hAnsi="Arial"/>
          <w:sz w:val="16"/>
          <w:szCs w:val="16"/>
          <w:color w:val="auto"/>
        </w:rPr>
      </w:pPr>
    </w:p>
    <w:p>
      <w:pPr>
        <w:ind w:left="1740" w:right="80" w:hanging="543"/>
        <w:spacing w:after="0" w:line="286" w:lineRule="auto"/>
        <w:tabs>
          <w:tab w:leader="none" w:pos="17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740" w:hanging="543"/>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ind w:left="1740" w:right="300" w:hanging="543"/>
        <w:spacing w:after="0" w:line="263"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740" w:right="180" w:hanging="543"/>
        <w:spacing w:after="0" w:line="263"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1180" w:right="380" w:hanging="6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740" w:right="60" w:hanging="543"/>
        <w:spacing w:after="0" w:line="263"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740" w:right="80" w:hanging="543"/>
        <w:spacing w:after="0" w:line="277"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52"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Remy W. Trafelet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Remy W. Trafelet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Principal Executive Officer and Principal Financial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020"/>
          </w:cols>
          <w:pgMar w:left="440" w:top="121" w:right="439" w:bottom="1440"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Remy W. Trafelet, Principal Executive Officer and Principal Financial Officer of Colonnade Acquisition Corp. (the “Company”), hereby certify, that, to my knowledge:</w:t>
      </w:r>
    </w:p>
    <w:p>
      <w:pPr>
        <w:spacing w:after="0" w:line="52" w:lineRule="exact"/>
        <w:rPr>
          <w:sz w:val="20"/>
          <w:szCs w:val="20"/>
          <w:color w:val="auto"/>
        </w:rPr>
      </w:pPr>
    </w:p>
    <w:p>
      <w:pPr>
        <w:ind w:left="960" w:right="840" w:hanging="532"/>
        <w:spacing w:after="0" w:line="308"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Annual Report on Form 10-K for the year ended December 31, 2020 (the “Report”) of the Company fully complies with the requirements of Section 13(a) or 15(d) of the Securities Exchange Act of 1934 (15 U.S.C. 78m(a) or 78o(d)); and</w:t>
      </w:r>
    </w:p>
    <w:p>
      <w:pPr>
        <w:spacing w:after="0" w:line="51" w:lineRule="exact"/>
        <w:rPr>
          <w:rFonts w:ascii="Arial" w:cs="Arial" w:eastAsia="Arial" w:hAnsi="Arial"/>
          <w:sz w:val="17"/>
          <w:szCs w:val="17"/>
          <w:color w:val="auto"/>
        </w:rPr>
      </w:pPr>
    </w:p>
    <w:p>
      <w:pPr>
        <w:ind w:left="960" w:right="440" w:hanging="53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52"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Remy W. Trafelet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Remy W. Trafelet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Principal Executive Officer and Principal Financial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Letter"/>
      <w:start w:val="25"/>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1)"/>
      <w:numFmt w:val="lowerRoman"/>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86" Type="http://schemas.openxmlformats.org/officeDocument/2006/relationships/hyperlink" Target="http://www.sec.gov/Archives/edgar/data/1816581/000119312520324674/d10549ds4.htm#rom10549_42" TargetMode="External"/><Relationship Id="rId87" Type="http://schemas.openxmlformats.org/officeDocument/2006/relationships/hyperlink" Target="http://www.sec.gov/Archives/edgar/data/1816581/000119312520229870/d938278dex31.htm" TargetMode="External"/><Relationship Id="rId88" Type="http://schemas.openxmlformats.org/officeDocument/2006/relationships/hyperlink" Target="http://www.sec.gov/Archives/edgar/data/1816581/000119312520209451/d937985dex41.htm" TargetMode="External"/><Relationship Id="rId89" Type="http://schemas.openxmlformats.org/officeDocument/2006/relationships/hyperlink" Target="http://www.sec.gov/Archives/edgar/data/1816581/000119312520209451/d937985dex42.htm" TargetMode="External"/><Relationship Id="rId90" Type="http://schemas.openxmlformats.org/officeDocument/2006/relationships/hyperlink" Target="http://www.sec.gov/Archives/edgar/data/1816581/000119312520209451/d937985dex43.htm" TargetMode="External"/><Relationship Id="rId91" Type="http://schemas.openxmlformats.org/officeDocument/2006/relationships/hyperlink" Target="http://www.sec.gov/Archives/edgar/data/1816581/000119312520229870/d938278dex41.htm" TargetMode="External"/><Relationship Id="rId92" Type="http://schemas.openxmlformats.org/officeDocument/2006/relationships/hyperlink" Target="http://www.sec.gov/Archives/edgar/data/1816581/000119312520229870/d938278dex101.htm" TargetMode="External"/><Relationship Id="rId93" Type="http://schemas.openxmlformats.org/officeDocument/2006/relationships/hyperlink" Target="http://www.sec.gov/Archives/edgar/data/1816581/000119312520229870/d938278dex102.htm" TargetMode="External"/><Relationship Id="rId94" Type="http://schemas.openxmlformats.org/officeDocument/2006/relationships/hyperlink" Target="http://www.sec.gov/Archives/edgar/data/1816581/000119312520229870/d938278dex103.htm" TargetMode="External"/><Relationship Id="rId95" Type="http://schemas.openxmlformats.org/officeDocument/2006/relationships/hyperlink" Target="http://www.sec.gov/Archives/edgar/data/1816581/000119312520229870/d938278dex104.htm" TargetMode="External"/><Relationship Id="rId96" Type="http://schemas.openxmlformats.org/officeDocument/2006/relationships/hyperlink" Target="http://www.sec.gov/Archives/edgar/data/1816581/000119312520229870/d938278dex105.htm" TargetMode="External"/><Relationship Id="rId97" Type="http://schemas.openxmlformats.org/officeDocument/2006/relationships/hyperlink" Target="http://www.sec.gov/Archives/edgar/data/1816581/000119312520209451/d937985dex105.htm" TargetMode="External"/><Relationship Id="rId98" Type="http://schemas.openxmlformats.org/officeDocument/2006/relationships/hyperlink" Target="http://www.sec.gov/Archives/edgar/data/1816581/000119312520209451/d937985dex106.htm" TargetMode="External"/><Relationship Id="rId99" Type="http://schemas.openxmlformats.org/officeDocument/2006/relationships/hyperlink" Target="http://www.sec.gov/Archives/edgar/data/1816581/000119312520209451/d937985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2021-03-09T07:51:41Z</dcterms:created>
  <dcterms:modified xsi:type="dcterms:W3CDTF">2021-03-09T07:51:41Z</dcterms:modified>
</cp:coreProperties>
</file>