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jc w:val="center"/>
        <w:ind w:right="-140"/>
        <w:spacing w:after="0" w:line="230" w:lineRule="auto"/>
        <w:rPr>
          <w:sz w:val="20"/>
          <w:szCs w:val="20"/>
          <w:color w:val="auto"/>
        </w:rPr>
      </w:pPr>
      <w:r>
        <w:rPr>
          <w:rFonts w:ascii="Times New Roman" w:cs="Times New Roman" w:eastAsia="Times New Roman" w:hAnsi="Times New Roman"/>
          <w:sz w:val="22"/>
          <w:szCs w:val="22"/>
          <w:b w:val="1"/>
          <w:bCs w:val="1"/>
          <w:color w:val="auto"/>
        </w:rPr>
        <w:t> </w:t>
      </w:r>
    </w:p>
    <w:p>
      <w:pPr>
        <w:spacing w:after="0" w:line="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7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11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6"/>
          <w:szCs w:val="36"/>
          <w:color w:val="auto"/>
        </w:rPr>
        <w:t>OUSTER,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3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135890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102870</wp:posOffset>
            </wp:positionV>
            <wp:extent cx="1903095" cy="1071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309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58"/>
          <w:szCs w:val="58"/>
          <w:b w:val="1"/>
          <w:bCs w:val="1"/>
          <w:color w:val="auto"/>
        </w:rPr>
        <w:t>NOTICE &amp; PROXY</w:t>
      </w:r>
    </w:p>
    <w:p>
      <w:pPr>
        <w:spacing w:after="0" w:line="7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58"/>
          <w:szCs w:val="58"/>
          <w:b w:val="1"/>
          <w:bCs w:val="1"/>
          <w:color w:val="auto"/>
        </w:rPr>
        <w:t>STATEMENT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Annual Meeting of Stockholders</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17, 2026</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350 TREAT AVENUE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SAN FRANCISCO, CA 94110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-7620</wp:posOffset>
            </wp:positionV>
            <wp:extent cx="114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Ouster’s Stockholders:</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(the “Annual Meeting”) of Ouster, Inc. (“Ouster” or the “Company”) to be held on Wednesday, June 17, 2026 at 10:00 a.m., Pacific Time. Ouster’s Annual Meeting will be a completely virtual meeting of stockholders, which will be conducted via live webcast. You will be able to attend the virtual Annual Meeting, vote your shares electronically and submit your questions during the Annual Meeting by visiting </w:t>
      </w:r>
      <w:r>
        <w:rPr>
          <w:rFonts w:ascii="Times New Roman" w:cs="Times New Roman" w:eastAsia="Times New Roman" w:hAnsi="Times New Roman"/>
          <w:sz w:val="18"/>
          <w:szCs w:val="18"/>
          <w:i w:val="1"/>
          <w:iCs w:val="1"/>
          <w:color w:val="auto"/>
        </w:rPr>
        <w:t>www.virtualshareholdermeeting.com/OUST2026</w:t>
      </w:r>
      <w:r>
        <w:rPr>
          <w:rFonts w:ascii="Times New Roman" w:cs="Times New Roman" w:eastAsia="Times New Roman" w:hAnsi="Times New Roman"/>
          <w:sz w:val="18"/>
          <w:szCs w:val="18"/>
          <w:color w:val="auto"/>
        </w:rPr>
        <w:t>. Utilizing a virtual meeting format will allow stockholders to participate from any location, and we expect will lead to increased attendance, improved communications and cost savings for Ouster’s stockholders and the Company.</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Notice of Meeting and Proxy Statement on the following pages describe the matters to be presented at the Annual Meeting. Details regarding how to attend the Annual Meeting and the business to be conducted at the Annual Meeting are more fully described in the Notice of Annual Meeting and Proxy Statement.</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Ouster’s Notice of Internet Availability of Proxy Materials, then instructions regarding how you can vote are contained in that notice. If you have received a printed proxy card, then instructions regarding how you can vote are contained on the proxy card. If you decide to attend the Annual Meeting, you will be able to vote your shares electronically during the Annual Meeting, even if you have previously submitted your proxy.</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Theodore L. Tewksbury, Ph.D.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 of the Board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be Held on Wednesday,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350 TREAT AVENUE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SAN FRANCISCO, CA 94110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of Stockholders (the “Annual Meeting”) of Ouster, Inc., a Delaware corporation (“Ouster” or the “Company”), will be held at 10:00 a.m., Pacific Time, on Wednesday, June 17, 2026. The Annual Meeting will be a completely virtual meeting, which will be conducted via live webcast. You will be able to attend the Annual Meeting electronically and submit your questions during the Annual Meeting by visiting </w:t>
      </w:r>
      <w:r>
        <w:rPr>
          <w:rFonts w:ascii="Times New Roman" w:cs="Times New Roman" w:eastAsia="Times New Roman" w:hAnsi="Times New Roman"/>
          <w:sz w:val="18"/>
          <w:szCs w:val="18"/>
          <w:i w:val="1"/>
          <w:iCs w:val="1"/>
          <w:color w:val="auto"/>
        </w:rPr>
        <w:t xml:space="preserve">www.virtualshareholdermeeting.com/OUST2026. </w:t>
      </w:r>
      <w:r>
        <w:rPr>
          <w:rFonts w:ascii="Times New Roman" w:cs="Times New Roman" w:eastAsia="Times New Roman" w:hAnsi="Times New Roman"/>
          <w:sz w:val="18"/>
          <w:szCs w:val="18"/>
          <w:color w:val="auto"/>
        </w:rPr>
        <w:t>The Annual Meeting is called for the following purposes:</w:t>
      </w:r>
    </w:p>
    <w:p>
      <w:pPr>
        <w:spacing w:after="0" w:line="143" w:lineRule="exact"/>
        <w:rPr>
          <w:sz w:val="20"/>
          <w:szCs w:val="20"/>
          <w:color w:val="auto"/>
        </w:rPr>
      </w:pPr>
    </w:p>
    <w:p>
      <w:pPr>
        <w:ind w:left="940" w:right="439"/>
        <w:spacing w:after="0" w:line="282" w:lineRule="auto"/>
        <w:rPr>
          <w:sz w:val="20"/>
          <w:szCs w:val="20"/>
          <w:color w:val="auto"/>
        </w:rPr>
      </w:pPr>
      <w:r>
        <w:rPr>
          <w:rFonts w:ascii="Times New Roman" w:cs="Times New Roman" w:eastAsia="Times New Roman" w:hAnsi="Times New Roman"/>
          <w:sz w:val="18"/>
          <w:szCs w:val="18"/>
          <w:color w:val="auto"/>
        </w:rPr>
        <w:t>To elect Phillip M. Eyler and Angus Pacala as Class II Directors to serve until our 2029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-296545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6" w:lineRule="exact"/>
        <w:rPr>
          <w:sz w:val="20"/>
          <w:szCs w:val="20"/>
          <w:color w:val="auto"/>
        </w:rPr>
      </w:pPr>
    </w:p>
    <w:p>
      <w:pPr>
        <w:ind w:left="940" w:right="359"/>
        <w:spacing w:after="0" w:line="282" w:lineRule="auto"/>
        <w:rPr>
          <w:sz w:val="20"/>
          <w:szCs w:val="20"/>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-296545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 approve, on an advisory (non-binding)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59" w:lineRule="exact"/>
        <w:rPr>
          <w:sz w:val="20"/>
          <w:szCs w:val="20"/>
          <w:color w:val="auto"/>
        </w:rPr>
      </w:pPr>
    </w:p>
    <w:p>
      <w:pPr>
        <w:ind w:left="940" w:right="619"/>
        <w:spacing w:after="0" w:line="266" w:lineRule="auto"/>
        <w:rPr>
          <w:sz w:val="20"/>
          <w:szCs w:val="20"/>
          <w:color w:val="auto"/>
        </w:rPr>
      </w:pPr>
      <w:r>
        <w:rPr>
          <w:rFonts w:ascii="Times New Roman" w:cs="Times New Roman" w:eastAsia="Times New Roman" w:hAnsi="Times New Roman"/>
          <w:sz w:val="18"/>
          <w:szCs w:val="18"/>
          <w:color w:val="auto"/>
        </w:rPr>
        <w:t>To approve an amendment to our Certificate of Incorporation, as amended (the “Certificate of Incorporation”) to increase the number of authorized shares of the Company’s common stock, par value $0.0001 per share (the “common stock”) from 100,000,000 to 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-424815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0" w:lineRule="exact"/>
        <w:rPr>
          <w:sz w:val="20"/>
          <w:szCs w:val="20"/>
          <w:color w:val="auto"/>
        </w:rPr>
      </w:pPr>
    </w:p>
    <w:p>
      <w:pPr>
        <w:ind w:left="940" w:right="579"/>
        <w:spacing w:after="0" w:line="266" w:lineRule="auto"/>
        <w:rPr>
          <w:sz w:val="20"/>
          <w:szCs w:val="20"/>
          <w:color w:val="auto"/>
        </w:rPr>
      </w:pPr>
      <w:r>
        <w:rPr>
          <w:rFonts w:ascii="Times New Roman" w:cs="Times New Roman" w:eastAsia="Times New Roman" w:hAnsi="Times New Roman"/>
          <w:sz w:val="18"/>
          <w:szCs w:val="18"/>
          <w:color w:val="auto"/>
        </w:rPr>
        <w:t>To approve an amendment to our Certificate of Incorporation to provide for exculpation of officers from breaches of fiduciary duty to the extent permitted by the General Corporation Law of the State of Delaware;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-424815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0" w:lineRule="exact"/>
        <w:rPr>
          <w:sz w:val="20"/>
          <w:szCs w:val="20"/>
          <w:color w:val="auto"/>
        </w:rPr>
      </w:pPr>
    </w:p>
    <w:p>
      <w:pPr>
        <w:ind w:left="940" w:right="719"/>
        <w:spacing w:after="0" w:line="282" w:lineRule="auto"/>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-296545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Holders of record of Ouster’s outstanding shares of common stock at the close of business on April 24, 2026 are entitled to notice of and to vote at the Annual Meeting, or any continuation, postponement or adjournment of the Annual Meeting. A complete list of these stockholders will be open to the examination of any stockholder at our principal executive offices at 350 Treat Avenue, San Francisco, California for a period of 10 days prior to the Annual Meeting. The Annual Meeting may be continued or adjourned from time to time without notice other than by announcement at the Annual Meeting.</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color w:val="auto"/>
        </w:rPr>
        <w:t>It is important that your shares be represented regardless of the number of shares you may hold. Whether or not you plan to attend the Annual Meeting,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Megan Chung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455295</wp:posOffset>
            </wp:positionH>
            <wp:positionV relativeFrom="paragraph">
              <wp:posOffset>-19050</wp:posOffset>
            </wp:positionV>
            <wp:extent cx="1143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3"/>
        </w:trPr>
        <w:tc>
          <w:tcPr>
            <w:tcW w:w="8120" w:type="dxa"/>
            <w:vAlign w:val="bottom"/>
            <w:gridSpan w:val="5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PROXY STATEMENT</w:t>
            </w:r>
          </w:p>
        </w:tc>
        <w:tc>
          <w:tcPr>
            <w:tcW w:w="280" w:type="dxa"/>
            <w:vAlign w:val="bottom"/>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5"/>
                <w:szCs w:val="15"/>
                <w:color w:val="auto"/>
              </w:rPr>
            </w:pPr>
          </w:p>
        </w:tc>
      </w:tr>
      <w:tr>
        <w:trPr>
          <w:trHeight w:val="21"/>
        </w:trPr>
        <w:tc>
          <w:tcPr>
            <w:tcW w:w="1680" w:type="dxa"/>
            <w:vAlign w:val="bottom"/>
            <w:tcBorders>
              <w:top w:val="single" w:sz="8" w:color="0000EE"/>
            </w:tcBorders>
            <w:gridSpan w:val="7"/>
            <w:shd w:val="clear" w:color="auto" w:fill="CCEEFF"/>
          </w:tcPr>
          <w:p>
            <w:pPr>
              <w:spacing w:after="0" w:line="20" w:lineRule="exact"/>
              <w:rPr>
                <w:sz w:val="1"/>
                <w:szCs w:val="1"/>
                <w:color w:val="auto"/>
              </w:rPr>
            </w:pPr>
          </w:p>
        </w:tc>
        <w:tc>
          <w:tcPr>
            <w:tcW w:w="6640" w:type="dxa"/>
            <w:vAlign w:val="bottom"/>
            <w:tcBorders>
              <w:top w:val="single" w:sz="8" w:color="CCEEFF"/>
            </w:tcBorders>
            <w:gridSpan w:val="49"/>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5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PROPOSALS</w:t>
            </w:r>
          </w:p>
        </w:tc>
        <w:tc>
          <w:tcPr>
            <w:tcW w:w="6440" w:type="dxa"/>
            <w:vAlign w:val="bottom"/>
            <w:gridSpan w:val="47"/>
          </w:tcPr>
          <w:p>
            <w:pPr>
              <w:spacing w:after="0"/>
              <w:rPr>
                <w:sz w:val="15"/>
                <w:szCs w:val="15"/>
                <w:color w:val="auto"/>
              </w:rPr>
            </w:pP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1020" w:type="dxa"/>
            <w:vAlign w:val="bottom"/>
            <w:tcBorders>
              <w:top w:val="single" w:sz="8" w:color="0000EE"/>
            </w:tcBorders>
            <w:gridSpan w:val="3"/>
          </w:tcPr>
          <w:p>
            <w:pPr>
              <w:spacing w:after="0" w:line="20" w:lineRule="exact"/>
              <w:rPr>
                <w:sz w:val="1"/>
                <w:szCs w:val="1"/>
                <w:color w:val="auto"/>
              </w:rPr>
            </w:pPr>
          </w:p>
        </w:tc>
        <w:tc>
          <w:tcPr>
            <w:tcW w:w="7120" w:type="dxa"/>
            <w:vAlign w:val="bottom"/>
            <w:gridSpan w:val="52"/>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7940" w:type="dxa"/>
            <w:vAlign w:val="bottom"/>
            <w:gridSpan w:val="5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RECOMMENDATIONS OF THE BOARD</w:t>
            </w:r>
          </w:p>
        </w:tc>
        <w:tc>
          <w:tcPr>
            <w:tcW w:w="2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15"/>
                <w:szCs w:val="15"/>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EE"/>
            </w:tcBorders>
            <w:gridSpan w:val="21"/>
            <w:shd w:val="clear" w:color="auto" w:fill="CCEEFF"/>
          </w:tcPr>
          <w:p>
            <w:pPr>
              <w:spacing w:after="0" w:line="20" w:lineRule="exact"/>
              <w:rPr>
                <w:sz w:val="1"/>
                <w:szCs w:val="1"/>
                <w:color w:val="auto"/>
              </w:rPr>
            </w:pPr>
          </w:p>
        </w:tc>
        <w:tc>
          <w:tcPr>
            <w:tcW w:w="5000" w:type="dxa"/>
            <w:vAlign w:val="bottom"/>
            <w:tcBorders>
              <w:top w:val="single" w:sz="8" w:color="CCEEFF"/>
            </w:tcBorders>
            <w:gridSpan w:val="34"/>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THIS PROXY STATEMENT</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4080" w:type="dxa"/>
            <w:vAlign w:val="bottom"/>
            <w:tcBorders>
              <w:top w:val="single" w:sz="8" w:color="0000EE"/>
            </w:tcBorders>
            <w:gridSpan w:val="30"/>
          </w:tcPr>
          <w:p>
            <w:pPr>
              <w:spacing w:after="0" w:line="20" w:lineRule="exact"/>
              <w:rPr>
                <w:sz w:val="1"/>
                <w:szCs w:val="1"/>
                <w:color w:val="auto"/>
              </w:rPr>
            </w:pPr>
          </w:p>
        </w:tc>
        <w:tc>
          <w:tcPr>
            <w:tcW w:w="4060" w:type="dxa"/>
            <w:vAlign w:val="bottom"/>
            <w:gridSpan w:val="25"/>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0" w:type="dxa"/>
            <w:vAlign w:val="bottom"/>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QUESTIONS AND ANSWERS ABOUT THE 2026 ANNUAL MEETING OF STOCKHOLDERS</w:t>
            </w:r>
          </w:p>
        </w:tc>
        <w:tc>
          <w:tcPr>
            <w:tcW w:w="920" w:type="dxa"/>
            <w:vAlign w:val="bottom"/>
            <w:gridSpan w:val="8"/>
            <w:shd w:val="clear" w:color="auto" w:fill="CCEEFF"/>
          </w:tcPr>
          <w:p>
            <w:pPr>
              <w:spacing w:after="0"/>
              <w:rPr>
                <w:sz w:val="15"/>
                <w:szCs w:val="15"/>
                <w:color w:val="auto"/>
              </w:rPr>
            </w:pPr>
          </w:p>
        </w:tc>
        <w:tc>
          <w:tcPr>
            <w:tcW w:w="2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5"/>
                <w:szCs w:val="15"/>
                <w:color w:val="auto"/>
              </w:rPr>
            </w:pPr>
          </w:p>
        </w:tc>
      </w:tr>
      <w:tr>
        <w:trPr>
          <w:trHeight w:val="20"/>
        </w:trPr>
        <w:tc>
          <w:tcPr>
            <w:tcW w:w="7200" w:type="dxa"/>
            <w:vAlign w:val="bottom"/>
            <w:tcBorders>
              <w:top w:val="single" w:sz="8" w:color="0000EE"/>
            </w:tcBorders>
            <w:gridSpan w:val="46"/>
            <w:shd w:val="clear" w:color="auto" w:fill="CCEEFF"/>
          </w:tcPr>
          <w:p>
            <w:pPr>
              <w:spacing w:after="0" w:line="20" w:lineRule="exact"/>
              <w:rPr>
                <w:sz w:val="1"/>
                <w:szCs w:val="1"/>
                <w:color w:val="auto"/>
              </w:rPr>
            </w:pPr>
          </w:p>
        </w:tc>
        <w:tc>
          <w:tcPr>
            <w:tcW w:w="1120" w:type="dxa"/>
            <w:vAlign w:val="bottom"/>
            <w:tcBorders>
              <w:top w:val="single" w:sz="8" w:color="CCEEFF"/>
            </w:tcBorders>
            <w:gridSpan w:val="10"/>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0" w:type="dxa"/>
            <w:vAlign w:val="bottom"/>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PROPOSALS TO BE VOTED ON</w:t>
            </w:r>
          </w:p>
        </w:tc>
        <w:tc>
          <w:tcPr>
            <w:tcW w:w="920" w:type="dxa"/>
            <w:vAlign w:val="bottom"/>
            <w:gridSpan w:val="8"/>
          </w:tcPr>
          <w:p>
            <w:pPr>
              <w:spacing w:after="0"/>
              <w:rPr>
                <w:sz w:val="15"/>
                <w:szCs w:val="15"/>
                <w:color w:val="auto"/>
              </w:rPr>
            </w:pP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5"/>
                <w:szCs w:val="15"/>
                <w:color w:val="auto"/>
              </w:rPr>
            </w:pPr>
          </w:p>
        </w:tc>
      </w:tr>
      <w:tr>
        <w:trPr>
          <w:trHeight w:val="21"/>
        </w:trPr>
        <w:tc>
          <w:tcPr>
            <w:tcW w:w="2520" w:type="dxa"/>
            <w:vAlign w:val="bottom"/>
            <w:tcBorders>
              <w:top w:val="single" w:sz="8" w:color="0000EE"/>
            </w:tcBorders>
            <w:gridSpan w:val="18"/>
          </w:tcPr>
          <w:p>
            <w:pPr>
              <w:spacing w:after="0" w:line="20" w:lineRule="exact"/>
              <w:rPr>
                <w:sz w:val="1"/>
                <w:szCs w:val="1"/>
                <w:color w:val="auto"/>
              </w:rPr>
            </w:pPr>
          </w:p>
        </w:tc>
        <w:tc>
          <w:tcPr>
            <w:tcW w:w="5800" w:type="dxa"/>
            <w:vAlign w:val="bottom"/>
            <w:gridSpan w:val="38"/>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3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4600" w:type="dxa"/>
            <w:vAlign w:val="bottom"/>
            <w:gridSpan w:val="30"/>
            <w:shd w:val="clear" w:color="auto" w:fill="CCEEFF"/>
          </w:tcPr>
          <w:p>
            <w:pPr>
              <w:spacing w:after="0"/>
              <w:rPr>
                <w:sz w:val="15"/>
                <w:szCs w:val="15"/>
                <w:color w:val="auto"/>
              </w:rPr>
            </w:pPr>
          </w:p>
        </w:tc>
        <w:tc>
          <w:tcPr>
            <w:tcW w:w="2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5"/>
                <w:szCs w:val="15"/>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0000EE"/>
            </w:tcBorders>
            <w:gridSpan w:val="23"/>
            <w:shd w:val="clear" w:color="auto" w:fill="CCEEFF"/>
          </w:tcPr>
          <w:p>
            <w:pPr>
              <w:spacing w:after="0" w:line="20" w:lineRule="exact"/>
              <w:rPr>
                <w:sz w:val="1"/>
                <w:szCs w:val="1"/>
                <w:color w:val="auto"/>
              </w:rPr>
            </w:pPr>
          </w:p>
        </w:tc>
        <w:tc>
          <w:tcPr>
            <w:tcW w:w="4800" w:type="dxa"/>
            <w:vAlign w:val="bottom"/>
            <w:tcBorders>
              <w:top w:val="single" w:sz="8" w:color="CCEEFF"/>
            </w:tcBorders>
            <w:gridSpan w:val="32"/>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160" w:type="dxa"/>
            <w:vAlign w:val="bottom"/>
            <w:tcBorders>
              <w:top w:val="single" w:sz="8" w:color="0000EE"/>
            </w:tcBorders>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600" w:type="dxa"/>
            <w:vAlign w:val="bottom"/>
            <w:gridSpan w:val="5"/>
          </w:tcPr>
          <w:p>
            <w:pPr>
              <w:spacing w:after="0"/>
              <w:rPr>
                <w:sz w:val="17"/>
                <w:szCs w:val="17"/>
                <w:color w:val="auto"/>
              </w:rPr>
            </w:pPr>
          </w:p>
        </w:tc>
        <w:tc>
          <w:tcPr>
            <w:tcW w:w="2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660" w:type="dxa"/>
            <w:vAlign w:val="bottom"/>
            <w:tcBorders>
              <w:top w:val="single" w:sz="8" w:color="0000EE"/>
            </w:tcBorders>
            <w:gridSpan w:val="8"/>
          </w:tcPr>
          <w:p>
            <w:pPr>
              <w:spacing w:after="0" w:line="20" w:lineRule="exact"/>
              <w:rPr>
                <w:sz w:val="1"/>
                <w:szCs w:val="1"/>
                <w:color w:val="auto"/>
              </w:rPr>
            </w:pPr>
          </w:p>
        </w:tc>
        <w:tc>
          <w:tcPr>
            <w:tcW w:w="6200" w:type="dxa"/>
            <w:vAlign w:val="bottom"/>
            <w:gridSpan w:val="45"/>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7940" w:type="dxa"/>
            <w:vAlign w:val="bottom"/>
            <w:gridSpan w:val="5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2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shd w:val="clear" w:color="auto" w:fill="CCEEFF"/>
          </w:tcPr>
          <w:p>
            <w:pPr>
              <w:spacing w:after="0"/>
              <w:rPr>
                <w:sz w:val="15"/>
                <w:szCs w:val="15"/>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0000EE"/>
            </w:tcBorders>
            <w:gridSpan w:val="37"/>
            <w:shd w:val="clear" w:color="auto" w:fill="CCEEFF"/>
          </w:tcPr>
          <w:p>
            <w:pPr>
              <w:spacing w:after="0" w:line="20" w:lineRule="exact"/>
              <w:rPr>
                <w:sz w:val="1"/>
                <w:szCs w:val="1"/>
                <w:color w:val="auto"/>
              </w:rPr>
            </w:pPr>
          </w:p>
        </w:tc>
        <w:tc>
          <w:tcPr>
            <w:tcW w:w="2320" w:type="dxa"/>
            <w:vAlign w:val="bottom"/>
            <w:tcBorders>
              <w:top w:val="single" w:sz="8" w:color="CCEEFF"/>
            </w:tcBorders>
            <w:gridSpan w:val="17"/>
            <w:shd w:val="clear" w:color="auto" w:fill="CCEEFF"/>
          </w:tcPr>
          <w:p>
            <w:pPr>
              <w:spacing w:after="0" w:line="20" w:lineRule="exact"/>
              <w:rPr>
                <w:sz w:val="1"/>
                <w:szCs w:val="1"/>
                <w:color w:val="auto"/>
              </w:rPr>
            </w:pPr>
          </w:p>
        </w:tc>
        <w:tc>
          <w:tcPr>
            <w:tcW w:w="180" w:type="dxa"/>
            <w:vAlign w:val="bottom"/>
            <w:tcBorders>
              <w:top w:val="single" w:sz="8" w:color="0000EE"/>
            </w:tcBorders>
            <w:gridSpan w:val="2"/>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INDEPENDENT REGISTERED PUBLIC ACCOUNTING FIRM FEES AND OTHER MATTERS</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7200" w:type="dxa"/>
            <w:vAlign w:val="bottom"/>
            <w:tcBorders>
              <w:top w:val="single" w:sz="8" w:color="0000EE"/>
            </w:tcBorders>
            <w:gridSpan w:val="46"/>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6340" w:type="dxa"/>
            <w:vAlign w:val="bottom"/>
            <w:tcBorders>
              <w:bottom w:val="single" w:sz="8" w:color="0000EE"/>
            </w:tcBorders>
            <w:gridSpan w:val="4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3: APPROVAL, ON AN ADVISORY (NON-BINDING) BASIS, OF THE</w:t>
            </w:r>
          </w:p>
        </w:tc>
        <w:tc>
          <w:tcPr>
            <w:tcW w:w="1600" w:type="dxa"/>
            <w:vAlign w:val="bottom"/>
            <w:tcBorders>
              <w:bottom w:val="single" w:sz="8" w:color="CCEEFF"/>
            </w:tcBorders>
            <w:gridSpan w:val="11"/>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760" w:type="dxa"/>
            <w:vAlign w:val="bottom"/>
            <w:gridSpan w:val="5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COMPENSATION OF OUR NAMED EXECUTIVE OFFICERS</w:t>
            </w:r>
          </w:p>
        </w:tc>
        <w:tc>
          <w:tcPr>
            <w:tcW w:w="2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shd w:val="clear" w:color="auto" w:fill="CCEEFF"/>
          </w:tcPr>
          <w:p>
            <w:pPr>
              <w:spacing w:after="0"/>
              <w:rPr>
                <w:sz w:val="17"/>
                <w:szCs w:val="17"/>
                <w:color w:val="auto"/>
              </w:rPr>
            </w:pPr>
          </w:p>
        </w:tc>
      </w:tr>
      <w:tr>
        <w:trPr>
          <w:trHeight w:val="21"/>
        </w:trPr>
        <w:tc>
          <w:tcPr>
            <w:tcW w:w="360" w:type="dxa"/>
            <w:vAlign w:val="bottom"/>
            <w:tcBorders>
              <w:top w:val="single" w:sz="8" w:color="CCEEFF"/>
            </w:tcBorders>
            <w:gridSpan w:val="2"/>
            <w:shd w:val="clear" w:color="auto" w:fill="CCEEFF"/>
          </w:tcPr>
          <w:p>
            <w:pPr>
              <w:spacing w:after="0" w:line="20" w:lineRule="exact"/>
              <w:rPr>
                <w:sz w:val="1"/>
                <w:szCs w:val="1"/>
                <w:color w:val="auto"/>
              </w:rPr>
            </w:pPr>
          </w:p>
        </w:tc>
        <w:tc>
          <w:tcPr>
            <w:tcW w:w="4720" w:type="dxa"/>
            <w:vAlign w:val="bottom"/>
            <w:tcBorders>
              <w:top w:val="single" w:sz="8" w:color="0000EE"/>
            </w:tcBorders>
            <w:gridSpan w:val="31"/>
            <w:shd w:val="clear" w:color="auto" w:fill="CCEEFF"/>
          </w:tcPr>
          <w:p>
            <w:pPr>
              <w:spacing w:after="0" w:line="20" w:lineRule="exact"/>
              <w:rPr>
                <w:sz w:val="1"/>
                <w:szCs w:val="1"/>
                <w:color w:val="auto"/>
              </w:rPr>
            </w:pPr>
          </w:p>
        </w:tc>
        <w:tc>
          <w:tcPr>
            <w:tcW w:w="3140" w:type="dxa"/>
            <w:vAlign w:val="bottom"/>
            <w:tcBorders>
              <w:top w:val="single" w:sz="8" w:color="CCEEFF"/>
            </w:tcBorders>
            <w:gridSpan w:val="22"/>
            <w:shd w:val="clear" w:color="auto" w:fill="CCEEFF"/>
          </w:tcPr>
          <w:p>
            <w:pPr>
              <w:spacing w:after="0" w:line="20" w:lineRule="exact"/>
              <w:rPr>
                <w:sz w:val="1"/>
                <w:szCs w:val="1"/>
                <w:color w:val="auto"/>
              </w:rPr>
            </w:pPr>
          </w:p>
        </w:tc>
        <w:tc>
          <w:tcPr>
            <w:tcW w:w="180" w:type="dxa"/>
            <w:vAlign w:val="bottom"/>
            <w:tcBorders>
              <w:top w:val="single" w:sz="8" w:color="0000EE"/>
            </w:tcBorders>
            <w:gridSpan w:val="2"/>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PROPOSAL 4: APPROVAL OF AN AMENDMENT TO OUR CERTIFICATE OF INCORPORATION,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360" w:type="dxa"/>
            <w:vAlign w:val="bottom"/>
            <w:tcBorders>
              <w:top w:val="single" w:sz="8" w:color="0000EE"/>
            </w:tcBorders>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AS AMENDED (THE “CERTIFICATE OF INCORPORATION”) TO INCREASE THE NUMBER</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80" w:type="dxa"/>
            <w:vAlign w:val="bottom"/>
            <w:tcBorders>
              <w:top w:val="single" w:sz="8" w:color="0000EE"/>
            </w:tcBorders>
            <w:gridSpan w:val="48"/>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OF AUTHORIZED SHARES OF THE COMPANY’S COMMON STOCK, PAR VALUE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0.0001</w:t>
            </w:r>
          </w:p>
        </w:tc>
        <w:tc>
          <w:tcPr>
            <w:tcW w:w="58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00" w:type="dxa"/>
            <w:vAlign w:val="bottom"/>
            <w:tcBorders>
              <w:top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PER SHARE (THE “COMMON STOCK”) FROM 100,000,000 TO 200,000,000</w:t>
            </w:r>
          </w:p>
        </w:tc>
        <w:tc>
          <w:tcPr>
            <w:tcW w:w="660" w:type="dxa"/>
            <w:vAlign w:val="bottom"/>
            <w:gridSpan w:val="6"/>
          </w:tcPr>
          <w:p>
            <w:pPr>
              <w:spacing w:after="0"/>
              <w:rPr>
                <w:sz w:val="17"/>
                <w:szCs w:val="17"/>
                <w:color w:val="auto"/>
              </w:rPr>
            </w:pPr>
          </w:p>
        </w:tc>
        <w:tc>
          <w:tcPr>
            <w:tcW w:w="2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tcPr>
          <w:p>
            <w:pPr>
              <w:spacing w:after="0"/>
              <w:rPr>
                <w:sz w:val="17"/>
                <w:szCs w:val="17"/>
                <w:color w:val="auto"/>
              </w:rPr>
            </w:pPr>
          </w:p>
        </w:tc>
      </w:tr>
      <w:tr>
        <w:trPr>
          <w:trHeight w:val="21"/>
        </w:trPr>
        <w:tc>
          <w:tcPr>
            <w:tcW w:w="360" w:type="dxa"/>
            <w:vAlign w:val="bottom"/>
            <w:gridSpan w:val="2"/>
          </w:tcPr>
          <w:p>
            <w:pPr>
              <w:spacing w:after="0" w:line="20" w:lineRule="exact"/>
              <w:rPr>
                <w:sz w:val="1"/>
                <w:szCs w:val="1"/>
                <w:color w:val="auto"/>
              </w:rPr>
            </w:pPr>
          </w:p>
        </w:tc>
        <w:tc>
          <w:tcPr>
            <w:tcW w:w="5860" w:type="dxa"/>
            <w:vAlign w:val="bottom"/>
            <w:tcBorders>
              <w:top w:val="single" w:sz="8" w:color="0000EE"/>
            </w:tcBorders>
            <w:gridSpan w:val="38"/>
          </w:tcPr>
          <w:p>
            <w:pPr>
              <w:spacing w:after="0" w:line="20" w:lineRule="exact"/>
              <w:rPr>
                <w:sz w:val="1"/>
                <w:szCs w:val="1"/>
                <w:color w:val="auto"/>
              </w:rPr>
            </w:pPr>
          </w:p>
        </w:tc>
        <w:tc>
          <w:tcPr>
            <w:tcW w:w="2000" w:type="dxa"/>
            <w:vAlign w:val="bottom"/>
            <w:gridSpan w:val="15"/>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7940" w:type="dxa"/>
            <w:vAlign w:val="bottom"/>
            <w:gridSpan w:val="5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5: APPROVAL OF AN AMENDMENT TO OUR CERTIFICATE OF INCORPORATION</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7260" w:type="dxa"/>
            <w:vAlign w:val="bottom"/>
            <w:tcBorders>
              <w:top w:val="single" w:sz="8" w:color="0000EE"/>
              <w:bottom w:val="single" w:sz="8" w:color="0000EE"/>
            </w:tcBorders>
            <w:gridSpan w:val="4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TO PROVIDE FOR EXCULPATION OF OFFICERS FROM BREACHES OF FIDUCIARY DUTY</w:t>
            </w:r>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60" w:type="dxa"/>
            <w:vAlign w:val="bottom"/>
            <w:tcBorders>
              <w:bottom w:val="single" w:sz="8" w:color="0000EE"/>
            </w:tcBorders>
            <w:gridSpan w:val="4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TO THE EXTENT PERMITTED BY THE GENERAL CORPORATION LAW OF THE STATE OF</w:t>
            </w:r>
          </w:p>
        </w:tc>
        <w:tc>
          <w:tcPr>
            <w:tcW w:w="50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760" w:type="dxa"/>
            <w:vAlign w:val="bottom"/>
            <w:gridSpan w:val="5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DELAWARE</w:t>
            </w:r>
          </w:p>
        </w:tc>
        <w:tc>
          <w:tcPr>
            <w:tcW w:w="2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shd w:val="clear" w:color="auto" w:fill="CCEEFF"/>
          </w:tcPr>
          <w:p>
            <w:pPr>
              <w:spacing w:after="0"/>
              <w:rPr>
                <w:sz w:val="17"/>
                <w:szCs w:val="17"/>
                <w:color w:val="auto"/>
              </w:rPr>
            </w:pPr>
          </w:p>
        </w:tc>
      </w:tr>
      <w:tr>
        <w:trPr>
          <w:trHeight w:val="20"/>
        </w:trPr>
        <w:tc>
          <w:tcPr>
            <w:tcW w:w="360" w:type="dxa"/>
            <w:vAlign w:val="bottom"/>
            <w:tcBorders>
              <w:top w:val="single" w:sz="8" w:color="CCEEFF"/>
            </w:tcBorders>
            <w:gridSpan w:val="2"/>
            <w:shd w:val="clear" w:color="auto" w:fill="CCEEFF"/>
          </w:tcPr>
          <w:p>
            <w:pPr>
              <w:spacing w:after="0" w:line="20" w:lineRule="exact"/>
              <w:rPr>
                <w:sz w:val="1"/>
                <w:szCs w:val="1"/>
                <w:color w:val="auto"/>
              </w:rPr>
            </w:pPr>
          </w:p>
        </w:tc>
        <w:tc>
          <w:tcPr>
            <w:tcW w:w="960" w:type="dxa"/>
            <w:vAlign w:val="bottom"/>
            <w:tcBorders>
              <w:top w:val="single" w:sz="8" w:color="0000EE"/>
            </w:tcBorders>
            <w:gridSpan w:val="3"/>
            <w:shd w:val="clear" w:color="auto" w:fill="CCEEFF"/>
          </w:tcPr>
          <w:p>
            <w:pPr>
              <w:spacing w:after="0" w:line="20" w:lineRule="exact"/>
              <w:rPr>
                <w:sz w:val="1"/>
                <w:szCs w:val="1"/>
                <w:color w:val="auto"/>
              </w:rPr>
            </w:pPr>
          </w:p>
        </w:tc>
        <w:tc>
          <w:tcPr>
            <w:tcW w:w="6900" w:type="dxa"/>
            <w:vAlign w:val="bottom"/>
            <w:tcBorders>
              <w:top w:val="single" w:sz="8" w:color="CCEEFF"/>
            </w:tcBorders>
            <w:gridSpan w:val="50"/>
            <w:shd w:val="clear" w:color="auto" w:fill="CCEEFF"/>
          </w:tcPr>
          <w:p>
            <w:pPr>
              <w:spacing w:after="0" w:line="20" w:lineRule="exact"/>
              <w:rPr>
                <w:sz w:val="1"/>
                <w:szCs w:val="1"/>
                <w:color w:val="auto"/>
              </w:rPr>
            </w:pPr>
          </w:p>
        </w:tc>
        <w:tc>
          <w:tcPr>
            <w:tcW w:w="180" w:type="dxa"/>
            <w:vAlign w:val="bottom"/>
            <w:tcBorders>
              <w:top w:val="single" w:sz="8" w:color="0000EE"/>
            </w:tcBorders>
            <w:gridSpan w:val="2"/>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120" w:type="dxa"/>
            <w:vAlign w:val="bottom"/>
            <w:gridSpan w:val="54"/>
          </w:tcPr>
          <w:p>
            <w:pPr>
              <w:spacing w:after="0" w:line="176" w:lineRule="exact"/>
              <w:rPr>
                <w:sz w:val="20"/>
                <w:szCs w:val="20"/>
                <w:color w:val="auto"/>
              </w:rPr>
            </w:pPr>
            <w:r>
              <w:rPr>
                <w:rFonts w:ascii="Times New Roman" w:cs="Times New Roman" w:eastAsia="Times New Roman" w:hAnsi="Times New Roman"/>
                <w:sz w:val="18"/>
                <w:szCs w:val="18"/>
                <w:color w:val="0000EE"/>
              </w:rPr>
              <w:t>EXECUTIVE OFFICERS</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5"/>
                <w:szCs w:val="15"/>
                <w:color w:val="auto"/>
              </w:rPr>
            </w:pPr>
          </w:p>
        </w:tc>
      </w:tr>
      <w:tr>
        <w:trPr>
          <w:trHeight w:val="20"/>
        </w:trPr>
        <w:tc>
          <w:tcPr>
            <w:tcW w:w="1880" w:type="dxa"/>
            <w:vAlign w:val="bottom"/>
            <w:tcBorders>
              <w:top w:val="single" w:sz="8" w:color="0000EE"/>
            </w:tcBorders>
            <w:gridSpan w:val="9"/>
          </w:tcPr>
          <w:p>
            <w:pPr>
              <w:spacing w:after="0" w:line="20" w:lineRule="exact"/>
              <w:rPr>
                <w:sz w:val="1"/>
                <w:szCs w:val="1"/>
                <w:color w:val="auto"/>
              </w:rPr>
            </w:pPr>
          </w:p>
        </w:tc>
        <w:tc>
          <w:tcPr>
            <w:tcW w:w="6340" w:type="dxa"/>
            <w:vAlign w:val="bottom"/>
            <w:gridSpan w:val="46"/>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120" w:type="dxa"/>
            <w:vAlign w:val="bottom"/>
            <w:gridSpan w:val="5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2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7"/>
                <w:szCs w:val="17"/>
                <w:color w:val="auto"/>
              </w:rPr>
            </w:pPr>
          </w:p>
        </w:tc>
      </w:tr>
      <w:tr>
        <w:trPr>
          <w:trHeight w:val="175"/>
        </w:trPr>
        <w:tc>
          <w:tcPr>
            <w:tcW w:w="180" w:type="dxa"/>
            <w:vAlign w:val="bottom"/>
            <w:tcBorders>
              <w:top w:val="single" w:sz="8" w:color="0000EE"/>
            </w:tcBorders>
          </w:tcPr>
          <w:p>
            <w:pPr>
              <w:spacing w:after="0"/>
              <w:rPr>
                <w:sz w:val="15"/>
                <w:szCs w:val="15"/>
                <w:color w:val="auto"/>
              </w:rPr>
            </w:pPr>
          </w:p>
        </w:tc>
        <w:tc>
          <w:tcPr>
            <w:tcW w:w="21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GENERAL</w:t>
            </w:r>
          </w:p>
        </w:tc>
        <w:tc>
          <w:tcPr>
            <w:tcW w:w="5800" w:type="dxa"/>
            <w:vAlign w:val="bottom"/>
            <w:tcBorders>
              <w:top w:val="single" w:sz="8" w:color="CCEEFF"/>
            </w:tcBorders>
            <w:gridSpan w:val="41"/>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22</w:t>
            </w:r>
          </w:p>
        </w:tc>
        <w:tc>
          <w:tcPr>
            <w:tcW w:w="20" w:type="dxa"/>
            <w:vAlign w:val="bottom"/>
            <w:tcBorders>
              <w:top w:val="single" w:sz="8" w:color="CCEEFF"/>
            </w:tcBorders>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840" w:type="dxa"/>
            <w:vAlign w:val="bottom"/>
            <w:tcBorders>
              <w:top w:val="single" w:sz="8" w:color="0000EE"/>
            </w:tcBorders>
            <w:gridSpan w:val="2"/>
          </w:tcPr>
          <w:p>
            <w:pPr>
              <w:spacing w:after="0" w:line="20" w:lineRule="exact"/>
              <w:rPr>
                <w:sz w:val="1"/>
                <w:szCs w:val="1"/>
                <w:color w:val="auto"/>
              </w:rPr>
            </w:pPr>
          </w:p>
        </w:tc>
        <w:tc>
          <w:tcPr>
            <w:tcW w:w="7200" w:type="dxa"/>
            <w:vAlign w:val="bottom"/>
            <w:gridSpan w:val="52"/>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BOARD COMPOSITION</w:t>
            </w:r>
          </w:p>
        </w:tc>
        <w:tc>
          <w:tcPr>
            <w:tcW w:w="6040" w:type="dxa"/>
            <w:vAlign w:val="bottom"/>
            <w:tcBorders>
              <w:bottom w:val="single" w:sz="8" w:color="CCEEFF"/>
            </w:tcBorders>
            <w:gridSpan w:val="4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DIRECTOR INDEPENDENCE</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300" w:type="dxa"/>
            <w:vAlign w:val="bottom"/>
            <w:tcBorders>
              <w:top w:val="single" w:sz="8" w:color="0000EE"/>
            </w:tcBorders>
            <w:gridSpan w:val="15"/>
          </w:tcPr>
          <w:p>
            <w:pPr>
              <w:spacing w:after="0" w:line="20" w:lineRule="exact"/>
              <w:rPr>
                <w:sz w:val="1"/>
                <w:szCs w:val="1"/>
                <w:color w:val="auto"/>
              </w:rPr>
            </w:pPr>
          </w:p>
        </w:tc>
        <w:tc>
          <w:tcPr>
            <w:tcW w:w="5740" w:type="dxa"/>
            <w:vAlign w:val="bottom"/>
            <w:gridSpan w:val="39"/>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COMMUNICATIONS BY INTERESTED PARTIES</w:t>
            </w:r>
          </w:p>
        </w:tc>
        <w:tc>
          <w:tcPr>
            <w:tcW w:w="4120" w:type="dxa"/>
            <w:vAlign w:val="bottom"/>
            <w:tcBorders>
              <w:bottom w:val="single" w:sz="8" w:color="CCEEFF"/>
            </w:tcBorders>
            <w:gridSpan w:val="2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BOARD LEADERSHIP STRUCTURE AND ROLE IN RISK OVERSIGHT</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5560" w:type="dxa"/>
            <w:vAlign w:val="bottom"/>
            <w:tcBorders>
              <w:top w:val="single" w:sz="8" w:color="0000EE"/>
            </w:tcBorders>
            <w:gridSpan w:val="35"/>
          </w:tcPr>
          <w:p>
            <w:pPr>
              <w:spacing w:after="0" w:line="20" w:lineRule="exact"/>
              <w:rPr>
                <w:sz w:val="1"/>
                <w:szCs w:val="1"/>
                <w:color w:val="auto"/>
              </w:rPr>
            </w:pPr>
          </w:p>
        </w:tc>
        <w:tc>
          <w:tcPr>
            <w:tcW w:w="2480" w:type="dxa"/>
            <w:vAlign w:val="bottom"/>
            <w:gridSpan w:val="19"/>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SESSIONS</w:t>
            </w:r>
          </w:p>
        </w:tc>
        <w:tc>
          <w:tcPr>
            <w:tcW w:w="6060" w:type="dxa"/>
            <w:vAlign w:val="bottom"/>
            <w:tcBorders>
              <w:bottom w:val="single" w:sz="8" w:color="CCEEFF"/>
            </w:tcBorders>
            <w:gridSpan w:val="4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24</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COMPLIANCE POLICY</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3460" w:type="dxa"/>
            <w:vAlign w:val="bottom"/>
            <w:tcBorders>
              <w:top w:val="single" w:sz="8" w:color="0000EE"/>
            </w:tcBorders>
            <w:gridSpan w:val="24"/>
          </w:tcPr>
          <w:p>
            <w:pPr>
              <w:spacing w:after="0" w:line="20" w:lineRule="exact"/>
              <w:rPr>
                <w:sz w:val="1"/>
                <w:szCs w:val="1"/>
                <w:color w:val="auto"/>
              </w:rPr>
            </w:pPr>
          </w:p>
        </w:tc>
        <w:tc>
          <w:tcPr>
            <w:tcW w:w="4580" w:type="dxa"/>
            <w:vAlign w:val="bottom"/>
            <w:gridSpan w:val="30"/>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5640" w:type="dxa"/>
            <w:vAlign w:val="bottom"/>
            <w:tcBorders>
              <w:bottom w:val="single" w:sz="8" w:color="0000EE"/>
            </w:tcBorders>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RECOVERY OF ERRONEOUSLY AWARDED COMPENSATION POLICY</w:t>
            </w:r>
          </w:p>
        </w:tc>
        <w:tc>
          <w:tcPr>
            <w:tcW w:w="2300" w:type="dxa"/>
            <w:vAlign w:val="bottom"/>
            <w:tcBorders>
              <w:bottom w:val="single" w:sz="8" w:color="CCEEFF"/>
            </w:tcBorders>
            <w:gridSpan w:val="17"/>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24</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EQUITY AWARD TIMING POLICIES AND PRACTICE</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4240" w:type="dxa"/>
            <w:vAlign w:val="bottom"/>
            <w:tcBorders>
              <w:top w:val="single" w:sz="8" w:color="0000EE"/>
            </w:tcBorders>
            <w:gridSpan w:val="31"/>
          </w:tcPr>
          <w:p>
            <w:pPr>
              <w:spacing w:after="0" w:line="20" w:lineRule="exact"/>
              <w:rPr>
                <w:sz w:val="1"/>
                <w:szCs w:val="1"/>
                <w:color w:val="auto"/>
              </w:rPr>
            </w:pPr>
          </w:p>
        </w:tc>
        <w:tc>
          <w:tcPr>
            <w:tcW w:w="3800" w:type="dxa"/>
            <w:vAlign w:val="bottom"/>
            <w:gridSpan w:val="23"/>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CODE OF BUSINESS CONDUCT AND ETHICS</w:t>
            </w:r>
          </w:p>
        </w:tc>
        <w:tc>
          <w:tcPr>
            <w:tcW w:w="4260" w:type="dxa"/>
            <w:vAlign w:val="bottom"/>
            <w:tcBorders>
              <w:bottom w:val="single" w:sz="8" w:color="CCEEFF"/>
            </w:tcBorders>
            <w:gridSpan w:val="27"/>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24</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ATTENDANCE BY MEMBERS OF THE BOARD OF DIRECTORS AT MEETINGS</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6280" w:type="dxa"/>
            <w:vAlign w:val="bottom"/>
            <w:tcBorders>
              <w:top w:val="single" w:sz="8" w:color="0000EE"/>
            </w:tcBorders>
            <w:gridSpan w:val="41"/>
          </w:tcPr>
          <w:p>
            <w:pPr>
              <w:spacing w:after="0" w:line="20" w:lineRule="exact"/>
              <w:rPr>
                <w:sz w:val="1"/>
                <w:szCs w:val="1"/>
                <w:color w:val="auto"/>
              </w:rPr>
            </w:pPr>
          </w:p>
        </w:tc>
        <w:tc>
          <w:tcPr>
            <w:tcW w:w="1760" w:type="dxa"/>
            <w:vAlign w:val="bottom"/>
            <w:gridSpan w:val="13"/>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120" w:type="dxa"/>
            <w:vAlign w:val="bottom"/>
            <w:gridSpan w:val="5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COMMITTEES OF THE BOARD</w:t>
            </w:r>
          </w:p>
        </w:tc>
        <w:tc>
          <w:tcPr>
            <w:tcW w:w="2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shd w:val="clear" w:color="auto" w:fill="CCEEFF"/>
          </w:tcPr>
          <w:p>
            <w:pPr>
              <w:spacing w:after="0"/>
              <w:rPr>
                <w:sz w:val="17"/>
                <w:szCs w:val="17"/>
                <w:color w:val="auto"/>
              </w:rPr>
            </w:pPr>
          </w:p>
        </w:tc>
      </w:tr>
      <w:tr>
        <w:trPr>
          <w:trHeight w:val="175"/>
        </w:trPr>
        <w:tc>
          <w:tcPr>
            <w:tcW w:w="180" w:type="dxa"/>
            <w:vAlign w:val="bottom"/>
            <w:tcBorders>
              <w:top w:val="single" w:sz="8" w:color="0000EE"/>
            </w:tcBorders>
          </w:tcPr>
          <w:p>
            <w:pPr>
              <w:spacing w:after="0"/>
              <w:rPr>
                <w:sz w:val="15"/>
                <w:szCs w:val="15"/>
                <w:color w:val="auto"/>
              </w:rPr>
            </w:pPr>
          </w:p>
        </w:tc>
        <w:tc>
          <w:tcPr>
            <w:tcW w:w="232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AUDIT COMMITTEE</w:t>
            </w:r>
          </w:p>
        </w:tc>
        <w:tc>
          <w:tcPr>
            <w:tcW w:w="5620" w:type="dxa"/>
            <w:vAlign w:val="bottom"/>
            <w:tcBorders>
              <w:top w:val="single" w:sz="8" w:color="CCEEFF"/>
            </w:tcBorders>
            <w:gridSpan w:val="37"/>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26</w:t>
            </w:r>
          </w:p>
        </w:tc>
        <w:tc>
          <w:tcPr>
            <w:tcW w:w="20" w:type="dxa"/>
            <w:vAlign w:val="bottom"/>
            <w:tcBorders>
              <w:top w:val="single" w:sz="8" w:color="CCEEFF"/>
            </w:tcBorders>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tcBorders>
              <w:top w:val="single" w:sz="8" w:color="0000EE"/>
            </w:tcBorders>
            <w:gridSpan w:val="7"/>
          </w:tcPr>
          <w:p>
            <w:pPr>
              <w:spacing w:after="0" w:line="20" w:lineRule="exact"/>
              <w:rPr>
                <w:sz w:val="1"/>
                <w:szCs w:val="1"/>
                <w:color w:val="auto"/>
              </w:rPr>
            </w:pPr>
          </w:p>
        </w:tc>
        <w:tc>
          <w:tcPr>
            <w:tcW w:w="6380" w:type="dxa"/>
            <w:vAlign w:val="bottom"/>
            <w:gridSpan w:val="47"/>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COMPENSATION COMMITTEE</w:t>
            </w:r>
          </w:p>
        </w:tc>
        <w:tc>
          <w:tcPr>
            <w:tcW w:w="5440" w:type="dxa"/>
            <w:vAlign w:val="bottom"/>
            <w:tcBorders>
              <w:bottom w:val="single" w:sz="8" w:color="CCEEFF"/>
            </w:tcBorders>
            <w:gridSpan w:val="35"/>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27</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5060" w:type="dxa"/>
            <w:vAlign w:val="bottom"/>
            <w:tcBorders>
              <w:top w:val="single" w:sz="8" w:color="0000EE"/>
            </w:tcBorders>
            <w:gridSpan w:val="33"/>
          </w:tcPr>
          <w:p>
            <w:pPr>
              <w:spacing w:after="0" w:line="20" w:lineRule="exact"/>
              <w:rPr>
                <w:sz w:val="1"/>
                <w:szCs w:val="1"/>
                <w:color w:val="auto"/>
              </w:rPr>
            </w:pPr>
          </w:p>
        </w:tc>
        <w:tc>
          <w:tcPr>
            <w:tcW w:w="2980" w:type="dxa"/>
            <w:vAlign w:val="bottom"/>
            <w:gridSpan w:val="21"/>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680" w:type="dxa"/>
            <w:vAlign w:val="bottom"/>
            <w:tcBorders>
              <w:bottom w:val="single" w:sz="8" w:color="CCEEFF"/>
            </w:tcBorders>
            <w:gridSpan w:val="40"/>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PAY VERSUS PERFORMANCE (PVP)</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920" w:type="dxa"/>
            <w:vAlign w:val="bottom"/>
            <w:tcBorders>
              <w:top w:val="single" w:sz="8" w:color="0000EE"/>
            </w:tcBorders>
            <w:gridSpan w:val="20"/>
          </w:tcPr>
          <w:p>
            <w:pPr>
              <w:spacing w:after="0" w:line="20" w:lineRule="exact"/>
              <w:rPr>
                <w:sz w:val="1"/>
                <w:szCs w:val="1"/>
                <w:color w:val="auto"/>
              </w:rPr>
            </w:pPr>
          </w:p>
        </w:tc>
        <w:tc>
          <w:tcPr>
            <w:tcW w:w="5120" w:type="dxa"/>
            <w:vAlign w:val="bottom"/>
            <w:gridSpan w:val="34"/>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120" w:type="dxa"/>
            <w:vAlign w:val="bottom"/>
            <w:gridSpan w:val="5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 COMPENSATION</w:t>
            </w:r>
          </w:p>
        </w:tc>
        <w:tc>
          <w:tcPr>
            <w:tcW w:w="2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shd w:val="clear" w:color="auto" w:fill="CCEEFF"/>
          </w:tcPr>
          <w:p>
            <w:pPr>
              <w:spacing w:after="0"/>
              <w:rPr>
                <w:sz w:val="15"/>
                <w:szCs w:val="15"/>
                <w:color w:val="auto"/>
              </w:rPr>
            </w:pPr>
          </w:p>
        </w:tc>
      </w:tr>
      <w:tr>
        <w:trPr>
          <w:trHeight w:val="20"/>
        </w:trPr>
        <w:tc>
          <w:tcPr>
            <w:tcW w:w="2320" w:type="dxa"/>
            <w:vAlign w:val="bottom"/>
            <w:tcBorders>
              <w:top w:val="single" w:sz="8" w:color="0000EE"/>
            </w:tcBorders>
            <w:gridSpan w:val="13"/>
            <w:shd w:val="clear" w:color="auto" w:fill="CCEEFF"/>
          </w:tcPr>
          <w:p>
            <w:pPr>
              <w:spacing w:after="0" w:line="20" w:lineRule="exact"/>
              <w:rPr>
                <w:sz w:val="1"/>
                <w:szCs w:val="1"/>
                <w:color w:val="auto"/>
              </w:rPr>
            </w:pPr>
          </w:p>
        </w:tc>
        <w:tc>
          <w:tcPr>
            <w:tcW w:w="5900" w:type="dxa"/>
            <w:vAlign w:val="bottom"/>
            <w:tcBorders>
              <w:top w:val="single" w:sz="8" w:color="CCEEFF"/>
            </w:tcBorders>
            <w:gridSpan w:val="42"/>
            <w:shd w:val="clear" w:color="auto" w:fill="CCEEFF"/>
          </w:tcPr>
          <w:p>
            <w:pPr>
              <w:spacing w:after="0" w:line="20" w:lineRule="exact"/>
              <w:rPr>
                <w:sz w:val="1"/>
                <w:szCs w:val="1"/>
                <w:color w:val="auto"/>
              </w:rPr>
            </w:pPr>
          </w:p>
        </w:tc>
        <w:tc>
          <w:tcPr>
            <w:tcW w:w="180" w:type="dxa"/>
            <w:vAlign w:val="bottom"/>
            <w:tcBorders>
              <w:top w:val="single" w:sz="8" w:color="0000EE"/>
            </w:tcBorders>
            <w:gridSpan w:val="2"/>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120" w:type="dxa"/>
            <w:vAlign w:val="bottom"/>
            <w:gridSpan w:val="54"/>
          </w:tcPr>
          <w:p>
            <w:pPr>
              <w:spacing w:after="0" w:line="17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tcPr>
          <w:p>
            <w:pPr>
              <w:spacing w:after="0"/>
              <w:rPr>
                <w:sz w:val="15"/>
                <w:szCs w:val="15"/>
                <w:color w:val="auto"/>
              </w:rPr>
            </w:pPr>
          </w:p>
        </w:tc>
      </w:tr>
      <w:tr>
        <w:trPr>
          <w:trHeight w:val="20"/>
        </w:trPr>
        <w:tc>
          <w:tcPr>
            <w:tcW w:w="3900" w:type="dxa"/>
            <w:vAlign w:val="bottom"/>
            <w:tcBorders>
              <w:top w:val="single" w:sz="8" w:color="0000EE"/>
            </w:tcBorders>
            <w:gridSpan w:val="28"/>
          </w:tcPr>
          <w:p>
            <w:pPr>
              <w:spacing w:after="0" w:line="20" w:lineRule="exact"/>
              <w:rPr>
                <w:sz w:val="1"/>
                <w:szCs w:val="1"/>
                <w:color w:val="auto"/>
              </w:rPr>
            </w:pPr>
          </w:p>
        </w:tc>
        <w:tc>
          <w:tcPr>
            <w:tcW w:w="4320" w:type="dxa"/>
            <w:vAlign w:val="bottom"/>
            <w:gridSpan w:val="27"/>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720" w:type="dxa"/>
            <w:vAlign w:val="bottom"/>
            <w:tcBorders>
              <w:bottom w:val="single" w:sz="8" w:color="0000EE"/>
            </w:tcBorders>
            <w:gridSpan w:val="4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400" w:type="dxa"/>
            <w:vAlign w:val="bottom"/>
            <w:tcBorders>
              <w:bottom w:val="single" w:sz="8" w:color="CCEEFF"/>
            </w:tcBorders>
            <w:gridSpan w:val="10"/>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38</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8120" w:type="dxa"/>
            <w:vAlign w:val="bottom"/>
            <w:gridSpan w:val="54"/>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tcPr>
          <w:p>
            <w:pPr>
              <w:spacing w:after="0"/>
              <w:rPr>
                <w:sz w:val="15"/>
                <w:szCs w:val="15"/>
                <w:color w:val="auto"/>
              </w:rPr>
            </w:pPr>
          </w:p>
        </w:tc>
      </w:tr>
      <w:tr>
        <w:trPr>
          <w:trHeight w:val="20"/>
        </w:trPr>
        <w:tc>
          <w:tcPr>
            <w:tcW w:w="5580" w:type="dxa"/>
            <w:vAlign w:val="bottom"/>
            <w:tcBorders>
              <w:top w:val="single" w:sz="8" w:color="0000EE"/>
            </w:tcBorders>
            <w:gridSpan w:val="35"/>
          </w:tcPr>
          <w:p>
            <w:pPr>
              <w:spacing w:after="0" w:line="20" w:lineRule="exact"/>
              <w:rPr>
                <w:sz w:val="1"/>
                <w:szCs w:val="1"/>
                <w:color w:val="auto"/>
              </w:rPr>
            </w:pPr>
          </w:p>
        </w:tc>
        <w:tc>
          <w:tcPr>
            <w:tcW w:w="2640" w:type="dxa"/>
            <w:vAlign w:val="bottom"/>
            <w:gridSpan w:val="20"/>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7940" w:type="dxa"/>
            <w:vAlign w:val="bottom"/>
            <w:gridSpan w:val="5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POLICIES AND PROCEDURES FOR RELATED PERSON TRANSACTIONS</w:t>
            </w:r>
          </w:p>
        </w:tc>
        <w:tc>
          <w:tcPr>
            <w:tcW w:w="2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shd w:val="clear" w:color="auto" w:fill="CCEEFF"/>
          </w:tcPr>
          <w:p>
            <w:pPr>
              <w:spacing w:after="0"/>
              <w:rPr>
                <w:sz w:val="15"/>
                <w:szCs w:val="15"/>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0000EE"/>
            </w:tcBorders>
            <w:gridSpan w:val="38"/>
            <w:shd w:val="clear" w:color="auto" w:fill="CCEEFF"/>
          </w:tcPr>
          <w:p>
            <w:pPr>
              <w:spacing w:after="0" w:line="20" w:lineRule="exact"/>
              <w:rPr>
                <w:sz w:val="1"/>
                <w:szCs w:val="1"/>
                <w:color w:val="auto"/>
              </w:rPr>
            </w:pPr>
          </w:p>
        </w:tc>
        <w:tc>
          <w:tcPr>
            <w:tcW w:w="2220" w:type="dxa"/>
            <w:vAlign w:val="bottom"/>
            <w:tcBorders>
              <w:top w:val="single" w:sz="8" w:color="CCEEFF"/>
            </w:tcBorders>
            <w:gridSpan w:val="16"/>
            <w:shd w:val="clear" w:color="auto" w:fill="CCEEFF"/>
          </w:tcPr>
          <w:p>
            <w:pPr>
              <w:spacing w:after="0" w:line="20" w:lineRule="exact"/>
              <w:rPr>
                <w:sz w:val="1"/>
                <w:szCs w:val="1"/>
                <w:color w:val="auto"/>
              </w:rPr>
            </w:pPr>
          </w:p>
        </w:tc>
        <w:tc>
          <w:tcPr>
            <w:tcW w:w="180" w:type="dxa"/>
            <w:vAlign w:val="bottom"/>
            <w:tcBorders>
              <w:top w:val="single" w:sz="8" w:color="0000EE"/>
            </w:tcBorders>
            <w:gridSpan w:val="2"/>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TRANSACTIONS RELATED TO DIRECTORS, EQUITY HOLDERS AND EXECUTIVE OFFICERS</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7540" w:type="dxa"/>
            <w:vAlign w:val="bottom"/>
            <w:tcBorders>
              <w:top w:val="single" w:sz="8" w:color="0000EE"/>
            </w:tcBorders>
            <w:gridSpan w:val="5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OTHER MATTERS</w:t>
            </w:r>
          </w:p>
        </w:tc>
        <w:tc>
          <w:tcPr>
            <w:tcW w:w="6660" w:type="dxa"/>
            <w:vAlign w:val="bottom"/>
            <w:tcBorders>
              <w:bottom w:val="single" w:sz="8" w:color="CCEEFF"/>
            </w:tcBorders>
            <w:gridSpan w:val="48"/>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3200" w:type="dxa"/>
            <w:vAlign w:val="bottom"/>
            <w:tcBorders>
              <w:top w:val="single" w:sz="8" w:color="0000EE"/>
            </w:tcBorders>
            <w:gridSpan w:val="22"/>
          </w:tcPr>
          <w:p>
            <w:pPr>
              <w:spacing w:after="0" w:line="20" w:lineRule="exact"/>
              <w:rPr>
                <w:sz w:val="1"/>
                <w:szCs w:val="1"/>
                <w:color w:val="auto"/>
              </w:rPr>
            </w:pPr>
          </w:p>
        </w:tc>
        <w:tc>
          <w:tcPr>
            <w:tcW w:w="4840" w:type="dxa"/>
            <w:vAlign w:val="bottom"/>
            <w:gridSpan w:val="32"/>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200" w:type="dxa"/>
            <w:vAlign w:val="bottom"/>
            <w:tcBorders>
              <w:bottom w:val="single" w:sz="8" w:color="0000EE"/>
            </w:tcBorders>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COMPENSATION COMMITTEE INTERLOCKS AND INSIDER PARTICIPATION</w:t>
            </w:r>
          </w:p>
        </w:tc>
        <w:tc>
          <w:tcPr>
            <w:tcW w:w="1740" w:type="dxa"/>
            <w:vAlign w:val="bottom"/>
            <w:tcBorders>
              <w:bottom w:val="single" w:sz="8" w:color="CCEEFF"/>
            </w:tcBorders>
            <w:gridSpan w:val="1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STOCKHOLDERS’ PROPOSALS</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540" w:type="dxa"/>
            <w:vAlign w:val="bottom"/>
            <w:tcBorders>
              <w:top w:val="single" w:sz="8" w:color="0000EE"/>
            </w:tcBorders>
            <w:gridSpan w:val="19"/>
          </w:tcPr>
          <w:p>
            <w:pPr>
              <w:spacing w:after="0" w:line="20" w:lineRule="exact"/>
              <w:rPr>
                <w:sz w:val="1"/>
                <w:szCs w:val="1"/>
                <w:color w:val="auto"/>
              </w:rPr>
            </w:pPr>
          </w:p>
        </w:tc>
        <w:tc>
          <w:tcPr>
            <w:tcW w:w="5500" w:type="dxa"/>
            <w:vAlign w:val="bottom"/>
            <w:gridSpan w:val="35"/>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378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MATTERS AT THE ANNUAL MEETING</w:t>
            </w:r>
          </w:p>
        </w:tc>
        <w:tc>
          <w:tcPr>
            <w:tcW w:w="4160" w:type="dxa"/>
            <w:vAlign w:val="bottom"/>
            <w:tcBorders>
              <w:bottom w:val="single" w:sz="8" w:color="CCEEFF"/>
            </w:tcBorders>
            <w:gridSpan w:val="25"/>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794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SOLICITATION OF PROXIES</w:t>
            </w:r>
          </w:p>
        </w:tc>
        <w:tc>
          <w:tcPr>
            <w:tcW w:w="2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41</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280" w:type="dxa"/>
            <w:vAlign w:val="bottom"/>
            <w:tcBorders>
              <w:top w:val="single" w:sz="8" w:color="0000EE"/>
            </w:tcBorders>
            <w:gridSpan w:val="14"/>
          </w:tcPr>
          <w:p>
            <w:pPr>
              <w:spacing w:after="0" w:line="20" w:lineRule="exact"/>
              <w:rPr>
                <w:sz w:val="1"/>
                <w:szCs w:val="1"/>
                <w:color w:val="auto"/>
              </w:rPr>
            </w:pPr>
          </w:p>
        </w:tc>
        <w:tc>
          <w:tcPr>
            <w:tcW w:w="5760" w:type="dxa"/>
            <w:vAlign w:val="bottom"/>
            <w:gridSpan w:val="40"/>
          </w:tcPr>
          <w:p>
            <w:pPr>
              <w:spacing w:after="0" w:line="20" w:lineRule="exact"/>
              <w:rPr>
                <w:sz w:val="1"/>
                <w:szCs w:val="1"/>
                <w:color w:val="auto"/>
              </w:rPr>
            </w:pPr>
          </w:p>
        </w:tc>
        <w:tc>
          <w:tcPr>
            <w:tcW w:w="180" w:type="dxa"/>
            <w:vAlign w:val="bottom"/>
            <w:tcBorders>
              <w:top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OUSTER’S ANNUAL REPORT ON FORM 10-K</w:t>
            </w:r>
          </w:p>
        </w:tc>
        <w:tc>
          <w:tcPr>
            <w:tcW w:w="4280" w:type="dxa"/>
            <w:vAlign w:val="bottom"/>
            <w:tcBorders>
              <w:bottom w:val="single" w:sz="8" w:color="CCEEFF"/>
            </w:tcBorders>
            <w:gridSpan w:val="28"/>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41</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8120" w:type="dxa"/>
            <w:vAlign w:val="bottom"/>
            <w:gridSpan w:val="54"/>
          </w:tcPr>
          <w:p>
            <w:pPr>
              <w:spacing w:after="0" w:line="176" w:lineRule="exact"/>
              <w:rPr>
                <w:sz w:val="20"/>
                <w:szCs w:val="20"/>
                <w:color w:val="auto"/>
              </w:rPr>
            </w:pPr>
            <w:r>
              <w:rPr>
                <w:rFonts w:ascii="Times New Roman" w:cs="Times New Roman" w:eastAsia="Times New Roman" w:hAnsi="Times New Roman"/>
                <w:sz w:val="18"/>
                <w:szCs w:val="18"/>
                <w:color w:val="0000EE"/>
              </w:rPr>
              <w:t>ANNEX A AMENDMENT TO THE CERTIFICATE OF INCORPORATION RELATED (PROPOSAL 4)</w:t>
            </w:r>
          </w:p>
        </w:tc>
        <w:tc>
          <w:tcPr>
            <w:tcW w:w="3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A-1</w:t>
            </w:r>
          </w:p>
        </w:tc>
      </w:tr>
      <w:tr>
        <w:trPr>
          <w:trHeight w:val="20"/>
        </w:trPr>
        <w:tc>
          <w:tcPr>
            <w:tcW w:w="7680" w:type="dxa"/>
            <w:vAlign w:val="bottom"/>
            <w:tcBorders>
              <w:top w:val="single" w:sz="8" w:color="0000EE"/>
            </w:tcBorders>
            <w:gridSpan w:val="5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Borders>
              <w:top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120" w:type="dxa"/>
            <w:vAlign w:val="bottom"/>
            <w:gridSpan w:val="5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ANNEX B AMENDMENT TO THE CERTIFICATE OF INCORPORATION (PROPOSAL 5)</w:t>
            </w:r>
          </w:p>
        </w:tc>
        <w:tc>
          <w:tcPr>
            <w:tcW w:w="3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B-1</w:t>
            </w:r>
          </w:p>
        </w:tc>
      </w:tr>
      <w:tr>
        <w:trPr>
          <w:trHeight w:val="75"/>
        </w:trPr>
        <w:tc>
          <w:tcPr>
            <w:tcW w:w="6840" w:type="dxa"/>
            <w:vAlign w:val="bottom"/>
            <w:tcBorders>
              <w:top w:val="single" w:sz="8" w:color="0000EE"/>
            </w:tcBorders>
            <w:gridSpan w:val="45"/>
            <w:shd w:val="clear" w:color="auto" w:fill="CCEEFF"/>
          </w:tcPr>
          <w:p>
            <w:pPr>
              <w:spacing w:after="0"/>
              <w:rPr>
                <w:sz w:val="6"/>
                <w:szCs w:val="6"/>
                <w:color w:val="auto"/>
              </w:rPr>
            </w:pPr>
          </w:p>
        </w:tc>
        <w:tc>
          <w:tcPr>
            <w:tcW w:w="1280" w:type="dxa"/>
            <w:vAlign w:val="bottom"/>
            <w:tcBorders>
              <w:top w:val="single" w:sz="8" w:color="CCEEFF"/>
            </w:tcBorders>
            <w:gridSpan w:val="9"/>
            <w:shd w:val="clear" w:color="auto" w:fill="CCEEFF"/>
          </w:tcPr>
          <w:p>
            <w:pPr>
              <w:spacing w:after="0"/>
              <w:rPr>
                <w:sz w:val="6"/>
                <w:szCs w:val="6"/>
                <w:color w:val="auto"/>
              </w:rPr>
            </w:pPr>
          </w:p>
        </w:tc>
        <w:tc>
          <w:tcPr>
            <w:tcW w:w="280" w:type="dxa"/>
            <w:vAlign w:val="bottom"/>
            <w:tcBorders>
              <w:top w:val="single" w:sz="8" w:color="0000EE"/>
            </w:tcBorders>
            <w:gridSpan w:val="3"/>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OUSTER,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350 TREAT AVENUE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FRANCISCO, CA 94110</w:t>
      </w:r>
    </w:p>
    <w:p>
      <w:pPr>
        <w:spacing w:after="0" w:line="9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(the “Board”) of Ouster, Inc. (“Ouster,” “we,” “us,” or the “Company”) of proxies to be voted at Ouster’s Annual Meeting of Stockholders to be held on Wednesday, June 17, 2026 (the “Annual Meeting”), at 10:00 a.m., Pacific Time, and at any continuation, postponement or adjournment of the Annual Meeting. The Annual Meeting will be a completely virtual meeting, which will be conducted via live webcast. You will be able to attend the Annual Meeting and submit your questions during the Annual Meeting by visiting </w:t>
      </w:r>
      <w:r>
        <w:rPr>
          <w:rFonts w:ascii="Times New Roman" w:cs="Times New Roman" w:eastAsia="Times New Roman" w:hAnsi="Times New Roman"/>
          <w:sz w:val="18"/>
          <w:szCs w:val="18"/>
          <w:i w:val="1"/>
          <w:iCs w:val="1"/>
          <w:color w:val="auto"/>
        </w:rPr>
        <w:t>www.virtualshareholdermeeting.com/OUST2026</w:t>
      </w:r>
      <w:r>
        <w:rPr>
          <w:rFonts w:ascii="Times New Roman" w:cs="Times New Roman" w:eastAsia="Times New Roman" w:hAnsi="Times New Roman"/>
          <w:sz w:val="18"/>
          <w:szCs w:val="18"/>
          <w:color w:val="auto"/>
        </w:rPr>
        <w:t xml:space="preserve"> and entering your 16-digit control number included in your Notice of Internet Availability of Proxy Materials, on your proxy card or on the instructions that accompanied your proxy materials.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Holders of record of outstanding shares of common stock at the close of business on April 24, 2026 (the “Record Date”) will be entitled to notice of and to vote at the Annual Meeting and any continuation, postponement or adjournment of the Annual Meeting. At the close of business on the Record Date, there were [•] shares of common stock issued and outstanding and entitled to vote at the Annual Meeting.</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proxy statement and the Company’s Annual Report to stockholders for the fiscal year ended December 31, 2025 (the “2025 Annual Report”) will be released on or about April [•], 2026 to Ouster’s stockholders on the Record Date.</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WEDNESDAY, JUNE 17, 2026</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to Stockholders are available 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https://materials.proxyvote.com/68989M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252" w:lineRule="exact"/>
        <w:rPr>
          <w:sz w:val="20"/>
          <w:szCs w:val="20"/>
          <w:color w:val="auto"/>
        </w:rPr>
      </w:pPr>
    </w:p>
    <w:p>
      <w:pPr>
        <w:ind w:left="940" w:right="439"/>
        <w:spacing w:after="0" w:line="266" w:lineRule="auto"/>
        <w:rPr>
          <w:sz w:val="20"/>
          <w:szCs w:val="20"/>
          <w:color w:val="auto"/>
        </w:rPr>
      </w:pPr>
      <w:r>
        <w:rPr>
          <w:rFonts w:ascii="Times New Roman" w:cs="Times New Roman" w:eastAsia="Times New Roman" w:hAnsi="Times New Roman"/>
          <w:sz w:val="18"/>
          <w:szCs w:val="18"/>
          <w:color w:val="auto"/>
        </w:rPr>
        <w:t>To elect Phillip M. Eyler and Angus Pacala as Class II Directors to serve until our 2029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-278765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right="359"/>
        <w:spacing w:after="0" w:line="266" w:lineRule="auto"/>
        <w:rPr>
          <w:sz w:val="20"/>
          <w:szCs w:val="20"/>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-278765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right="559"/>
        <w:spacing w:after="0" w:line="266" w:lineRule="auto"/>
        <w:rPr>
          <w:sz w:val="20"/>
          <w:szCs w:val="20"/>
          <w:color w:val="auto"/>
        </w:rPr>
      </w:pPr>
      <w:r>
        <w:rPr>
          <w:rFonts w:ascii="Times New Roman" w:cs="Times New Roman" w:eastAsia="Times New Roman" w:hAnsi="Times New Roman"/>
          <w:sz w:val="18"/>
          <w:szCs w:val="18"/>
          <w:color w:val="auto"/>
        </w:rPr>
        <w:t>To approve, on an advisory (non-binding) basis, the compensation of our named executive officers; To approve an amendment to our Certificate of Incorporation, as amended (the “Certificate of Incorporation”), to increase the number of authorized shares of the Company’s common stock, par value $0.0001 per share (the “common stock”) from 100,000,000 to 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-570230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-415925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right="579"/>
        <w:spacing w:after="0" w:line="260" w:lineRule="auto"/>
        <w:rPr>
          <w:sz w:val="20"/>
          <w:szCs w:val="20"/>
          <w:color w:val="auto"/>
        </w:rPr>
      </w:pPr>
      <w:r>
        <w:rPr>
          <w:rFonts w:ascii="Times New Roman" w:cs="Times New Roman" w:eastAsia="Times New Roman" w:hAnsi="Times New Roman"/>
          <w:sz w:val="18"/>
          <w:szCs w:val="18"/>
          <w:color w:val="auto"/>
        </w:rPr>
        <w:t>To approve an amendment to our Certificate of Incorporation to provide for exculpation of officers from breaches of fiduciary duty to the extent permitted by the General Corporation Law of the State of Delaware;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-414655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right="719"/>
        <w:spacing w:after="0" w:line="282" w:lineRule="auto"/>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-296545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Board unanimously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FOR the election of each of Phillip M. Eyler and Angus Pacala as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 w:lineRule="exact"/>
        <w:rPr>
          <w:sz w:val="20"/>
          <w:szCs w:val="20"/>
          <w:color w:val="auto"/>
        </w:rPr>
      </w:pPr>
    </w:p>
    <w:p>
      <w:pPr>
        <w:ind w:left="940" w:right="679"/>
        <w:spacing w:after="0" w:line="266" w:lineRule="auto"/>
        <w:rPr>
          <w:sz w:val="20"/>
          <w:szCs w:val="20"/>
          <w:color w:val="auto"/>
        </w:rPr>
      </w:pPr>
      <w:r>
        <w:rPr>
          <w:rFonts w:ascii="Times New Roman" w:cs="Times New Roman" w:eastAsia="Times New Roman" w:hAnsi="Times New Roman"/>
          <w:sz w:val="18"/>
          <w:szCs w:val="18"/>
          <w:color w:val="auto"/>
        </w:rPr>
        <w:t>FOR the ratification of the appointment of PricewaterhouseCoopers LLP as our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-278765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right="899"/>
        <w:spacing w:after="0" w:line="266" w:lineRule="auto"/>
        <w:rPr>
          <w:sz w:val="20"/>
          <w:szCs w:val="20"/>
          <w:color w:val="auto"/>
        </w:rPr>
      </w:pPr>
      <w:r>
        <w:rPr>
          <w:rFonts w:ascii="Times New Roman" w:cs="Times New Roman" w:eastAsia="Times New Roman" w:hAnsi="Times New Roman"/>
          <w:sz w:val="18"/>
          <w:szCs w:val="18"/>
          <w:color w:val="auto"/>
        </w:rPr>
        <w:t>FOR the 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-278765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right="319"/>
        <w:spacing w:after="0" w:line="266" w:lineRule="auto"/>
        <w:rPr>
          <w:sz w:val="20"/>
          <w:szCs w:val="20"/>
          <w:color w:val="auto"/>
        </w:rPr>
      </w:pPr>
      <w:r>
        <w:rPr>
          <w:rFonts w:ascii="Times New Roman" w:cs="Times New Roman" w:eastAsia="Times New Roman" w:hAnsi="Times New Roman"/>
          <w:sz w:val="18"/>
          <w:szCs w:val="18"/>
          <w:color w:val="auto"/>
        </w:rPr>
        <w:t>FOR the approval of an amendment to our Certificate of Incorporation to increase the number of authorized shares of common stock from 100,000,000 to 200,000,000;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-278765</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ind w:left="940" w:right="699"/>
        <w:spacing w:after="0" w:line="266" w:lineRule="auto"/>
        <w:rPr>
          <w:sz w:val="20"/>
          <w:szCs w:val="20"/>
          <w:color w:val="auto"/>
        </w:rPr>
      </w:pPr>
      <w:r>
        <w:rPr>
          <w:rFonts w:ascii="Times New Roman" w:cs="Times New Roman" w:eastAsia="Times New Roman" w:hAnsi="Times New Roman"/>
          <w:sz w:val="18"/>
          <w:szCs w:val="18"/>
          <w:color w:val="auto"/>
        </w:rPr>
        <w:t>FOR the approval of an amendment to our Certificate of Incorporation to provide for exculpation of officers from breaches of fiduciary duty to the extent permitted by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-424815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Ouster’s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is soliciting your proxy to vote your shares at the Annual Meeting. This proxy statement includes information that we are required to provide to you under the rules of the Securities and Exchange Commission (the “SEC”) and that is designed to assist you in voting your shares.</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r>
        <w:rPr>
          <w:rFonts w:ascii="Times New Roman" w:cs="Times New Roman" w:eastAsia="Times New Roman" w:hAnsi="Times New Roman"/>
          <w:sz w:val="18"/>
          <w:szCs w:val="18"/>
          <w:color w:val="auto"/>
        </w:rPr>
        <w:t>. As permitted by SEC rules, Ouster is making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 its 2025 Annual Report available to its stockholders electronically via the Internet. On or about April [•], 2026, we mailed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Printed Copies of Our Proxy Materials</w:t>
      </w:r>
      <w:r>
        <w:rPr>
          <w:rFonts w:ascii="Times New Roman" w:cs="Times New Roman" w:eastAsia="Times New Roman" w:hAnsi="Times New Roman"/>
          <w:sz w:val="18"/>
          <w:szCs w:val="18"/>
          <w:color w:val="auto"/>
        </w:rPr>
        <w:t>. If you received printed copies of our proxy materials, then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how you can vote are contained on the proxy card included in the materials.</w:t>
      </w:r>
    </w:p>
    <w:p>
      <w:pPr>
        <w:spacing w:after="0" w:line="4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Householding</w:t>
      </w:r>
      <w:r>
        <w:rPr>
          <w:rFonts w:ascii="Times New Roman" w:cs="Times New Roman" w:eastAsia="Times New Roman" w:hAnsi="Times New Roman"/>
          <w:sz w:val="18"/>
          <w:szCs w:val="18"/>
          <w:color w:val="auto"/>
        </w:rPr>
        <w:t>. The SEC’s rules permit us and intermediaries (such as brokers, banks and other agents) to deliver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set of proxy materials to one address shared by two or more of our stockholders. This delivery method is referred to as “householding” and can result in significant cost savings. To take advantage of this opportunity, we and a number of intermediaries with account holders who are our stockholders have delivered only one set of proxy materials to multiple stockholders who share an address, unless we received contrary instructions from the impacted stockholders prior to the mailing date. A proxy card or voting instruction form will be delivered for each of the stockholders sharing an address. We agree to deliver promptly, upon written or oral request, a separate set of proxy materials, as requested, to any stockholder at the shared address to which a single set of those documents was delivered. If you prefer to receive separate copies of the proxy materials, contact Broadridge Financial Solutions, Inc. at (866) 540-7095 or in writing at Broadridge Financial Solutions, Inc., Householding Department, 51 Mercedes Way, Edgewood, New York 11717.</w:t>
      </w:r>
    </w:p>
    <w:p>
      <w:pPr>
        <w:spacing w:after="0" w:line="7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set of future proxy materials for your household, please contact Broadridge at the above phone number or address.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 AND ANSWERS ABOUT THE 2026 ANNUAL MEETING OF STOCKHOLDERS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Record Date for the Annual Meeting is April 24, 2026. You are entitled to vote at the Annual Meeting only if you were a stockholder of record at the close of business on that date, or if you hold a valid proxy for the Annual Meeting. You will need to obtain your own Internet access if you choose to attend the Annual Meeting and/or vote over the Internet. Each share of our common stock entitles its holders to one vote per share on all matters presented to our stockholders at the Annual Meeting. At the close of business on the Record Date, there were [•] shares of common stock issued and outstanding and entitled to vote at the Annual Meeting.</w:t>
      </w:r>
    </w:p>
    <w:p>
      <w:pPr>
        <w:spacing w:after="0" w:line="183"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-6985</wp:posOffset>
            </wp:positionV>
            <wp:extent cx="53492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8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are held in the name of a bank, broker or other agent on a person’s behalf.</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broker or other agent, you are considered the “beneficial owner” of those shares held in “street name.” If your shares are held in “street name,” our proxy materials are being provided to you by your bank, broker or other agent, along with a voting instruction card if you received printed copies of our proxy materials. As the beneficial owner, you have the right to direct your bank, broker or other agent how to vote your shares, and the bank, broker or other agent is required to vote your shares in accordance with your instructions.</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and you have not received a 16-digit control number, you should contact your bank or broker to obtain your control number or otherwise vote through the bank or broker. If you would like to vote your shares online during the Annual Meeting, your bank or broker will need to provide you with a 16-digit control number.</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represented by remote communication or represented by proxy, of the holders of one third (1/3) in voting power of common stock issued and outstanding and entitled to vote on the Record Date will constitute a quorum.</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then either (i) the person presiding over the Annual Meeting or (ii) a majority in voting power of the stockholders entitled to vote at the Annual Meeting, present by remote communication or represented by proxy, may adjourn the Annual Meeting until a quorum is present or represented.</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ATTEND AND VOTE AT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You may attend and vote at the Annual Meeting only if you are an Ouster stockholder who is entitled to vote at the Annual Meeting, or if you hold a valid proxy for the Annual Meeting. The Annual Meeting will be held entirely online to allow greater participation. You will be able to attend the Annual Meeting and submit your questions by visiting the following website: </w:t>
      </w:r>
      <w:r>
        <w:rPr>
          <w:rFonts w:ascii="Times New Roman" w:cs="Times New Roman" w:eastAsia="Times New Roman" w:hAnsi="Times New Roman"/>
          <w:sz w:val="18"/>
          <w:szCs w:val="18"/>
          <w:i w:val="1"/>
          <w:iCs w:val="1"/>
          <w:color w:val="auto"/>
        </w:rPr>
        <w:t>www.virtualshareholdermeeting.com/OUST2026</w:t>
      </w:r>
      <w:r>
        <w:rPr>
          <w:rFonts w:ascii="Times New Roman" w:cs="Times New Roman" w:eastAsia="Times New Roman" w:hAnsi="Times New Roman"/>
          <w:sz w:val="18"/>
          <w:szCs w:val="18"/>
          <w:color w:val="auto"/>
        </w:rPr>
        <w:t>. You will also be able to vote your shares electronically at the Annual Meeting.</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To participate in the Annual Meeting, you will need the 16-digit control number included in your Internet Notice, on your proxy card or on the instructions that accompanied your proxy materials. The Annual Meeting webcast will begin promptly at 10:00 a.m., Pacific Time. We encourage you to access the Annual Meeting prior to the start time. Online check-in will begin at 9:45 a.m., Pacific Time, and you should allow ample time for check-in procedures. If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you hold your shares through a bank or broker, instructions should also be provided on the voting instruction card provided by your bank or brokerage firm. If you lose your 16-digit control number, you may join the Annual Meeting as a “Guest,” but you will not be able to vote or ask questions.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MEETING HELD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believe that hosting a virtual meeting is in the best interests of the Company and our stockholders. A virtual meeting enables increased stockholder attendance and participation because stockholders can participate from any location around the world. A virtual meeting can also provide cost savings for our stockholders and us, and it is more environmentally friendly.</w:t>
      </w:r>
    </w:p>
    <w:p>
      <w:pPr>
        <w:spacing w:after="0" w:line="324" w:lineRule="exact"/>
        <w:rPr>
          <w:sz w:val="20"/>
          <w:szCs w:val="20"/>
          <w:color w:val="auto"/>
        </w:rPr>
      </w:pPr>
    </w:p>
    <w:p>
      <w:pPr>
        <w:ind w:left="300" w:right="819"/>
        <w:spacing w:after="0" w:line="317" w:lineRule="auto"/>
        <w:rPr>
          <w:sz w:val="20"/>
          <w:szCs w:val="20"/>
          <w:color w:val="auto"/>
        </w:rPr>
      </w:pPr>
      <w:r>
        <w:rPr>
          <w:rFonts w:ascii="Times New Roman" w:cs="Times New Roman" w:eastAsia="Times New Roman" w:hAnsi="Times New Roman"/>
          <w:sz w:val="17"/>
          <w:szCs w:val="17"/>
          <w:b w:val="1"/>
          <w:bCs w:val="1"/>
          <w:color w:val="auto"/>
        </w:rPr>
        <w:t>WHAT IF DURING THE CHECK-IN TIME OR DURING THE ANNUAL MEETING I HAVE TECHNICAL DIFFICULTIES OR TROUBLE ACCESSING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-21590</wp:posOffset>
            </wp:positionV>
            <wp:extent cx="53492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6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when accessing the Annual Meeting website. If you encounter any difficulties accessing the Annual Meeting, please call the technical support number that will be posted on the Annual Meeting login page.</w:t>
      </w:r>
    </w:p>
    <w:p>
      <w:pPr>
        <w:spacing w:after="0" w:line="334"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recommend that stockholders vote by proxy even if they plan to participate in the Annual Meeting. If you are a stockholder of record, you may vote by proxy:</w:t>
      </w:r>
    </w:p>
    <w:p>
      <w:pPr>
        <w:spacing w:after="0" w:line="52" w:lineRule="exact"/>
        <w:rPr>
          <w:sz w:val="20"/>
          <w:szCs w:val="20"/>
          <w:color w:val="auto"/>
        </w:rPr>
      </w:pPr>
    </w:p>
    <w:p>
      <w:pPr>
        <w:ind w:left="1000" w:right="319" w:hanging="348"/>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Internet—You can vote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by following the instructions on the Internet Notice or proxy card;</w:t>
      </w:r>
    </w:p>
    <w:p>
      <w:pPr>
        <w:spacing w:after="0" w:line="52"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Telephone—You can vote by telephone by calling (800) 690-6903 and following the instructions on the proxy card;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Mail—You can vote by mail by signing, dating and mailing the proxy card, which you may have received by mail.</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24 hours a day and will close at 8:59 p.m., Pacific Time, on June 16, 2026.</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To participate in the Annual Meeting, including to vote via the Internet during the Annual Meeting, you will need to visit </w:t>
      </w:r>
      <w:r>
        <w:rPr>
          <w:rFonts w:ascii="Times New Roman" w:cs="Times New Roman" w:eastAsia="Times New Roman" w:hAnsi="Times New Roman"/>
          <w:sz w:val="18"/>
          <w:szCs w:val="18"/>
          <w:i w:val="1"/>
          <w:iCs w:val="1"/>
          <w:color w:val="auto"/>
        </w:rPr>
        <w:t>www.virtualshareholdermeeting.com/OUST2026</w:t>
      </w:r>
      <w:r>
        <w:rPr>
          <w:rFonts w:ascii="Times New Roman" w:cs="Times New Roman" w:eastAsia="Times New Roman" w:hAnsi="Times New Roman"/>
          <w:sz w:val="18"/>
          <w:szCs w:val="18"/>
          <w:color w:val="auto"/>
        </w:rPr>
        <w:t xml:space="preserve"> and enter the 16-digit control number included on your Internet Notice, proxy card or the instructions that accompanied your proxy materials. The Annual Meeting webcast will begin promptly at 10:00 a.m., Pacific Time, on June 17, 2026.</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If your shares are held in “street name” through a bank, broker or other nominee, you will receive instructions on how to vote from the bank or brokerage firm.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Annual Meeting, you may visit </w:t>
      </w:r>
      <w:r>
        <w:rPr>
          <w:rFonts w:ascii="Times New Roman" w:cs="Times New Roman" w:eastAsia="Times New Roman" w:hAnsi="Times New Roman"/>
          <w:sz w:val="18"/>
          <w:szCs w:val="18"/>
          <w:i w:val="1"/>
          <w:iCs w:val="1"/>
          <w:color w:val="auto"/>
        </w:rPr>
        <w:t>www.virtualshareholdermeeting.com/OUST2026</w:t>
      </w:r>
      <w:r>
        <w:rPr>
          <w:rFonts w:ascii="Times New Roman" w:cs="Times New Roman" w:eastAsia="Times New Roman" w:hAnsi="Times New Roman"/>
          <w:sz w:val="18"/>
          <w:szCs w:val="18"/>
          <w:color w:val="auto"/>
        </w:rPr>
        <w:t xml:space="preserve"> and enter the 16-digit control number included in the voting instruction card provided to you by your bank or brokerage firm. If you hold your shares in “street name” and you do not receive a 16-digit control number, you may need to log in to your bank or brokerage firm’s website and select the shareholder communications mailbox to access the Annual Meeting and vote. Instructions should also be provided on the voting instruction card provided by your bank or brokerage firm.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Yes. If you are a stockholder of record, you may revoke your proxy and change your vote:</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5"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granting a subsequent proxy through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telephone by calling (800) 690-6903;</w:t>
      </w:r>
    </w:p>
    <w:p>
      <w:pPr>
        <w:spacing w:after="0" w:line="52"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timely written notice of revocation to our Secretary prior to the Annual Meeting by writing to Ouster’s offices at 350 Treat Avenue, San Francisco, California 94110;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during the Annual Meeting.</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virtual attendance at the Annual Meeting by itself will not revoke your proxy.</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are a beneficial holder of shares or if your shares are held in “street name,” you may change or revoke your voting instructions by following the specific directions provided to you by your bank, broker or other agent, or you may vote electronically during the Annual Meeting using your 16-digit control number.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representative of Broadridge Financial Solutions, Inc., our inspector of election, will tabulate and certify the votes.</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 xml:space="preserve">If you submit a proxy but do not indicate any voting instructions, the persons named as proxies on the Company’s proxy card will vote in accordance with the recommendations of the Board. The Board’s recommendations are indicated on page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of this proxy statement, as well as with the description of each proposal in this proxy statement.</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know of no business other than those matters listed in the Notice of Meeting at the beginning of this proxy statement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76" w:lineRule="exact"/>
        <w:rPr>
          <w:sz w:val="20"/>
          <w:szCs w:val="20"/>
          <w:color w:val="auto"/>
        </w:rPr>
      </w:pPr>
    </w:p>
    <w:p>
      <w:pPr>
        <w:ind w:left="300" w:right="57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-6985</wp:posOffset>
            </wp:positionV>
            <wp:extent cx="5349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3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16884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line="289" w:lineRule="auto"/>
        <w:rPr>
          <w:sz w:val="20"/>
          <w:szCs w:val="20"/>
          <w:color w:val="auto"/>
        </w:rPr>
      </w:pPr>
      <w:r>
        <w:rPr>
          <w:rFonts w:ascii="Times New Roman" w:cs="Times New Roman" w:eastAsia="Times New Roman" w:hAnsi="Times New Roman"/>
          <w:sz w:val="17"/>
          <w:szCs w:val="17"/>
          <w:u w:val="single" w:color="auto"/>
          <w:color w:val="auto"/>
        </w:rPr>
        <w:t>Proposal 2</w:t>
      </w:r>
      <w:r>
        <w:rPr>
          <w:rFonts w:ascii="Times New Roman" w:cs="Times New Roman" w:eastAsia="Times New Roman" w:hAnsi="Times New Roman"/>
          <w:sz w:val="17"/>
          <w:szCs w:val="17"/>
          <w:color w:val="auto"/>
        </w:rPr>
        <w:t>: Ratification of Appointment of our Independent Registered Public Accounting Firm</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16884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plurality of the votes cast. This means that the two nominees receiving the highest number of affirmative “FOR” votes will be elected as Class II Directors.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votes cast (excluding abstentions and broker non-votes) on such matter.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99"/>
        <w:spacing w:after="0" w:line="264" w:lineRule="auto"/>
        <w:rPr>
          <w:sz w:val="20"/>
          <w:szCs w:val="20"/>
          <w:color w:val="auto"/>
        </w:rPr>
      </w:pPr>
      <w:r>
        <w:rPr>
          <w:rFonts w:ascii="Times New Roman" w:cs="Times New Roman" w:eastAsia="Times New Roman" w:hAnsi="Times New Roman"/>
          <w:sz w:val="14"/>
          <w:szCs w:val="14"/>
          <w:b w:val="1"/>
          <w:bCs w:val="1"/>
          <w:color w:val="auto"/>
        </w:rPr>
        <w:t>Effect of Votes Withheld /Abstentions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6973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ind w:right="33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39"/>
        <w:spacing w:after="0" w:line="274" w:lineRule="auto"/>
        <w:rPr>
          <w:sz w:val="20"/>
          <w:szCs w:val="20"/>
          <w:color w:val="auto"/>
        </w:rPr>
      </w:pPr>
      <w:r>
        <w:rPr>
          <w:rFonts w:ascii="Times New Roman" w:cs="Times New Roman" w:eastAsia="Times New Roman" w:hAnsi="Times New Roman"/>
          <w:sz w:val="17"/>
          <w:szCs w:val="17"/>
          <w:color w:val="auto"/>
        </w:rPr>
        <w:t>Abstentions and broker non-votes, if any, will have no effect, and because brokers have discretionary authority to vote on this proposal we do not expect any broker non-votes in connection with this proposal.</w:t>
      </w:r>
    </w:p>
    <w:p>
      <w:pPr>
        <w:spacing w:after="0" w:line="200" w:lineRule="exact"/>
        <w:rPr>
          <w:sz w:val="20"/>
          <w:szCs w:val="20"/>
          <w:color w:val="auto"/>
        </w:rPr>
      </w:pPr>
    </w:p>
    <w:p>
      <w:pPr>
        <w:sectPr>
          <w:pgSz w:w="11900" w:h="16838" w:orient="portrait"/>
          <w:cols w:equalWidth="0" w:num="3">
            <w:col w:w="2840" w:space="320"/>
            <w:col w:w="2580" w:space="300"/>
            <w:col w:w="2979"/>
          </w:cols>
          <w:pgMar w:left="1440" w:top="114" w:right="1440" w:bottom="1440" w:gutter="0" w:footer="0" w:header="0"/>
          <w:type w:val="continuous"/>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1688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41"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Approval, on an Advisory (Non-Binding) Basis, of the Compensation of our Named Executive Officers</w:t>
      </w:r>
    </w:p>
    <w:p>
      <w:pPr>
        <w:spacing w:after="0" w:line="200" w:lineRule="exact"/>
        <w:rPr>
          <w:sz w:val="20"/>
          <w:szCs w:val="20"/>
          <w:color w:val="auto"/>
        </w:rPr>
      </w:pPr>
    </w:p>
    <w:p>
      <w:pPr>
        <w:spacing w:after="0" w:line="223"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u w:val="single" w:color="auto"/>
          <w:color w:val="auto"/>
        </w:rPr>
        <w:t>Proposal 4</w:t>
      </w:r>
      <w:r>
        <w:rPr>
          <w:rFonts w:ascii="Times New Roman" w:cs="Times New Roman" w:eastAsia="Times New Roman" w:hAnsi="Times New Roman"/>
          <w:sz w:val="18"/>
          <w:szCs w:val="18"/>
          <w:color w:val="auto"/>
        </w:rPr>
        <w:t>: Approval of an amendment to our Certificate of Incorporation to increase the number of authorized shares of the Company’s common stock from 100,000,000 to 200,000,000</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Votes required</w:t>
            </w:r>
          </w:p>
        </w:tc>
        <w:tc>
          <w:tcPr>
            <w:tcW w:w="22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 of Votes Withheld /Abstentions and</w:t>
            </w:r>
          </w:p>
        </w:tc>
        <w:tc>
          <w:tcPr>
            <w:tcW w:w="0" w:type="dxa"/>
            <w:vAlign w:val="bottom"/>
          </w:tcPr>
          <w:p>
            <w:pPr>
              <w:spacing w:after="0"/>
              <w:rPr>
                <w:sz w:val="1"/>
                <w:szCs w:val="1"/>
                <w:color w:val="auto"/>
              </w:rPr>
            </w:pPr>
          </w:p>
        </w:tc>
      </w:tr>
      <w:tr>
        <w:trPr>
          <w:trHeight w:val="195"/>
        </w:trPr>
        <w:tc>
          <w:tcPr>
            <w:tcW w:w="26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2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Abstentions and broker non-votes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of a majority in voting power of the</w:t>
            </w: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will have no effect.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votes cast (excluding abstentions</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and broker non-votes) on such</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matter.</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votes cast for the matter exceed</w:t>
            </w:r>
          </w:p>
        </w:tc>
        <w:tc>
          <w:tcPr>
            <w:tcW w:w="2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Abstentions and broker non-votes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votes cast against such matter.</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will have no effect.</w:t>
            </w:r>
          </w:p>
        </w:tc>
        <w:tc>
          <w:tcPr>
            <w:tcW w:w="0" w:type="dxa"/>
            <w:vAlign w:val="bottom"/>
          </w:tcPr>
          <w:p>
            <w:pPr>
              <w:spacing w:after="0"/>
              <w:rPr>
                <w:sz w:val="1"/>
                <w:szCs w:val="1"/>
                <w:color w:val="auto"/>
              </w:rPr>
            </w:pPr>
          </w:p>
        </w:tc>
      </w:tr>
    </w:tbl>
    <w:p>
      <w:pPr>
        <w:spacing w:after="0" w:line="1074" w:lineRule="exact"/>
        <w:rPr>
          <w:sz w:val="20"/>
          <w:szCs w:val="20"/>
          <w:color w:val="auto"/>
        </w:rPr>
      </w:pPr>
    </w:p>
    <w:p>
      <w:pPr>
        <w:sectPr>
          <w:pgSz w:w="11900" w:h="16838" w:orient="portrait"/>
          <w:cols w:equalWidth="0" w:num="2">
            <w:col w:w="2960" w:space="200"/>
            <w:col w:w="5859"/>
          </w:cols>
          <w:pgMar w:left="1440" w:top="114" w:right="1440" w:bottom="1440" w:gutter="0" w:footer="0" w:header="0"/>
        </w:sectPr>
      </w:pPr>
    </w:p>
    <w:p>
      <w:pPr>
        <w:spacing w:after="0" w:line="14"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u w:val="single" w:color="auto"/>
          <w:color w:val="auto"/>
        </w:rPr>
        <w:t>Proposal 5</w:t>
      </w:r>
      <w:r>
        <w:rPr>
          <w:rFonts w:ascii="Times New Roman" w:cs="Times New Roman" w:eastAsia="Times New Roman" w:hAnsi="Times New Roman"/>
          <w:sz w:val="18"/>
          <w:szCs w:val="18"/>
          <w:color w:val="auto"/>
        </w:rPr>
        <w:t>: Approval of an amendment to our Certificate of Incorporation to provide for exculpation of officers from breaches of fiduciary duty to the extent permitted by the General Corporation Law of the State of Delaware</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outstanding shares of common stock entitled to vote on such matter.</w:t>
      </w:r>
    </w:p>
    <w:p>
      <w:pPr>
        <w:spacing w:after="0" w:line="20" w:lineRule="exact"/>
        <w:rPr>
          <w:sz w:val="20"/>
          <w:szCs w:val="20"/>
          <w:color w:val="auto"/>
        </w:rPr>
      </w:pPr>
      <w:r>
        <w:rPr>
          <w:sz w:val="20"/>
          <w:szCs w:val="20"/>
          <w:color w:val="auto"/>
        </w:rPr>
        <w:br w:type="column"/>
      </w:r>
    </w:p>
    <w:p>
      <w:pPr>
        <w:jc w:val="both"/>
        <w:ind w:right="539"/>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have the same effect as votes against the proposal.</w:t>
      </w:r>
    </w:p>
    <w:p>
      <w:pPr>
        <w:spacing w:after="0" w:line="1264" w:lineRule="exact"/>
        <w:rPr>
          <w:sz w:val="20"/>
          <w:szCs w:val="20"/>
          <w:color w:val="auto"/>
        </w:rPr>
      </w:pPr>
    </w:p>
    <w:p>
      <w:pPr>
        <w:sectPr>
          <w:pgSz w:w="11900" w:h="16838" w:orient="portrait"/>
          <w:cols w:equalWidth="0" w:num="3">
            <w:col w:w="2620" w:space="540"/>
            <w:col w:w="2660" w:space="220"/>
            <w:col w:w="2979"/>
          </w:cols>
          <w:pgMar w:left="1440" w:top="114" w:right="1440" w:bottom="1440" w:gutter="0" w:footer="0" w:header="0"/>
          <w:type w:val="continuous"/>
        </w:sectPr>
      </w:pPr>
    </w:p>
    <w:p>
      <w:pPr>
        <w:spacing w:after="0" w:line="204" w:lineRule="exact"/>
        <w:rPr>
          <w:sz w:val="20"/>
          <w:szCs w:val="20"/>
          <w:color w:val="auto"/>
        </w:rPr>
      </w:pPr>
    </w:p>
    <w:p>
      <w:pPr>
        <w:ind w:left="300" w:right="1199"/>
        <w:spacing w:after="0" w:line="286" w:lineRule="auto"/>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four other proposals to be voted on at the Annual Meeting, represents a stockholder’s affirmative choice to decline to vote on a proposal. Votes withheld and abstentions are counted as present and entitled to vote solely for purposes of determining a quorum. Votes withheld will have no effect on the election of directors and abstentions will have no effect on Proposal Nos. 2, 3 and 4. Abstentions will have the same effect as votes against Proposal No. 5.</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bank or other agent in “street name” for a beneficial owner are not voted with respect to a particular proposal because the broker, bank or other agent (1) has not received voting instructions from the beneficial owner and (2) lacks discretionary voting power to vote those shares. A broker or other agent is entitled to vote shares held for a beneficial owner on routine matters without instructions from the beneficial owner of those shares. The only routine matters presented at the Annual Meeting are Proposal No. 2, relating to the ratification of the appointment of PricewaterhouseCoopers LLP as our independent registered public accounting firm for the year ending December 31, 2026, and Proposal No. 4, relating to the increase in our authorized shares. On the other hand, absent instructions from the beneficial owner of such shares, a broker is not entitled to vote shares held for a beneficial owner on non-routine matters, such as Proposal Nos. 1, 3 and 5. Broker non-votes count for purposes of determining whether a quorum is present.</w:t>
      </w:r>
    </w:p>
    <w:p>
      <w:pPr>
        <w:spacing w:after="0" w:line="352" w:lineRule="exact"/>
        <w:rPr>
          <w:sz w:val="20"/>
          <w:szCs w:val="20"/>
          <w:color w:val="auto"/>
        </w:rPr>
      </w:pPr>
    </w:p>
    <w:p>
      <w:pPr>
        <w:ind w:left="300" w:right="1799"/>
        <w:spacing w:after="0" w:line="286" w:lineRule="auto"/>
        <w:rPr>
          <w:sz w:val="20"/>
          <w:szCs w:val="20"/>
          <w:color w:val="auto"/>
        </w:rPr>
      </w:pPr>
      <w:r>
        <w:rPr>
          <w:rFonts w:ascii="Times New Roman" w:cs="Times New Roman" w:eastAsia="Times New Roman" w:hAnsi="Times New Roman"/>
          <w:sz w:val="18"/>
          <w:szCs w:val="18"/>
          <w:b w:val="1"/>
          <w:bCs w:val="1"/>
          <w:color w:val="auto"/>
        </w:rPr>
        <w:t>WHERE CAN I FIND THE VOTING RESULTS OF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 QUESTION-AND-ANSWER SESSION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As part of the Annual Meeting, we will hold a Q&amp;A session, during which we intend to answer appropriate questions submitted by stockholders during the Annual Meeting or questions submitted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in advance of the Annual Meeting that are pertinent to the Company and the Annual Meeting matters, for up to 10 minutes after the completion of the Annual Meeting. Appropriate questions submitted by stockholders will be read during the Q&amp;A portion of the Annual Meeting. Through this process, we believe we can respond to more questions than we were able to respond to at an in-person meeting. Only stockholders that have accessed the Annual Meeting as a stockholder (rather than a “Guest”) by following the procedures outlined above in “Who can attend and vote at the 2026 Annual Meeting of Stockholders?” will be permitted to submit questions during the Annual Meeting. If you would like to submit questions in advance of the Annual Meeting, please visit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before 11:59 p.m. Eastern Time on June 16, 2026 and enter your 16-digit control number. Each stockholder is limited to no more than two questions. Questions should be succinct and only cover a single topic. We will not address questions that are, among other things:</w:t>
      </w:r>
    </w:p>
    <w:p>
      <w:pPr>
        <w:spacing w:after="0" w:line="41"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76"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Quarterly Report on Form 10-Q;</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two-question limit;</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9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 or Corporate Secretary in their reasonable judgment.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Depending on the number of questions submitted, we may not be able to answer all questions during the Annual Meeting. Additional information regarding the Q&amp;A session will be available in the “Rules of Conduct” available on the Annual Meeting webpage for stockholders who have accessed the Annual Meeting as a stockholder (rather than a “Guest”) by following the procedures outlined above in “Who can attend and vote at the 2026 Annual Meeting of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137160</wp:posOffset>
            </wp:positionV>
            <wp:extent cx="53492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28575</wp:posOffset>
            </wp:positionV>
            <wp:extent cx="5349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At the Annual Meeting, two (2) Class II Directors are to be elected to hold office until our annual meeting of stockholders to be held in 2029 and until such director’s successor is duly elected and qualified or until such director’s earlier death, resignation or removal.</w:t>
      </w:r>
    </w:p>
    <w:p>
      <w:pPr>
        <w:spacing w:after="0" w:line="68"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We currently have eight (8) directors on our Board. Current director Virginia Boulet has not been nominated for re-election at the Annual Meeting. The proposal regarding the election of directors requires the approval of a plurality of the votes cast. This means that the two nominees receiving the highest number of affirmative “FOR” votes will be elected as Class II Directors. Votes withheld and broker non-votes will have no effect on the outcome of the vote on this proposal.</w:t>
      </w:r>
    </w:p>
    <w:p>
      <w:pPr>
        <w:spacing w:after="0" w:line="75"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Our Board is currently divided into three classes with staggered, three-year terms. At each annual meeting of stockholders, the successor to each director whose term then expires will be elected to serve from the time of election and qualification until the third annual meeting of stockholders following election or such director’s death, resignation or removal, whichever is earliest to occur. The current class structure is as follows: Class II, whose current term will expire at the upcoming Annual Meeting and whose subsequent term will expire at the 2029 annual meeting of stockholders; Class III, whose term will expire at the 2027 annual meeting of stockholders; and Class I, whose term will expire at the 2028 annual meeting of stockholders. The current Class I Directors are Christina C. Correia, Stephen A. Skaggs and Ernest Maddock; the current Class II Directors are Virginia Boulet, Phillip M. Eyler and Angus Pacala; and the current Class III Directors are Susan Heystee and Theodore L. Tewksbury, Ph.D.</w:t>
      </w:r>
    </w:p>
    <w:p>
      <w:pPr>
        <w:spacing w:after="0" w:line="80"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by the proxy for the election as Class II Directors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Phillip M. Eyler and Angus Pacala will be unable to serve if elected. Each of Phillip M. Eyler and Angus Pacala has consented to being named in this proxy statement and to serve if elected.</w:t>
      </w:r>
    </w:p>
    <w:p>
      <w:pPr>
        <w:spacing w:after="0" w:line="3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36830</wp:posOffset>
            </wp:positionV>
            <wp:extent cx="53492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86" w:lineRule="exact"/>
        <w:rPr>
          <w:sz w:val="20"/>
          <w:szCs w:val="20"/>
          <w:color w:val="auto"/>
        </w:rPr>
      </w:pPr>
    </w:p>
    <w:p>
      <w:pPr>
        <w:ind w:left="1880" w:right="17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election of each of the below Class 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-272415</wp:posOffset>
            </wp:positionV>
            <wp:extent cx="21463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89" w:lineRule="exact"/>
        <w:rPr>
          <w:sz w:val="20"/>
          <w:szCs w:val="20"/>
          <w:color w:val="auto"/>
        </w:rPr>
      </w:pPr>
    </w:p>
    <w:p>
      <w:pPr>
        <w:ind w:left="1300" w:right="1760"/>
        <w:spacing w:after="0" w:line="286" w:lineRule="auto"/>
        <w:rPr>
          <w:sz w:val="20"/>
          <w:szCs w:val="20"/>
          <w:color w:val="auto"/>
        </w:rPr>
      </w:pPr>
      <w:r>
        <w:rPr>
          <w:rFonts w:ascii="Times New Roman" w:cs="Times New Roman" w:eastAsia="Times New Roman" w:hAnsi="Times New Roman"/>
          <w:sz w:val="18"/>
          <w:szCs w:val="18"/>
          <w:b w:val="1"/>
          <w:bCs w:val="1"/>
          <w:color w:val="auto"/>
        </w:rPr>
        <w:t>NOMINEES FOR CLASS II DIRECTORS (CURRENT TERMS TO EXPIRE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349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12"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current members of the Board who are also nominees for election to the Board as Class II Directors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w:t>
            </w:r>
          </w:p>
        </w:tc>
        <w:tc>
          <w:tcPr>
            <w:tcW w:w="100" w:type="dxa"/>
            <w:vAlign w:val="bottom"/>
          </w:tcPr>
          <w:p>
            <w:pPr>
              <w:spacing w:after="0"/>
              <w:rPr>
                <w:sz w:val="13"/>
                <w:szCs w:val="13"/>
                <w:color w:val="auto"/>
              </w:rPr>
            </w:pPr>
          </w:p>
        </w:tc>
        <w:tc>
          <w:tcPr>
            <w:tcW w:w="22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Current Position(s) with Ouster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70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0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Phillip M. Eyler</w:t>
            </w:r>
          </w:p>
        </w:tc>
        <w:tc>
          <w:tcPr>
            <w:tcW w:w="2160" w:type="dxa"/>
            <w:vAlign w:val="bottom"/>
            <w:gridSpan w:val="3"/>
            <w:shd w:val="clear" w:color="auto" w:fill="CCEEFF"/>
          </w:tcPr>
          <w:p>
            <w:pPr>
              <w:jc w:val="center"/>
              <w:ind w:left="1610"/>
              <w:spacing w:after="0"/>
              <w:rPr>
                <w:sz w:val="20"/>
                <w:szCs w:val="20"/>
                <w:color w:val="auto"/>
              </w:rPr>
            </w:pPr>
            <w:r>
              <w:rPr>
                <w:rFonts w:ascii="Times New Roman" w:cs="Times New Roman" w:eastAsia="Times New Roman" w:hAnsi="Times New Roman"/>
                <w:sz w:val="18"/>
                <w:szCs w:val="18"/>
                <w:color w:val="auto"/>
                <w:w w:val="99"/>
              </w:rPr>
              <w:t>55</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Angus Pacala</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Director, Co-Founder and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700" w:type="dxa"/>
            <w:vAlign w:val="bottom"/>
            <w:vMerge w:val="continue"/>
          </w:tcPr>
          <w:p>
            <w:pPr>
              <w:spacing w:after="0"/>
              <w:rPr>
                <w:sz w:val="20"/>
                <w:szCs w:val="20"/>
                <w:color w:val="auto"/>
              </w:rPr>
            </w:pPr>
          </w:p>
        </w:tc>
        <w:tc>
          <w:tcPr>
            <w:tcW w:w="216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color w:val="auto"/>
                <w:w w:val="99"/>
              </w:rPr>
              <w:t>38</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nominee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248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178"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PHILLIP M. EYLER</w:t>
      </w:r>
      <w:r>
        <w:rPr>
          <w:sz w:val="20"/>
          <w:szCs w:val="20"/>
          <w:color w:val="auto"/>
        </w:rPr>
        <w:tab/>
      </w:r>
      <w:r>
        <w:rPr>
          <w:rFonts w:ascii="Times New Roman" w:cs="Times New Roman" w:eastAsia="Times New Roman" w:hAnsi="Times New Roman"/>
          <w:sz w:val="17"/>
          <w:szCs w:val="17"/>
          <w:color w:val="auto"/>
        </w:rPr>
        <w:t>Age 55</w:t>
      </w:r>
    </w:p>
    <w:p>
      <w:pPr>
        <w:spacing w:after="0" w:line="17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Phillip M. Eyler </w:t>
      </w:r>
      <w:r>
        <w:rPr>
          <w:rFonts w:ascii="Times New Roman" w:cs="Times New Roman" w:eastAsia="Times New Roman" w:hAnsi="Times New Roman"/>
          <w:sz w:val="18"/>
          <w:szCs w:val="18"/>
          <w:color w:val="auto"/>
        </w:rPr>
        <w:t>has served as a member of the Board since December 2025. Mr. Eyler has also served as a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board of directors of the Sleep Number Corporation (Nasdaq: SNBR), a smart bed and sleep wellness company, since 2022, including as its Chairman since 2025 and a member of the Compensation Committee from 2022 to May 2025. Mr. Eyler has also served as a director of Sensata Technologies Holding PLC (NYSE:ST), a company that designs and manufactures sensors for the transportation and industrial markets, including as a member of the Nominating and Corporate Governance Committee and Growth and Innovation Committee, since 2024. Previously, Mr. Eyler served as President and Chief Executive Officer of Gentherm Incorporated (Nasdaq: THRM), a global leader in cutting edge thermal management and pneumatic comfort technologies catering to the automotive and medical industries, from 2017 until his retirement in 2025. He previously served as President of the Connected Car Division of Harman International Industries, Inc. from 2015 to 2017 and as Senior Vice President and General Manager of Global Automative Audio from 2011 to 2015. Mr. Eyler holds an MBA from the Fuqua School of Business at Duke University and a BS in Mechanical Engineering from Purdue University. We believe that Mr. Eyler is qualified to serve as a member of the Board due to his experience as a director of other public companies and his global leadership experience in electronics, software, and sensing technology in several relevant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88900</wp:posOffset>
            </wp:positionV>
            <wp:extent cx="5349240" cy="248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219"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ANGUS PACALA</w:t>
      </w:r>
      <w:r>
        <w:rPr>
          <w:sz w:val="20"/>
          <w:szCs w:val="20"/>
          <w:color w:val="auto"/>
        </w:rPr>
        <w:tab/>
      </w:r>
      <w:r>
        <w:rPr>
          <w:rFonts w:ascii="Times New Roman" w:cs="Times New Roman" w:eastAsia="Times New Roman" w:hAnsi="Times New Roman"/>
          <w:sz w:val="17"/>
          <w:szCs w:val="17"/>
          <w:color w:val="auto"/>
        </w:rPr>
        <w:t>Age 38</w:t>
      </w:r>
    </w:p>
    <w:p>
      <w:pPr>
        <w:spacing w:after="0" w:line="17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Angus Pacala </w:t>
      </w:r>
      <w:r>
        <w:rPr>
          <w:rFonts w:ascii="Times New Roman" w:cs="Times New Roman" w:eastAsia="Times New Roman" w:hAnsi="Times New Roman"/>
          <w:sz w:val="18"/>
          <w:szCs w:val="18"/>
          <w:color w:val="auto"/>
        </w:rPr>
        <w:t>co-founded Ouster in June 2015 and has served as our Chief Executive Officer and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then. Previously, Mr. Pacala was Director of Engineering at Quanergy, Inc. from November 2012 to February 2015. Prior to this appointment, Mr. Pacala was Battery Engineer at Amprius, Inc. from June 2011 to October 2012. Mr. Pacala holds a Bachelor of Science degree in mechanical engineering and a Master of Science degree in mechanical engineering from Stanford University. We believe that Mr. Pacala is qualified to serve as a member of our Board due to his extensive technical background and his history as Ouster’s co-founder.</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III DIRECTORS (TERMS TO EXPIRE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who are Class III Directors are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w:t>
            </w:r>
          </w:p>
        </w:tc>
        <w:tc>
          <w:tcPr>
            <w:tcW w:w="120" w:type="dxa"/>
            <w:vAlign w:val="bottom"/>
          </w:tcPr>
          <w:p>
            <w:pPr>
              <w:spacing w:after="0"/>
              <w:rPr>
                <w:sz w:val="13"/>
                <w:szCs w:val="13"/>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Position(s) with Ouster</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Susan Heystee</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14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21"/>
                <w:szCs w:val="21"/>
                <w:color w:val="auto"/>
              </w:rPr>
            </w:pPr>
          </w:p>
        </w:tc>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Vice Chair of the Board</w:t>
            </w:r>
          </w:p>
        </w:tc>
        <w:tc>
          <w:tcPr>
            <w:tcW w:w="0" w:type="dxa"/>
            <w:vAlign w:val="bottom"/>
          </w:tcPr>
          <w:p>
            <w:pPr>
              <w:spacing w:after="0"/>
              <w:rPr>
                <w:sz w:val="1"/>
                <w:szCs w:val="1"/>
                <w:color w:val="auto"/>
              </w:rPr>
            </w:pPr>
          </w:p>
        </w:tc>
      </w:t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Theodore L. Tewksbury, Ph.D.</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69</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248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178"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SUSAN HEYSTEE</w:t>
      </w:r>
      <w:r>
        <w:rPr>
          <w:sz w:val="20"/>
          <w:szCs w:val="20"/>
          <w:color w:val="auto"/>
        </w:rPr>
        <w:tab/>
      </w:r>
      <w:r>
        <w:rPr>
          <w:rFonts w:ascii="Times New Roman" w:cs="Times New Roman" w:eastAsia="Times New Roman" w:hAnsi="Times New Roman"/>
          <w:sz w:val="17"/>
          <w:szCs w:val="17"/>
          <w:color w:val="auto"/>
        </w:rPr>
        <w:t>Age 64</w:t>
      </w:r>
    </w:p>
    <w:p>
      <w:pPr>
        <w:spacing w:after="0" w:line="17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Heystee </w:t>
      </w:r>
      <w:r>
        <w:rPr>
          <w:rFonts w:ascii="Times New Roman" w:cs="Times New Roman" w:eastAsia="Times New Roman" w:hAnsi="Times New Roman"/>
          <w:sz w:val="18"/>
          <w:szCs w:val="18"/>
          <w:color w:val="auto"/>
        </w:rPr>
        <w:t>has served as a member of our board of directors since September 2018. Ms. Heystee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Chair of our Board since April 2024 and she previously served as our lead independent director from March 2023 until April 2024. From August 2021 to February 2023, Ms. Heystee served as the Chair of our Board. She also served as our Interim Chief Revenue Officer from January 2021 to July 2021. Previously, Ms. Heystee was Senior Vice President of Global Automotive Business at Verizon Connect from January 2017 to June 2018. Prior to that, Ms. Heystee served as Executive Vice President of Global Sales and OEM Business at Telogis, which was acquired by Verizon in July 2016, from February 2010 to December 2016. Ms. Heystee has also served as a member of the board of directors of revVana Inc., a private software-as-a-service company providing revenue realization management solutions, since April 2020 and a member of the board of directors of ChargePoint, Inc. (NYSE: CHPT), an electric vehicle charging station company, since May 2021. Ms. Heystee holds bachelor’s degrees in mathematics and business from the University of Waterloo and an Advanced Management Program Certificate from Harvard Business School. We believe that Ms. Heystee is qualified to serve as a member of our Board due to her extensive experience in the technology sector and knowledge of market driven strategies.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248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241"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THEODORE L. TEWKSBURY, PH.D.</w:t>
      </w:r>
      <w:r>
        <w:rPr>
          <w:sz w:val="20"/>
          <w:szCs w:val="20"/>
          <w:color w:val="auto"/>
        </w:rPr>
        <w:tab/>
      </w:r>
      <w:r>
        <w:rPr>
          <w:rFonts w:ascii="Times New Roman" w:cs="Times New Roman" w:eastAsia="Times New Roman" w:hAnsi="Times New Roman"/>
          <w:sz w:val="17"/>
          <w:szCs w:val="17"/>
          <w:color w:val="auto"/>
        </w:rPr>
        <w:t>Age 69</w:t>
      </w:r>
    </w:p>
    <w:p>
      <w:pPr>
        <w:spacing w:after="0" w:line="17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Tewksbury </w:t>
      </w:r>
      <w:r>
        <w:rPr>
          <w:rFonts w:ascii="Times New Roman" w:cs="Times New Roman" w:eastAsia="Times New Roman" w:hAnsi="Times New Roman"/>
          <w:sz w:val="18"/>
          <w:szCs w:val="18"/>
          <w:color w:val="auto"/>
        </w:rPr>
        <w:t>has served as Chair of our Board since April 2024 and previously served as Executive Chairperson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from February 2023 to April 2024. Dr. Tewksbury served as the Chief Executive Officer of Velodyne Lidar, Inc. (“Velodyne”) from November 2021 until February 2023. Prior to that, he was CEO of Eta Compute, a provider of ultra-low power AI vision systems, from August 2019 to November 2021. Dr. Tewksbury has been a director of Maxlinear, Inc. (Nasdaq: MXL), a mixed-signal semiconductor company, since May 2015, where he chairs the Cybersecurity Committee and serves on the Audit and Nominating and Governance committees. From February 2017 to March 2019, Dr. Tewksbury was Chairman and CEO of Energy Focus, Inc., a provider of high-performance LED lighting solutions. Dr. Tewksbury was a director of Entropic Communications from September 2010 and CEO from November 2014 until MaxLinear’s acquisition of Entropic in April 2015. From 2013 to November 2014, he was an independent consultant to technology companies. From 2008 to 2013, Dr. Tewksbury served as CEO of Integrated Device Technology, Inc. and, from 2006 to 2008, was President and COO of AMI Semiconductor, both of which were public semiconductor companies. Prior to that, he held management and engineering leadership roles at Maxim Integrated Products, IBM Microelectronics and Analog Devices. Dr. Tewksbury was a member of the board of directors of the Global Semiconductor Alliance (GSA) from March 2011 to August 2013. Dr. Tewksbury holds a B.S. in Architecture and an M.S. and a Ph.D. in Electrical Engineering from the Massachusetts Institute of Technology. We believe that Dr. Tewksbury is qualified to serve as a member of our Board and as the Chair of our Board of Directors due to his industry knowledge and extensive experience as an executive and director for public technology companies.</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 DIRECTORS (TERMS TO EXPIRE AT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who are Class I Directors are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w:t>
            </w:r>
          </w:p>
        </w:tc>
        <w:tc>
          <w:tcPr>
            <w:tcW w:w="120" w:type="dxa"/>
            <w:vAlign w:val="bottom"/>
          </w:tcPr>
          <w:p>
            <w:pPr>
              <w:spacing w:after="0"/>
              <w:rPr>
                <w:sz w:val="13"/>
                <w:szCs w:val="13"/>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Position(s) with Ouster</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Christina C. Correia</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56</w:t>
            </w:r>
          </w:p>
        </w:tc>
        <w:tc>
          <w:tcPr>
            <w:tcW w:w="14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21"/>
                <w:szCs w:val="21"/>
                <w:color w:val="auto"/>
              </w:rPr>
            </w:pPr>
          </w:p>
        </w:tc>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Stephen A. Skaggs</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Ernest Maddock</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68</w:t>
            </w:r>
          </w:p>
        </w:tc>
        <w:tc>
          <w:tcPr>
            <w:tcW w:w="14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CCEEFF"/>
          </w:tcPr>
          <w:p>
            <w:pPr>
              <w:spacing w:after="0"/>
              <w:rPr>
                <w:sz w:val="20"/>
                <w:szCs w:val="20"/>
                <w:color w:val="auto"/>
              </w:rPr>
            </w:pPr>
          </w:p>
        </w:tc>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4"/>
        </w:trPr>
        <w:tc>
          <w:tcPr>
            <w:tcW w:w="2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178"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CHRISTINA C. CORREIA</w:t>
      </w:r>
      <w:r>
        <w:rPr>
          <w:sz w:val="20"/>
          <w:szCs w:val="20"/>
          <w:color w:val="auto"/>
        </w:rPr>
        <w:tab/>
      </w:r>
      <w:r>
        <w:rPr>
          <w:rFonts w:ascii="Times New Roman" w:cs="Times New Roman" w:eastAsia="Times New Roman" w:hAnsi="Times New Roman"/>
          <w:sz w:val="17"/>
          <w:szCs w:val="17"/>
          <w:color w:val="auto"/>
        </w:rPr>
        <w:t>Age 56</w:t>
      </w:r>
    </w:p>
    <w:p>
      <w:pPr>
        <w:spacing w:after="0" w:line="17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Christina C. Correia </w:t>
      </w:r>
      <w:r>
        <w:rPr>
          <w:rFonts w:ascii="Times New Roman" w:cs="Times New Roman" w:eastAsia="Times New Roman" w:hAnsi="Times New Roman"/>
          <w:sz w:val="18"/>
          <w:szCs w:val="18"/>
          <w:color w:val="auto"/>
        </w:rPr>
        <w:t>has served as a member of our Board since November 2024. Ms. Correia has also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Vice President, Chief Accounting Officer and Business Finance at Lam Research Corporation (Nasdaq: LRCX), a supplier of wafer-fabrication equipment and related services to the semiconductor industry, since May 2024. Prior to her current position, Ms. Correia has held multiple leadership roles at Lam in Finance, Corporate Communications and Investor Relations since joining in 2002, including serving as Corporate Vice President, Chief Accounting Officer and Business Finance from October 2023 to May 2024, Corporate Vice President, Chief Accounting Officer, Investor Relations and Corporate Finance from March 2023 to October 2023; Corporate Vice President, Investor Relations and Corporate Finance from April 2020 to March 2023; and Corporate Vice President, Investor Relations and Corporate Communications from September 2018 to April 2020. Prior to joining Lam, Ms. Correia worked at BroadVision, Inc. (Nasdaq: BVSN), an international software company, where she served as the company’s Vice President and Corporate Controller in addition to several other senior-level finance positions from September 1999 to November 2002. She previously worked in the assurance practice at KPMG, LLP, supporting the firm’s technology clients, from September 1992 to September 1999. Ms. Correia holds a B.S. in Business Administration from the University of California, Berkeley and is a licensed Certified Public Accountant in the State of California. We believe that Ms. Correia is qualified to serve as a member of our Board due to her financial expertise and extensive executive leadership experience.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248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241"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STEPHEN A. SKAGGS</w:t>
      </w:r>
      <w:r>
        <w:rPr>
          <w:sz w:val="20"/>
          <w:szCs w:val="20"/>
          <w:color w:val="auto"/>
        </w:rPr>
        <w:tab/>
      </w:r>
      <w:r>
        <w:rPr>
          <w:rFonts w:ascii="Times New Roman" w:cs="Times New Roman" w:eastAsia="Times New Roman" w:hAnsi="Times New Roman"/>
          <w:sz w:val="17"/>
          <w:szCs w:val="17"/>
          <w:color w:val="auto"/>
        </w:rPr>
        <w:t>Age 63</w:t>
      </w:r>
    </w:p>
    <w:p>
      <w:pPr>
        <w:spacing w:after="0" w:line="17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A. Skaggs </w:t>
      </w:r>
      <w:r>
        <w:rPr>
          <w:rFonts w:ascii="Times New Roman" w:cs="Times New Roman" w:eastAsia="Times New Roman" w:hAnsi="Times New Roman"/>
          <w:sz w:val="18"/>
          <w:szCs w:val="18"/>
          <w:color w:val="auto"/>
        </w:rPr>
        <w:t>has served as a member of our Board since November 2024. Mr. Skaggs has been a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since April 2016. He currently serves on the board of directors of Coherent Corp. (NYSE: COHR). Previously he held the position of Senior Vice President and Chief Financial Officer of Atmel Corporation, a leading supplier of microcontrollers, from May 2013 until its acquisition by Microchip Technology Incorporated (Nasdaq: MCHP) in April 2016. Mr. Skaggs has more than 25 years of experience in the semiconductor industry, including serving as President, Chief Executive Officer and Chief Financial Officer of Lattice Semiconductor (Nasdaq: LSCC), a supplier of programmable logic devices and related software. He was also previously a member of the board of directors of Lattice. Prior to Lattice, Mr. Skaggs was employed by Bain &amp; Company, a global management consulting firm, where he specialized in high technology product strategy, mergers and acquisitions and corporate restructurings. Mr. Skaggs holds an M.B.A. from Harvard Business School and a B.S. in Chemical Engineering from the University of California, Berkeley. We believe that Mr. Skaggs is qualified to serve as a member of our Board due to his extensive executive and management experience in the high-technology industry, including serving as chief executive officer, chief financial officer and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81915</wp:posOffset>
            </wp:positionV>
            <wp:extent cx="5349240" cy="248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49240" cy="248285"/>
                    </a:xfrm>
                    <a:prstGeom prst="rect">
                      <a:avLst/>
                    </a:prstGeom>
                    <a:noFill/>
                  </pic:spPr>
                </pic:pic>
              </a:graphicData>
            </a:graphic>
          </wp:anchor>
        </w:drawing>
      </w:r>
    </w:p>
    <w:p>
      <w:pPr>
        <w:spacing w:after="0" w:line="208"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ERNEST MADDOCK</w:t>
      </w:r>
      <w:r>
        <w:rPr>
          <w:sz w:val="20"/>
          <w:szCs w:val="20"/>
          <w:color w:val="auto"/>
        </w:rPr>
        <w:tab/>
      </w:r>
      <w:r>
        <w:rPr>
          <w:rFonts w:ascii="Times New Roman" w:cs="Times New Roman" w:eastAsia="Times New Roman" w:hAnsi="Times New Roman"/>
          <w:sz w:val="17"/>
          <w:szCs w:val="17"/>
          <w:color w:val="auto"/>
        </w:rPr>
        <w:t>Age 68</w:t>
      </w:r>
    </w:p>
    <w:p>
      <w:pPr>
        <w:spacing w:after="0" w:line="17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Ernest Maddock </w:t>
      </w:r>
      <w:r>
        <w:rPr>
          <w:rFonts w:ascii="Times New Roman" w:cs="Times New Roman" w:eastAsia="Times New Roman" w:hAnsi="Times New Roman"/>
          <w:sz w:val="18"/>
          <w:szCs w:val="18"/>
          <w:color w:val="auto"/>
        </w:rPr>
        <w:t>has served as a member of our Board since February 2023. Mr. Maddock served as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Micron Technology, Inc., a semiconductor manufacturing company, from 2015 until his retirement in 2018. Prior to that, he served as Executive Vice President and Chief Financial Officer of Riverbed Technology, Inc., an information technology company, from 2013 to 2015. From 1997 to 2013, Mr. Maddock served in various roles at the semiconductor capital equipment company Lam Research Corporation, culminating in the position of Chief Financial Officer from 2008 to 2013. Mr. Maddock has served on the boards of directors of Ultra Clean Holdings Inc. (Nasdaq: UCTT), a provider of semiconductor capital equipment components and services, since June 2018, Avnet Inc. (Nasdaq: AVT), a technology distribution company, since August 2021 and Teradyne, Inc. (Nasdaq: TER), a semiconductor capital equipment and robotics company, since November 2022. Mr. Maddock previously served on the Board of Intersil Corporation (Nasdaq: ISIL), a semiconductor company, from 2015 until its acquisition in 2017. Mr. Maddock received a BS in Industrial Management from the Georgia Institute of Technology and an MBA with a specialization in Finance from Georgia State University. We believe that Mr. Maddock is qualified to serve as a member of our Board due to his experience as a director and financial officer for multiple public technology companies and his decades of finance and operations experience in high tech businesses.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Audit Committee of the Board (the “Audit Committee”) has appointed PricewaterhouseCoopers LLP as our independent registered public accounting firm for the fiscal year ending December 31, 2026. Our Board has directed that this appointment be submitted to our stockholders for ratification. Although ratification of the Audit Committee’s appointment of PricewaterhouseCoopers LLP is not required, we value the opinions of our stockholders and believe that stockholder ratification of such appointment is a good corporate governance practice.</w:t>
      </w:r>
    </w:p>
    <w:p>
      <w:pPr>
        <w:spacing w:after="0" w:line="75"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PricewaterhouseCoopers LLP also served as our independent registered public accounting firm for the fiscal years ended December 31, 2022 through December 31, 2025. Neither PricewaterhouseCoopers LLP nor any of its members has any direct or indirect financial interest in or any connection with us in any capacity other than as our auditors, providing audit and non-audit related services. A representative of PricewaterhouseCoopers LLP is expected to attend the Annual Meeting, have an opportunity to make a statement if he or she desires to do so, and be available to respond to appropriate questions from stockholders.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event that the appointment of PricewaterhouseCoopers LLP is not ratified by the stockholders, the Audit Committee will consider this fact when it appoints the independent auditors for the fiscal year ending December 31, 2027. Even if the appointment of PricewaterhouseCoopers LLP is ratified, the Audit Committee retains the discretion to appoint a different independent auditor at any time if it determines that such a change is in the interests of Ouster.</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73" w:lineRule="exact"/>
        <w:rPr>
          <w:sz w:val="20"/>
          <w:szCs w:val="20"/>
          <w:color w:val="auto"/>
        </w:rPr>
      </w:pPr>
    </w:p>
    <w:p>
      <w:pPr>
        <w:jc w:val="both"/>
        <w:ind w:left="860" w:right="29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ratification of the appointment of PricewaterhouseCoopers LLP as our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-331470</wp:posOffset>
            </wp:positionV>
            <wp:extent cx="213995"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and the SEC.</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the applicable requirements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Audit Committee has been actively engaged in overseeing the material weaknesses that the Company identified in its Annual Report on Form 10-K for the fiscal year ended December 31, 2021 and in subsequent Form 10-Ks (“Material Weaknesses”). The Company remediated aspects of the Material Weaknesses in each of the fiscal years ended December 31, 2022, December 31, 2023, and December 31, 2024. In fiscal year ended December 31, 2025, the Company remediated all remaining aspects of the Material Weaknesses.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2025.</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Ernest Maddock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Christina C. Correia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Stephen A. Skaggs</w:t>
      </w:r>
    </w:p>
    <w:p>
      <w:pPr>
        <w:spacing w:after="0" w:line="97"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i w:val="1"/>
          <w:iCs w:val="1"/>
          <w:color w:val="auto"/>
        </w:rPr>
        <w:t>The Audit Committee Report does not constitute soliciting material, and shall not be deemed to be filed or incorporated by reference into any other filing under the Securities Act of 1933, as amended, or the Exchange Act, except to the extent that the Company specifically incorporates the Audit Committee Report by reference therein.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Set forth below are the fees paid to our independent registered public accounting firm, PricewaterhouseCoopers LLP, for the fiscal years ended December 31, 2025 and 2024:</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2024</w:t>
            </w:r>
          </w:p>
        </w:tc>
      </w:tr>
      <w:tr>
        <w:trPr>
          <w:trHeight w:val="23"/>
        </w:trPr>
        <w:tc>
          <w:tcPr>
            <w:tcW w:w="60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$2,754,000</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$1,290,344</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4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6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$2,756,000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$1,592,344</w:t>
            </w:r>
          </w:p>
        </w:tc>
      </w:tr>
    </w:tbl>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Audit fees in 2025 and 2024 consisted of fees for the audit of our annual financial statements, the review of the interim financial statements included in our Quarterly Reports on Form 10-Q, the review of financial statements to be included in registration statements, services associated with the issuance of comfort letters and the issuance of consents to registration statements and other professional services provided in connection with statutory and regulatory filings or engagements.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Audit-related fees consist of fees that are reasonably related to the performance of the audit and the review of our financial statements and which are not reported under “Audit Fees”.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2025 and 2024, all other fees consisted of fees related to technical research tools and similar resources.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PricewaterhouseCoopers LLP without first obtaining specific pre-approvals from the Audit Committee or the Chair of the Audit Committee. The Audit Committee may revise the list of general pre-approved services from time to time, based on subsequent determinations.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right="1079"/>
        <w:spacing w:after="0" w:line="286" w:lineRule="auto"/>
        <w:rPr>
          <w:sz w:val="20"/>
          <w:szCs w:val="20"/>
          <w:color w:val="auto"/>
        </w:rPr>
      </w:pPr>
      <w:r>
        <w:rPr>
          <w:rFonts w:ascii="Times New Roman" w:cs="Times New Roman" w:eastAsia="Times New Roman" w:hAnsi="Times New Roman"/>
          <w:sz w:val="18"/>
          <w:szCs w:val="18"/>
          <w:b w:val="1"/>
          <w:bCs w:val="1"/>
          <w:color w:val="auto"/>
        </w:rPr>
        <w:t>PROPOSAL 3: 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8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accordance with the Dodd–Frank Wall Street Reform and Consumer Protection Act of 2010 (the “Dodd-Frank Act”) and Rule 14a-21(a) under the Securities Exchange Act of 1934, as amended, we request that our stockholders cast a non-binding, advisory vote to approve the compensation of our named executive officers identified in the section titled “Executive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Accordingly, we ask our stockholders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following resolution at the Annual Meeting:</w:t>
      </w:r>
    </w:p>
    <w:p>
      <w:pPr>
        <w:spacing w:after="0" w:line="121"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an advisory (non-binding) basis, the compensation of the Company’s named executive officers, as disclosed in the Company’s proxy statement for the 2026 annual meeting of stockholders pursuant to Item 402 of Regulation S-K, including the compensation tables and narrative discussion.”</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believe that our compensation programs and policies for the year ended December 31, 2025 were an effective incentive for the achievement of our goals, aligned with stockholders’ interest and are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our performance-based compensation programs and set compensation targets and other objectives to maintain a close correlation between Company achievement and individual compensation.</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This vote is merely advisory and will not be binding upon the Company, our Board or the Board’s Compensation Committee (the “Compensation Committee”), nor will it create or imply any change in the duties of the Company, our Board or the Compensation Committee. The Compensation Committee will, however, take into account the outcome of the vote when considering future executive compensation decisions. At our 2025 annual meeting of stockholders, approximately 94.1% of the votes cast were voted “for” the proposal. The Board values constructive dialogue on executive compensation and other significant governance topics with our stockholders and encourages all stockholders to vote their shares on this important matter.</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At our annual meeting of stockholders held on June 9, 2022, our stockholders recommended, on an advisory basis, that future stockholder votes on the compensation of our named executive officers occur every year. In light of the foregoing recommendation, our Board determined to hold a “say-on-pay” advisory vote every year. An annual advisory vote on executive compensation is consistent with our policy of seeking regular dialogue with our stockholders on corporate governance matters and our executive compensation philosophy, policies and practices. We understand that our stockholders may have different views as to what is the best approach for the Company, and we look forward to hearing from our stockholders on this proposal. Accordingly, our next advisory say-on-pay vote (following the advisory vote at this Annual Meeting) is expected to occur at our 2027 annual meeting of stockholders.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32" w:lineRule="exact"/>
        <w:rPr>
          <w:sz w:val="20"/>
          <w:szCs w:val="20"/>
          <w:color w:val="auto"/>
        </w:rPr>
      </w:pPr>
    </w:p>
    <w:p>
      <w:pPr>
        <w:ind w:left="860" w:right="51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-272415</wp:posOffset>
            </wp:positionV>
            <wp:extent cx="213995"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137160</wp:posOffset>
            </wp:positionV>
            <wp:extent cx="53492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300" w:right="1660"/>
        <w:spacing w:after="0" w:line="286" w:lineRule="auto"/>
        <w:rPr>
          <w:sz w:val="20"/>
          <w:szCs w:val="20"/>
          <w:color w:val="auto"/>
        </w:rPr>
      </w:pPr>
      <w:r>
        <w:rPr>
          <w:rFonts w:ascii="Times New Roman" w:cs="Times New Roman" w:eastAsia="Times New Roman" w:hAnsi="Times New Roman"/>
          <w:sz w:val="18"/>
          <w:szCs w:val="18"/>
          <w:b w:val="1"/>
          <w:bCs w:val="1"/>
          <w:color w:val="auto"/>
        </w:rPr>
        <w:t>PROPOSAL 4: Approval of an Amendment to our Certificate of Incorporation to increase the number of authorized shares of the Company’s common stock from 100,000,000 to 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3492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85"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currently authorizes the issuance of 100,000,000 shares of common stock. On February 24, 2026, our Board adopted a resolution to amend the Certificate of Incorporation, subject to stockholder approval, by increasing the number of authorized shares of our common stock to 200,000,000 shares (the “Authorized Shares Amendment”). The additional 100,000,000 shares of common stock authorized for issuance pursuant to the proposed Authorized Shares Amendment would be part of the existing class of common stock and, if and when issued, would have the same rights and privileges as the shares of common stock presently issued and outstanding. The holders of common stock are not entitled to preemptive rights or cumulative voting. The Authorized Shares Amendment will not affect the number of authorized shares of preferred stock of the Company, par value $0.0001 per share, which is 100,000,000 shares. Currently, there are no shares of preferred stock issued and outstanding.</w:t>
      </w:r>
    </w:p>
    <w:p>
      <w:pPr>
        <w:spacing w:after="0" w:line="86"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If our stockholders approve this proposal, then Article IV of our Certificate of Incorporation will be deleted and replaced in its entirety to read as follows:</w:t>
      </w:r>
    </w:p>
    <w:p>
      <w:pPr>
        <w:spacing w:after="0" w:line="54" w:lineRule="exact"/>
        <w:rPr>
          <w:sz w:val="20"/>
          <w:szCs w:val="20"/>
          <w:color w:val="auto"/>
        </w:rPr>
      </w:pPr>
    </w:p>
    <w:p>
      <w:pPr>
        <w:jc w:val="both"/>
        <w:ind w:left="1660" w:right="1320"/>
        <w:spacing w:after="0" w:line="258"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“Common Stock” and “Preferred Stock.” The total number of shares of capital stock that the Corporation shall have authority to issue is 300,000,000. The total number of shares of Common Stock that the Corporation is authorized to issue is 200,000,000, having a par value of $0.0001 per share, and the total number of shares of Preferred Stock that the Corporation is authorized to issue is 100,000,000, having a par value of $0.0001 per share.”</w:t>
      </w:r>
    </w:p>
    <w:p>
      <w:pPr>
        <w:spacing w:after="0" w:line="2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Purpose of Authorized Shares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28575</wp:posOffset>
            </wp:positionV>
            <wp:extent cx="53492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Our Board believes it is in the best interests of the Company and our stockholders to increase our authorized shares of common stock in order to have additional shares available for use as our Board deems appropriate or necessary. As such, the primary purpose of the Authorized Shares Amendment is to provide the Company with greater flexibility with respect to managing its common stock in connection with such corporate purposes as may, from time to time, be considered advisable by our Board. These corporate purposes could include, without limitation, financing activities, public or private offerings of common stock, stock dividends or splits, conversions of convertible securities, issuance of options and other equity awards pursuant to our incentive plans, establishing a strategic relationship with a corporate collaborator and acquisition transactions. Having an increased number of authorized but unissued shares of common stock would allow us to take prompt action with respect to corporate opportunities that develop, without the delay and expense of convening a special meeting of stockholders for the purpose of approving an increase in our capitalization. Our Board will determine whether, when and on what terms the issuance of shares of common stock may be warranted in connection with any of the foregoing purposes.</w:t>
      </w:r>
    </w:p>
    <w:p>
      <w:pPr>
        <w:spacing w:after="0" w:line="2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Effect of Approval of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28575</wp:posOffset>
            </wp:positionV>
            <wp:extent cx="53492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effect the proposed Authorized Shares Amendment would have on the number of shares of common stock available for issuance, if approved by our stockholders: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Upon Effectiveness of</w:t>
            </w:r>
          </w:p>
        </w:tc>
        <w:tc>
          <w:tcPr>
            <w:tcW w:w="1300" w:type="dxa"/>
            <w:vAlign w:val="bottom"/>
          </w:tcPr>
          <w:p>
            <w:pPr>
              <w:spacing w:after="0"/>
              <w:rPr>
                <w:sz w:val="13"/>
                <w:szCs w:val="13"/>
                <w:color w:val="auto"/>
              </w:rPr>
            </w:pPr>
          </w:p>
        </w:tc>
      </w:tr>
      <w:tr>
        <w:trPr>
          <w:trHeight w:val="190"/>
        </w:trPr>
        <w:tc>
          <w:tcPr>
            <w:tcW w:w="130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3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6"/>
                <w:szCs w:val="16"/>
                <w:color w:val="auto"/>
              </w:rPr>
            </w:pPr>
          </w:p>
        </w:tc>
        <w:tc>
          <w:tcPr>
            <w:tcW w:w="13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Amendment</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AUTHORIZED SHARES OF COMMON STOCK</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100,000,000</w:t>
            </w:r>
          </w:p>
        </w:tc>
        <w:tc>
          <w:tcPr>
            <w:tcW w:w="15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200,000,000</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of common stock</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63,461,091</w:t>
            </w:r>
          </w:p>
        </w:tc>
        <w:tc>
          <w:tcPr>
            <w:tcW w:w="15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63,461,091</w:t>
            </w:r>
          </w:p>
        </w:tc>
        <w:tc>
          <w:tcPr>
            <w:tcW w:w="1300" w:type="dxa"/>
            <w:vAlign w:val="bottom"/>
          </w:tcPr>
          <w:p>
            <w:pPr>
              <w:spacing w:after="0"/>
              <w:rPr>
                <w:sz w:val="20"/>
                <w:szCs w:val="20"/>
                <w:color w:val="auto"/>
              </w:rPr>
            </w:pPr>
          </w:p>
        </w:tc>
      </w:tr>
      <w:tr>
        <w:trPr>
          <w:trHeight w:val="215"/>
        </w:trPr>
        <w:tc>
          <w:tcPr>
            <w:tcW w:w="13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authorized for future issuance under the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Company's incentive plans</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4,743,644</w:t>
            </w:r>
          </w:p>
        </w:tc>
        <w:tc>
          <w:tcPr>
            <w:tcW w:w="15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4,743,644</w:t>
            </w: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authorized for future issuance under the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1300" w:type="dxa"/>
            <w:vAlign w:val="bottom"/>
          </w:tcPr>
          <w:p>
            <w:pPr>
              <w:spacing w:after="0"/>
              <w:rPr>
                <w:sz w:val="20"/>
                <w:szCs w:val="20"/>
                <w:color w:val="auto"/>
              </w:rPr>
            </w:pPr>
          </w:p>
        </w:tc>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 employee stock purchase plan</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1,626,215</w:t>
            </w:r>
          </w:p>
        </w:tc>
        <w:tc>
          <w:tcPr>
            <w:tcW w:w="15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1,626,215</w:t>
            </w:r>
          </w:p>
        </w:tc>
        <w:tc>
          <w:tcPr>
            <w:tcW w:w="1300" w:type="dxa"/>
            <w:vAlign w:val="bottom"/>
          </w:tcPr>
          <w:p>
            <w:pPr>
              <w:spacing w:after="0"/>
              <w:rPr>
                <w:sz w:val="20"/>
                <w:szCs w:val="20"/>
                <w:color w:val="auto"/>
              </w:rPr>
            </w:pPr>
          </w:p>
        </w:tc>
      </w:tr>
      <w:tr>
        <w:trPr>
          <w:trHeight w:val="218"/>
        </w:trPr>
        <w:tc>
          <w:tcPr>
            <w:tcW w:w="13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subject to outstanding equity awards under the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Company's incentive plans</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5,223,464</w:t>
            </w:r>
          </w:p>
        </w:tc>
        <w:tc>
          <w:tcPr>
            <w:tcW w:w="15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5,223,464</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exercise of outstanding warrants</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3,277,155</w:t>
            </w:r>
          </w:p>
        </w:tc>
        <w:tc>
          <w:tcPr>
            <w:tcW w:w="15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3,277,155</w:t>
            </w:r>
          </w:p>
        </w:tc>
        <w:tc>
          <w:tcPr>
            <w:tcW w:w="1300" w:type="dxa"/>
            <w:vAlign w:val="bottom"/>
          </w:tcPr>
          <w:p>
            <w:pPr>
              <w:spacing w:after="0"/>
              <w:rPr>
                <w:sz w:val="20"/>
                <w:szCs w:val="20"/>
                <w:color w:val="auto"/>
              </w:rPr>
            </w:pPr>
          </w:p>
        </w:tc>
      </w:tr>
      <w:tr>
        <w:trPr>
          <w:trHeight w:val="215"/>
        </w:trPr>
        <w:tc>
          <w:tcPr>
            <w:tcW w:w="13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reserved for issuance as part of our “at the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68"/>
        </w:trPr>
        <w:tc>
          <w:tcPr>
            <w:tcW w:w="1300" w:type="dxa"/>
            <w:vAlign w:val="bottom"/>
          </w:tcPr>
          <w:p>
            <w:pPr>
              <w:spacing w:after="0"/>
              <w:rPr>
                <w:sz w:val="23"/>
                <w:szCs w:val="23"/>
                <w:color w:val="auto"/>
              </w:rPr>
            </w:pPr>
          </w:p>
        </w:tc>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 equity offering program</w:t>
            </w: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10,713,209</w:t>
            </w:r>
          </w:p>
        </w:tc>
        <w:tc>
          <w:tcPr>
            <w:tcW w:w="15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10,713,209</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56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21" w:name="page22"/>
    <w:bookmarkEnd w:id="21"/>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74"/>
        </w:trPr>
        <w:tc>
          <w:tcPr>
            <w:tcW w:w="1540" w:type="dxa"/>
            <w:vAlign w:val="bottom"/>
            <w:tcBorders>
              <w:top w:val="single" w:sz="8" w:color="0000EE"/>
            </w:tcBorders>
          </w:tcPr>
          <w:p>
            <w:pPr>
              <w:spacing w:after="0"/>
              <w:rPr>
                <w:sz w:val="24"/>
                <w:szCs w:val="24"/>
                <w:color w:val="auto"/>
              </w:rPr>
            </w:pPr>
          </w:p>
        </w:tc>
        <w:tc>
          <w:tcPr>
            <w:tcW w:w="4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Upon Effectiveness of</w:t>
            </w:r>
          </w:p>
        </w:tc>
      </w:tr>
      <w:tr>
        <w:trPr>
          <w:trHeight w:val="190"/>
        </w:trPr>
        <w:tc>
          <w:tcPr>
            <w:tcW w:w="15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Amendment</w:t>
            </w:r>
          </w:p>
        </w:tc>
      </w:tr>
      <w:tr>
        <w:trPr>
          <w:trHeight w:val="23"/>
        </w:trPr>
        <w:tc>
          <w:tcPr>
            <w:tcW w:w="15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shares of common stock and shares of common stock</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8"/>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89,044,778</w:t>
            </w:r>
          </w:p>
        </w:tc>
        <w:tc>
          <w:tcPr>
            <w:tcW w:w="15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89,044,778</w:t>
            </w: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Unreserved shares of common stock available for issuance</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9,384,564</w:t>
            </w:r>
          </w:p>
        </w:tc>
        <w:tc>
          <w:tcPr>
            <w:tcW w:w="15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109,384,564</w:t>
            </w:r>
          </w:p>
        </w:tc>
      </w:tr>
    </w:tbl>
    <w:p>
      <w:pPr>
        <w:spacing w:after="0" w:line="13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Other than shares that will be reserved for issuance under our existing incentive plans, employee stock purchase plan, and “at the market” equity offering program, we do not currently have any arrangements, agreements or understandings that would require the issuance of additional shares of common stock. Because our directors and executive officers have outstanding equity awards under our incentive plans, and may be granted additional equity awards under these plans, they may be deemed to have an indirect interest in the Authorized Shares Amendment because, absent the amendment, the Company may not have sufficient authorized shares to make future awards.</w:t>
      </w:r>
    </w:p>
    <w:p>
      <w:pPr>
        <w:spacing w:after="0" w:line="79"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The Authorized Shares Amendment will not have any immediate effect on the rights of existing stockholders. However, our Board will have the authority to issue authorized common stock without requiring future stockholder approval of such issuances, except as may be required by applicable law or rules of the Nasdaq Stock Market. Future issuances of common stock or securities convertible into or exchangeable for common stock could have a dilutive effect on our earnings per share, book value per share and the voting power and interest of current stockholders.</w:t>
      </w:r>
    </w:p>
    <w:p>
      <w:pPr>
        <w:spacing w:after="0" w:line="6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Authorized Shares Amendment is approved by stockholders, all other sections of the Certificate of Incorporation would be maintained in their current form. The Authorized Shares Amendment would become effective upon the filing of a Certificate of Amendment to our Certificate of Incorporation with the Secretary of State of the State of Delaware, which the Company intends to do promptly after the Annual Meeting if this Proposal is approved by stockholders.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the Authorized Shares Amendment is not approved by our stockholders at the Annual Meeting, the current Certificate of Incorporation would remain in effect in its entirety. Our Board reserves the right, notwithstanding stockholder approval of the Authorized Shares Amendment and without further action by our stockholders, not to proceed with the Authorized Shares Amendment at any time before it becomes effective.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Anti-Takeover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has not proposed the Authorized Shares Amendment with the intention of discouraging tender offers or takeover attempts of the Company. However, the availability of additional authorized shares for issuance could, under certain circumstances, discourage or make more difficult efforts to obtain control of our Company. This proposal is not being presented with the intent that it be used to prevent or discourage any acquisition attempt, but nothing would prevent our Board from taking any appropriate actions not inconsistent with its fiduciary duties.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Dissenters' Rights of Appraisal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Under Delaware law, stockholders are not entitled to appraisal rights with respect to the Authorized Shares Amendment, and we will not independently provide our stockholders with any such right.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200025</wp:posOffset>
            </wp:positionV>
            <wp:extent cx="21463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Authorized Shares Amendment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8"/>
          <w:szCs w:val="18"/>
          <w:b w:val="1"/>
          <w:bCs w:val="1"/>
          <w:color w:val="auto"/>
        </w:rPr>
        <w:t>PROPOSAL 5: Approval of an Amendment to our Certificate of Incorporation to Provide for Exculpation of Officers from Breaches of Fiduciary Duty to the Extent Permitted by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wp:posOffset>
            </wp:positionV>
            <wp:extent cx="53492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In Proposal 5, the Board seeks the approval of an amendment (the “Exculpation Amendment”) to the Company’s Certificate of Incorporation to provide for the exculpation of officers of the Company from liability for breach of the fiduciary duty of care to the extent permitted by the General Corporation Law of the State of Delaware (“DGCL”). A copy of the Exculpation Amendment contemplated by Proposal 5 is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Effective August 1, 2022, Section 102(b)(7) of the DCGL was amended (“Amended 102(b)(7)”) to enable a corporation to include in its certificate of incorporation a provision exculpating certain corporate officers from liability for breach of the fiduciary duty of care in certain circumstances. Previously, Section 102(b)(7) of the DGCL provided for the ability to exculpate directors only, and our Certificate of Incorporation currently limits the monetary liability of our directors in certain circumstances consistent with Section 102(b)(7) of the DGCL. Amended 102(b)</w:t>
      </w:r>
    </w:p>
    <w:p>
      <w:pPr>
        <w:spacing w:after="0" w:line="3" w:lineRule="exact"/>
        <w:rPr>
          <w:sz w:val="20"/>
          <w:szCs w:val="20"/>
          <w:color w:val="auto"/>
        </w:rPr>
      </w:pPr>
    </w:p>
    <w:p>
      <w:pPr>
        <w:jc w:val="both"/>
        <w:ind w:left="300" w:right="299" w:hanging="8"/>
        <w:spacing w:after="0" w:line="251" w:lineRule="auto"/>
        <w:tabs>
          <w:tab w:leader="none" w:pos="6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for the exculpation of certain of our officers only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Further, Amended 102(b)(7) does not permit a corporation to exculpate covered officers from liability for breach of the duty of loyalty, acts or omissions not in good faith or that involve intentional misconduct or a knowing violation of law, or any transaction in which the officer derived an improper personal benefit. Under Amended 102(b)(7), the officers who may be exculpated include a person who (i) is the president, chief executive officer, chief operating officer, chief financial officer, chief legal officer, controller, treasurer or chief accounting officer of the corporation at any time during the course of conduct alleged in the action or proceeding to be wrongful, (ii) is or was identified in the corporation’s public filings with the SEC because such person is or was one of the most highly compensated executive officers of the corporation, or (iii) has consented to service of process in Delaware by written agreement (collectively, “Covered Officers”). The proposed Exculpation Amendment would allow for the exculpation of our Covered Officers to the fullest extent permitted by the DGCL.</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has unanimously adopted and is submitting for stockholder approval the Exculpation Amendment. If our stockholders approve the Exculpation Amendment, our Board has authorized our officers to file a Certificate of Amendment with the Delaware Secretary of State, which we anticipate doing as soon as practicable following stockholder approval of the Exculpation Amendment at the 2026 annual meeting, and the Certificate of Amendment would become effective upon acceptance by the Delaware Secretary of State.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our stockholders do not approve the Exculpation Amendment, the Company’s current exculpation provisions relating to directors will remain in place, and the Certificate of Amendment will not be filed with the Delaware Secretary of State. However, even if our stockholders approve the Exculpation Amendment, our Board retains discretion under Delaware law to determine when to file the Certificate of Amendment with the Delaware Secretary of State and to abandon the Exculpation Amendment notwithstanding prior stockholder approval of the Exculpation Amendment.</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Exculpation Amendment contemplated by Proposal 5 would allow for the exculpation of Covered Officers to the fullest extent permitted by the DGCL, as is currently in effect or as it may hereafter be amended.</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Exculpation Amendment would currently allow for the exculpation of officers who are Covered Officers only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Further, the Exculpation Amendment would not limit the liability of officers for any breach of the duty of loyalty to the corporation or its stockholders, any acts or omissions not in good faith or which involve intentional misconduct or a knowing violation of the law, or any transaction from which the officer derived an improper personal benefit. Our current executive officers may have an interest in the approval of the Exculpation Amendment, as they may be exculpated from liability for certain actions to the extent consistent with the DGCL.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believes that adopting the Exculpation Amendment contemplated by this Proposal 5 would better position the Company to attract top officer candidates and retain our current officers. The Exculpation Amendment would also more closely align the protections available to our officers with those already available to our directors. We believe that failing to adopt the Exculpation Amendment could impact our recruitment and retention of exceptional officer candidates who conclude that the potential exposure to liabilities, costs of defense, and other risks of proceedings exceeds the benefits of serving as an officer of the Company.</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adopting the Exculpation Amendment contemplated by this Proposal 5 would enable the officers to exercise their business judgment in furtherance of the interests of the stockholders without the potential for distraction posed by the risk of personal liability. The nature of the role of officers often requires them to make decisions on crucial matters. Frequently, officers must make decisions in response to time-sensitive opportunities and challenges, which can create substantial risk of investigations, claims, actions, suits, or proceedings seeking to impose liability based on hindsight, especially in the current litigious environment and regardless of merit. Limiting our current and prospective officers’ concern about personal risk would empower officers to best exercise their business judgment in furtherance of stockholder interests and better position the Company to retain our current officers and attract top officer candidates. We believe that enhancing our ability to retain and attract experienced officers is in the best interests of the Company and its stockholders. We also believe that adopting the proposed amendment may lessen the Company’s exposure to potential expense associated with defending our officers against claims that have no legal merit.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73" w:lineRule="exact"/>
        <w:rPr>
          <w:sz w:val="20"/>
          <w:szCs w:val="20"/>
          <w:color w:val="auto"/>
        </w:rPr>
      </w:pPr>
    </w:p>
    <w:p>
      <w:pPr>
        <w:ind w:left="940" w:right="6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-272415</wp:posOffset>
            </wp:positionV>
            <wp:extent cx="214630"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Position(s) at Ouster</w:t>
            </w:r>
          </w:p>
        </w:tc>
      </w:tr>
      <w:tr>
        <w:trPr>
          <w:trHeight w:val="2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Angus Pacala</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Mark Frichtl</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Co-Founder and Chief Technology Officer</w:t>
            </w: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P. Gianella</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Darien Spencer</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Chung</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Cyrille Jacquemet</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Revenue Officer</w:t>
            </w:r>
          </w:p>
        </w:tc>
      </w:tr>
    </w:tbl>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For Angus Pacala’s biography, see page </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of this proxy statement.</w:t>
      </w:r>
    </w:p>
    <w:p>
      <w:pPr>
        <w:spacing w:after="0" w:line="11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Frichtl </w:t>
      </w:r>
      <w:r>
        <w:rPr>
          <w:rFonts w:ascii="Times New Roman" w:cs="Times New Roman" w:eastAsia="Times New Roman" w:hAnsi="Times New Roman"/>
          <w:sz w:val="18"/>
          <w:szCs w:val="18"/>
          <w:color w:val="auto"/>
        </w:rPr>
        <w:t>co-founded Ouster in June 2015 and has served as our Chief Technology Officer since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Mr. Frichtl was a Technologies Development Engineer at Apple, Inc. from April 2015 to May 2015 and an Engineer at Quanergy, Inc. from July 2013 to April 2015. Mr. Frichtl holds a Bachelor of Science degree in engineering physics and a Master of Science degree in mechanical engineering from Stanford University.</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Kenneth P. Gianella </w:t>
      </w:r>
      <w:r>
        <w:rPr>
          <w:rFonts w:ascii="Times New Roman" w:cs="Times New Roman" w:eastAsia="Times New Roman" w:hAnsi="Times New Roman"/>
          <w:sz w:val="18"/>
          <w:szCs w:val="18"/>
          <w:color w:val="auto"/>
        </w:rPr>
        <w:t>has served as Ouster’s Chief Financial Officer since May 2025. Prior to joining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Gianella served as Chief Financial Officer and as Chief Operating Officer at Quantum Corporation (Nasdaq: QMCO), an end-to-end data management solutions provider for AI and unstructured data, from August 2024 until April 2025, and as Chief Financial Officer from January 2023 to August 2024. Prior to this, he served as the Vice President, Investor Relations at Itron, Inc. (Nasdaq: ITRI) from July 2018 to January 2023. He has also held multiple leadership and finance roles at energy, water, and smart city technology companies including Silver Spring Networks (Nasdaq: SSNI) and Sensity Systems, Inc., and various senior finance roles at KLA-Tencor Corporation (Nasdaq: KLAC), a semiconductor process control and yield management company. Mr. Gianella holds a Master of Business Administration from University of Pittsburgh and a Bachelor of Science in Business Administration from Duquesne University.</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Darien Spencer </w:t>
      </w:r>
      <w:r>
        <w:rPr>
          <w:rFonts w:ascii="Times New Roman" w:cs="Times New Roman" w:eastAsia="Times New Roman" w:hAnsi="Times New Roman"/>
          <w:sz w:val="18"/>
          <w:szCs w:val="18"/>
          <w:color w:val="auto"/>
        </w:rPr>
        <w:t>has served as our Chief Operating Officer since February 2023. From July 2017 to January 2023,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Executive Vice President of Global Operations. Previously, Mr. Spencer was Executive Vice President of Operations and Chief Procurement Officer at Enphase Energy, an energy technology company, from August 2013 to April 2017. Prior to joining Enphase Energy, Mr. Spencer was General Manager of Business Units and Automation at Jabil Circuit, a product solutions company, from August 2012 to August 2013. Mr. Spencer has previously served as Co-Founder and Chief Operating and Procurement Officer at Optisolar / Novasolar Corporation from January 2007 to November 2012 and Senior Vice President of Asia Operations at Maxtor Corporation, a hard disk drive manufacturer, and Seagate Technology after the latter acquired Maxtor Corporation in May 2006, from January 2005 to January 2007.</w:t>
      </w:r>
    </w:p>
    <w:p>
      <w:pPr>
        <w:spacing w:after="0" w:line="80"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Megan Chung </w:t>
      </w:r>
      <w:r>
        <w:rPr>
          <w:rFonts w:ascii="Times New Roman" w:cs="Times New Roman" w:eastAsia="Times New Roman" w:hAnsi="Times New Roman"/>
          <w:sz w:val="18"/>
          <w:szCs w:val="18"/>
          <w:color w:val="auto"/>
        </w:rPr>
        <w:t>has served as our General Counsel and Secretary since February 2023. Previously, Ms. Chung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Deputy General Counsel from July 2021 to February 2023. Prior to joining the Company, Ms. Chung served as a Partner at the law firm of Kilpatrick Townsend &amp; Stockton LLP from 2014 to July 2021, including as Office Managing Partner for the firm’s San Diego office from October 2019 to July 2021. Ms. Chung’s practice focused on complex and technical intellectual property counseling, litigation, and portfolio management. Ms. Chung received her J.D. from the University of California, Davis School of Law and her B.A. and M.A. from Stanford University.</w:t>
      </w:r>
    </w:p>
    <w:p>
      <w:pPr>
        <w:spacing w:after="0" w:line="7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Cyrille Jacquemet </w:t>
      </w:r>
      <w:r>
        <w:rPr>
          <w:rFonts w:ascii="Times New Roman" w:cs="Times New Roman" w:eastAsia="Times New Roman" w:hAnsi="Times New Roman"/>
          <w:sz w:val="18"/>
          <w:szCs w:val="18"/>
          <w:color w:val="auto"/>
        </w:rPr>
        <w:t>has served as our Chief Revenue Officer since April 2026. Mr. Jacquemet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Senior Vice President of Global Sales from 2023 to 2026, Vice President, EMEA from 2020 to 2023 and Director of Business Development from 2018 to 2020. Prior to joining Ouster, Mr. Jacquemet had a fifteen-year career building and guiding sales organizations for dozens of technology companies in the U.S. and Europe. He previously served as the CEO and founder of Business Crescendo, a business development consulting firm focused on international expansion where he supported go-to-market strategies, building strategic partnerships, sales prospecting and customer engagement. Mr. Jacquemet received his master’s degree in Optical Physics from Institut d'Optique Graduate School in Paris.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Our Board has adopted Corporate Governance Guidelines, a Code of Business Conduct and Ethics and charters for the Board’s Nominating and Corporate Governance Committee, Audit Committee and Compensation Committee to assist the Board in the exercise of its responsibilities and to serve as a framework for the effective governance of Ouster. You can access our current committee charters, our Corporate Governance Guidelines and our Code of Business Conduct and Ethics in the “Corporate Governance” section under “Documents &amp; Charters” of our Investors website at </w:t>
      </w:r>
      <w:r>
        <w:rPr>
          <w:rFonts w:ascii="Times New Roman" w:cs="Times New Roman" w:eastAsia="Times New Roman" w:hAnsi="Times New Roman"/>
          <w:sz w:val="18"/>
          <w:szCs w:val="18"/>
          <w:i w:val="1"/>
          <w:iCs w:val="1"/>
          <w:color w:val="auto"/>
        </w:rPr>
        <w:t>investors.ouster.com</w:t>
      </w:r>
      <w:r>
        <w:rPr>
          <w:rFonts w:ascii="Times New Roman" w:cs="Times New Roman" w:eastAsia="Times New Roman" w:hAnsi="Times New Roman"/>
          <w:sz w:val="18"/>
          <w:szCs w:val="18"/>
          <w:color w:val="auto"/>
        </w:rPr>
        <w:t>, or by writing to our Secretary at our offices at 350 Treat Avenue, San Francisco, California 94110.</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Board currently consists of eight (8) members: Virginia Boulet, Susan Heystee, Ernest Maddock, Angus Pacala, Christina C. Correia, Stephen A. Skaggs, Phillip M. Eyler and Theodore L. Tewksbury, Ph.D. As disclosed above, Virginia Boulet has not been nominated for re-election at the Annual Meeting. Our Board is currently divided into three classes with staggered, three-year terms. At each annual meeting of stockholders, the successor to each director whose term then expires will be elected to serve from the time of election and qualification until the third annual meeting following election or such director’s death, resignation or removal, whichever is earliest to occur. Between annual meetings, the Board may elect directors to fill vacancies with new directors allocated among classes and each class should consist, as nearly as may be possible, of one-third of the total number of directors. The division of our Board into three classes with staggered three-year terms may delay or prevent a change of our management or a change in control of the Company.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Board has undertaken a review of the independence of our directors and considered whether any director has a relationship which, in the opinion of the Board, could interfere with the director’s exercise of independent judgment in carrying out the responsibilities of a director. Our Board has affirmatively determined that Virginia Boulet, Christina C. Correia, Susan Heystee, Ernest Maddock, Stephen A. Skaggs, Phillip M. Eyler and Theodore L. Tewksbury, Ph.D. are each an “independent director,” as defined under the rules of the Nasdaq Stock Market LLC (the “Nasdaq Rules”). In making these determinations, our Board considered the current and prior relationships that each director has with our Company and all other facts and circumstances our Board deemed relevant in determining their independence.</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and reviewing the qualifications of potential director candidates and recommending to the Board those candidates to be nominated for election to the Board.</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facilitate the search process for director candidates, the Nominating and Corporate Governance Committee may solicit our current directors and executives for the names of potentially qualified candidates or may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In connection with his initial election to our Board, Phillip M. Eyler was recommended to serve on our Board by a third party director search firm. Once potential candidates are identified, the Nominating and Corporate Governance Committee reviews the backgrounds of those candidates, evaluates candidates’ independence from us and potential conflicts of interest, and determines if candidates meet the qualifications desired by the Nominating and Corporate Governance Committee of candidates for election as director.</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accordance with our Corporate Governance Guidelines, in evaluating the suitability of individual candidates, the Nominating and Corporate Governance Committee may take into account many factors, including: personal and professional integrity; strong ethics and values; the ability to make mature business judgments; experience in corporate management, such as serving as an officer or former officer of a publicly held company; experience as a board member of another publicly held company; professional and academic experience relevant to the Company’s industry; the strength of the candidate’s leadership skills; experience in finance and accounting and/or executive compensation practices; whether the candidate has the time required for preparation, participation and attendance at Board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committee meetings; whether the board has appropriate mix of experience, qualifications and skills to perform its oversight function; and any other relevant qualifications, attributes or skills.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Ouster, Inc., 350 Treat Avenue, San Francisco, California 94110.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BY INTERESTED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Company stockholder or other interested party who desires to communicate with our Board of Directors, the Chair of our Board, the lead director, if any, any chairperson of a Board committee, or our non-management or independent members of the Board, may do so by addressing such communications to the intended recipient by name or position in care of: Ouster, Inc. to the attention of the General Counsel, 350 Treat Avenue, San Francisco, California 94110.</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the Board with flexibility to select our Chair of the Board, any Vice Chair of the Board and our Chief Executive Officer in the way the Board considers in the best interests of the Company. Therefore, the Board does not have a policy on whether the role of Chair and Chief Executive Officer should be separate or combined and, if it is to be separate, whether the Chair should be selected from the independent directors.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Currently, the roles of Chair of the Board and Chief Executive Officer are separated. In addition, we currently have a Vice Chair of the Board. Our Board continues to believe that the separation of the positions of Chair of the Board and Chief Executive Officer, together with the role of Vice Chair, creates an environment that encourages objective oversight of management’s performance and enhances the effectiveness of the Board as a whole. For these reasons, our Board has concluded that our current leadership structure is appropriate at this time. Our Board exercises its judgment in establishing, combining or separating the roles of Chair of the Board and Chief Executive Officer as it deems appropriate in light of prevailing circumstances. The Board will continue to exercise its judgment on an ongoing basis to determine the optimal Board leadership structure that the Board believes will provide effective leadership, oversight and direction, while optimizing the functioning of both the Board and management and facilitating effective communication between the two.</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the Chair is a member of management or does not otherwise qualify as independent, the Independent Directors may elect a lead independent director. Presently, the Board has not appointed a lead independent director because the Chair is independent. If applicable, the lead independent director’s responsibilities include, but are not limited to: presiding over all meetings of the Board at which the Chair and any Vice Chair of the Board is not present, including any executive sessions of the independent directors; approving Board meeting schedules and agendas; and acting as the liaison between the independent directors and the Chief Executive Officer and Chair of the Board. When the Chair of the Board is an independent director, the Chair of the Board serves as lead independent director. The Board may modify its leadership structure in the future as it deems appropriate.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Board has an active role, as a whole and also at the committee level, in overseeing the management of our risks. Our Board is responsible for general oversight of risks and regular review of information regarding our risks. The Audit Committee is responsible for discussing the Company’s policies with respect to risk assessment and risk management, including guidelines and policies to govern the process by which the Company’s exposure to risk is handled. The Audit Committee is also specifically responsible for overseeing the management of financial, cybersecurity and data privacy risks, including oversight of the measures taken by management to remediate our material weaknesses. The Compensation Committee is responsible for overseeing the management of risks relating to our executive compensation plans and arrangements. The Nominating and Corporate Governance Committee is responsible for overseeing the management of risks associated with the independence of our Board and other corporate governance matters. The Board does not believe that its role in the oversight of our risks affects the Board’s leadership structure.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non-management, independent members of the Board meet in regularly scheduled executive sessions, at least twice a year. Theodore L. Tewksbury, as independent Chair of the Board, presides over such executive sessions.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Board has adopted an Insider Trading Compliance Policy that governs the purchase, sale and/or other disposition of the Company’s securities by directors, officers and other employees of the Company. We believe our Insider Trading Compliance Policy is reasonably designed to promote compliance with insider trading laws, rules and regulations, as well as listing standards applicable to the Company. It is also our policy to comply with applicable insider trading laws and regulations with respect to transactions in our own securities. A copy of our Insider Trading Compliance Policy is attached as Exhibit 19.1 to our Annual Report on Form 10-K for the year ended December 31, 2025 filed with the SEC on March 2, 2026.</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Insider Trading Compliance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Ouster has adopted a Recovery of Erroneously Awarded Compensation Policy that, consistent with SEC and Nasdaq rules, requires the clawback of certain erroneously awarded compensation. In conformance with these rules, our policy requires the clawback by the Company of certain incentive-based compensation paid to current and former executive officers in the event that the Company is required to prepare an accounting restatement pursuant to which such compensation would not properly have been paid.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 TIMING POLICIES AND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generally grant equity awards at regularly scheduled Compensation Committee meetings.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not granted stock options or similar option-like instruments to our service providers since 2021. Accordingly, during fiscal year 2025, we did not grant stock options or similar option like instruments to our NEOs during the four business days prior to or the one business day following the filing of our periodic reports or the filing or furnishing of a Form 8-K that discloses material nonpublic information.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Conduct is available on our Investors website at </w:t>
      </w:r>
      <w:r>
        <w:rPr>
          <w:rFonts w:ascii="Times New Roman" w:cs="Times New Roman" w:eastAsia="Times New Roman" w:hAnsi="Times New Roman"/>
          <w:sz w:val="18"/>
          <w:szCs w:val="18"/>
          <w:i w:val="1"/>
          <w:iCs w:val="1"/>
          <w:color w:val="auto"/>
        </w:rPr>
        <w:t>investors.ouster.com</w:t>
      </w:r>
      <w:r>
        <w:rPr>
          <w:rFonts w:ascii="Times New Roman" w:cs="Times New Roman" w:eastAsia="Times New Roman" w:hAnsi="Times New Roman"/>
          <w:sz w:val="18"/>
          <w:szCs w:val="18"/>
          <w:color w:val="auto"/>
        </w:rPr>
        <w:t xml:space="preserve"> in the “Corporate Governance” section. We expect that any amendments to the Code of Conduct, or any waivers of its requirements, that are required to be disclosed by SEC or Nasdaq Rules will be disclosed on our website. We granted no waivers under our Code of Conduct with respect to our executive officers or directors in fiscal year 2025.</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There were 9 meetings of the Board during the fiscal year ended December 31, 2025. During the fiscal year ended December 31, 2025, each incumbent director attended at least 75% of the aggregate of (i) all meetings of the Board during the period in which he or she served as a director and (ii) all meetings of the committees on which he or she served during the period in which he or she served as a director. Last year, all of our then-current directors attended the 2025 annual meeting of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Under our Corporate Governance Guidelines, which are available on our website at </w:t>
      </w:r>
      <w:r>
        <w:rPr>
          <w:rFonts w:ascii="Times New Roman" w:cs="Times New Roman" w:eastAsia="Times New Roman" w:hAnsi="Times New Roman"/>
          <w:sz w:val="18"/>
          <w:szCs w:val="18"/>
          <w:i w:val="1"/>
          <w:iCs w:val="1"/>
          <w:color w:val="auto"/>
        </w:rPr>
        <w:t>www.ouster.com</w:t>
      </w:r>
      <w:r>
        <w:rPr>
          <w:rFonts w:ascii="Times New Roman" w:cs="Times New Roman" w:eastAsia="Times New Roman" w:hAnsi="Times New Roman"/>
          <w:sz w:val="18"/>
          <w:szCs w:val="18"/>
          <w:color w:val="auto"/>
        </w:rPr>
        <w:t>,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and the annual meeting of stockholders, with the understanding that, on occasion, a director may be unable to attend a meeting. All directors are expected to attend all Board and applicable committee meetings. A director who is unable to attend a meeting of the Board or a committee of the Board is expected to notify the Chair of the Board or the Chair of the appropriate committee in advance of such meeting, and, whenever possible, participate in such meeting via teleconference in the case of an in-person meeting.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has established three standing committees: Audit, Compensation and Nominating and Corporate Governance — each of which operates pursuant to a written charter that has been approved by our Board specifically for each respective committee.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members of each of the Board committees are set forth in the following chart:</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9"/>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0"/>
        </w:trPr>
        <w:tc>
          <w:tcPr>
            <w:tcW w:w="6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3"/>
        </w:trPr>
        <w:tc>
          <w:tcPr>
            <w:tcW w:w="6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Virginia Boulet</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Christina C. Correia</w:t>
            </w:r>
          </w:p>
        </w:tc>
        <w:tc>
          <w:tcPr>
            <w:tcW w:w="10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Susan Heystee (</w:t>
            </w:r>
            <w:r>
              <w:rPr>
                <w:rFonts w:ascii="Times New Roman" w:cs="Times New Roman" w:eastAsia="Times New Roman" w:hAnsi="Times New Roman"/>
                <w:sz w:val="18"/>
                <w:szCs w:val="18"/>
                <w:b w:val="1"/>
                <w:bCs w:val="1"/>
                <w:i w:val="1"/>
                <w:iCs w:val="1"/>
                <w:color w:val="auto"/>
              </w:rPr>
              <w:t>Vice Chair of the Board)</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Ernest Maddock</w:t>
            </w:r>
          </w:p>
        </w:tc>
        <w:tc>
          <w:tcPr>
            <w:tcW w:w="10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Stephen A. Skaggs</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Theodore L. Tewksbury, Ph.D. (</w:t>
            </w:r>
            <w:r>
              <w:rPr>
                <w:rFonts w:ascii="Times New Roman" w:cs="Times New Roman" w:eastAsia="Times New Roman" w:hAnsi="Times New Roman"/>
                <w:sz w:val="18"/>
                <w:szCs w:val="18"/>
                <w:b w:val="1"/>
                <w:bCs w:val="1"/>
                <w:i w:val="1"/>
                <w:iCs w:val="1"/>
                <w:color w:val="auto"/>
              </w:rPr>
              <w:t>Chair of the Board)</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66"/>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Phillip M. Eyler</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60"/>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Our Audit Committee’s responsibilities include, but are not limited to:</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including our internal audit function, and compliance with legal and regulatory requirements;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enterprise risk management, including the management of financial risks and cybersecurity risks;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adequacy and effectiveness of our internal control over financial reporting and our compliance with legal and regulatory requirements;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procedures for the confidential anonymous submission of concerns regarding questionable accounting, internal controls or auditing matters or concerns about ethical or legal violations.</w:t>
      </w:r>
    </w:p>
    <w:p>
      <w:pPr>
        <w:spacing w:after="0" w:line="52"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The Audit Committee charter is available on our website at </w:t>
      </w:r>
      <w:r>
        <w:rPr>
          <w:rFonts w:ascii="Times New Roman" w:cs="Times New Roman" w:eastAsia="Times New Roman" w:hAnsi="Times New Roman"/>
          <w:sz w:val="18"/>
          <w:szCs w:val="18"/>
          <w:i w:val="1"/>
          <w:iCs w:val="1"/>
          <w:color w:val="auto"/>
        </w:rPr>
        <w:t>www.ouster.com</w:t>
      </w:r>
      <w:r>
        <w:rPr>
          <w:rFonts w:ascii="Times New Roman" w:cs="Times New Roman" w:eastAsia="Times New Roman" w:hAnsi="Times New Roman"/>
          <w:sz w:val="18"/>
          <w:szCs w:val="18"/>
          <w:color w:val="auto"/>
        </w:rPr>
        <w:t>. The current members of the Audit Committee are Ernest Maddock, Stephen A. Skaggs and Christina C. Correia, with Ernest Maddock serving as the chair.</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Board has determined that each of Ernest Maddock, Stephen A. Skaggs and Christina C. Correia are independent directors under Nasdaq Rules and the additional independence standards applicable to audit committee members established pursuant to Rule 10A-3 under the Exchange Act. Our Board has also determined that each of Ernest Maddock, Stephen A. Skaggs and Christina C. Correia meets the “financial literacy” requirement for Audit Committee members under Nasdaq Rules and that each of Ernest Maddock, Christina C. Correia, and Stephen A Skaggs is an “audit committee financial expert” within the meaning of the SEC rules and has accounting or related financial management expertise as required under the Nasdaq Rules.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met 4 times during the fiscal year ended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matters:</w:t>
      </w:r>
    </w:p>
    <w:p>
      <w:pPr>
        <w:spacing w:after="0" w:line="117" w:lineRule="exact"/>
        <w:rPr>
          <w:sz w:val="20"/>
          <w:szCs w:val="20"/>
          <w:color w:val="auto"/>
        </w:rPr>
      </w:pPr>
    </w:p>
    <w:p>
      <w:pPr>
        <w:jc w:val="both"/>
        <w:ind w:left="1000" w:right="319" w:hanging="348"/>
        <w:spacing w:after="0" w:line="25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relevant to the compensation of our Chief Executive Officer, evaluating the performance of our Chief Executive Officer in light of these goals and objectives and, based upon this evaluation (either alone, or if directed by our Board, in conjunction with a majority of the independent directors of our Board), setting the compensation of our Chief Executive Officer;</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our Board regarding the compensation of our other executive officers;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the compensation of our directors as well as directors’ and officers’ indemnification and insurance arrangements;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regarding our incentive compensation and equity-based plans and arrangements;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overseeing our compliance with the compensation recovery policy required by applicable SEC and Nasdaq rules;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15"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Compensation Committee’s charter, which is available on our website at </w:t>
      </w:r>
      <w:r>
        <w:rPr>
          <w:rFonts w:ascii="Times New Roman" w:cs="Times New Roman" w:eastAsia="Times New Roman" w:hAnsi="Times New Roman"/>
          <w:sz w:val="18"/>
          <w:szCs w:val="18"/>
          <w:i w:val="1"/>
          <w:iCs w:val="1"/>
          <w:color w:val="auto"/>
        </w:rPr>
        <w:t>www.ouster.com</w:t>
      </w:r>
      <w:r>
        <w:rPr>
          <w:rFonts w:ascii="Times New Roman" w:cs="Times New Roman" w:eastAsia="Times New Roman" w:hAnsi="Times New Roman"/>
          <w:sz w:val="18"/>
          <w:szCs w:val="18"/>
          <w:color w:val="auto"/>
        </w:rPr>
        <w:t>, the Compensation Committee has the authority to retain or obtain the advice of compensation consultants, legal counsel and other advisors to assist in carrying out its responsibilities. Since 2024, the Compensation Committee has engaged Semler Brossy to serve as its compensation consultant on executive compensation matters. The Compensation Committee has considered the adviser independence factors required under Nasdaq rules as they relate to Semler Brossy and has determined that Semler Brossy’s work does not raise a conflict of interest.</w:t>
      </w:r>
    </w:p>
    <w:p>
      <w:pPr>
        <w:spacing w:after="0" w:line="7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a subcommittee as it deems appropriate from time to time. The Compensation Committee has the authority to conduct or authorize investigations into any matters within the scope of its responsibilities as it deems appropriate, including the authority to request any officer, employee or adviser of the Company to meet with the Compensation Committee or any advisers engaged by the Compensation Committee. In addition to the foregoing and other authority expressly delegated to the Compensation Committee in the charter, the Compensation Committee may also exercise any other powers and carry out any other responsibilities consistent with the charter, the purposes of the Compensation Committee, the Company’s amended and restated bylaws (the “Bylaws”) and applicable Nasdaq Rules.</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current members of our Compensation Committee are Stephen A. Skaggs, Susan Heystee, Phillip M. Eyler, and Ernest Maddock, with Stephen A. Skaggs serving as the chair. Each member of our Compensation Committee meets the requirements for independence under the current Nasdaq Rules, including the Nasdaq Rules applicable to compensation committee membership. Each member of our Compensation Committee is also a non-employee director, as defined in Section 16b-3 of the Exchange Act.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met 7 times during the fiscal year ended December 31, 2025.</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 among other matters:</w:t>
      </w:r>
    </w:p>
    <w:p>
      <w:pPr>
        <w:spacing w:after="0" w:line="77" w:lineRule="exact"/>
        <w:rPr>
          <w:sz w:val="20"/>
          <w:szCs w:val="20"/>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consistent with criteria approved by our Board;</w:t>
      </w:r>
    </w:p>
    <w:p>
      <w:pPr>
        <w:spacing w:after="0" w:line="26"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nominees for election to our Board at annual meetings of stockholders and director candidates to fill vacancies occurring between annual meetings of stockholders;</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Board leadership structure and recommending any proposed changes to the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periodic evaluation of the Board and its committees;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the Chief Executive Officer and other executive officer roles;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a set of corporate governance guidelines and overseeing other corporate governance matters.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charter is available on our website at </w:t>
      </w:r>
      <w:r>
        <w:rPr>
          <w:rFonts w:ascii="Times New Roman" w:cs="Times New Roman" w:eastAsia="Times New Roman" w:hAnsi="Times New Roman"/>
          <w:sz w:val="18"/>
          <w:szCs w:val="18"/>
          <w:i w:val="1"/>
          <w:iCs w:val="1"/>
          <w:color w:val="auto"/>
        </w:rPr>
        <w:t>www.ouster.com</w:t>
      </w:r>
      <w:r>
        <w:rPr>
          <w:rFonts w:ascii="Times New Roman" w:cs="Times New Roman" w:eastAsia="Times New Roman" w:hAnsi="Times New Roman"/>
          <w:sz w:val="18"/>
          <w:szCs w:val="18"/>
          <w:color w:val="auto"/>
        </w:rPr>
        <w:t>. Our Nominating and Corporate Governance Committee consists of Virginia Boulet, Susan Heystee and Theodore L. Tewksbury, with Susan Heystee serving as the chair. Each member of our Nominating and Corporate Governance Committee meets the requirements for independence under the current Nasdaq Rules. The Nominating and Corporate Governance Committee has the authority to consult with outside advisors or retain search firms to assist in the search for qualified candidates or consider director candidates recommended by our stockholders.</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met 4 times during the fiscal year ended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2025 named executive officers. Our named executive officers and their positions for the year ended December 31, 2025 (collectively, the “named executive officers”) are:</w:t>
      </w:r>
    </w:p>
    <w:p>
      <w:pPr>
        <w:spacing w:after="0" w:line="68"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Angus Pacala, our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Frichtl, our Chief Technology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P. Gianella, our Chief Financial Officer.</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As a smaller reporting company, as defined in Rule 12b-2 of the Securities Exchange Act of 1934, as amended, we are not required to include a Compensation Discussion and Analysis section of our proxy statement and have elected to comply with the scaled disclosure requirements applicable to smaller reporting companies.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the compensation earned by each of our named executive officers during the fiscal years ending December 31, 2024 and December 31, 2025.</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2"/>
                <w:szCs w:val="12"/>
                <w:color w:val="auto"/>
              </w:rPr>
            </w:pPr>
          </w:p>
        </w:tc>
        <w:tc>
          <w:tcPr>
            <w:tcW w:w="58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right"/>
              <w:ind w:right="56"/>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Angus Pacala</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2,469,500</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479,600</w:t>
            </w: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14,000</w:t>
            </w:r>
          </w:p>
        </w:tc>
        <w:tc>
          <w:tcPr>
            <w:tcW w:w="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3,363,100</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1,099,515</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399,240</w:t>
            </w: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11,692</w:t>
            </w:r>
          </w:p>
        </w:tc>
        <w:tc>
          <w:tcPr>
            <w:tcW w:w="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1,910,447</w:t>
            </w:r>
          </w:p>
        </w:tc>
        <w:tc>
          <w:tcPr>
            <w:tcW w:w="0" w:type="dxa"/>
            <w:vAlign w:val="bottom"/>
          </w:tcPr>
          <w:p>
            <w:pPr>
              <w:spacing w:after="0"/>
              <w:rPr>
                <w:sz w:val="1"/>
                <w:szCs w:val="1"/>
                <w:color w:val="auto"/>
              </w:rPr>
            </w:pPr>
          </w:p>
        </w:tc>
      </w:tr>
      <w:tr>
        <w:trPr>
          <w:trHeight w:val="23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Mark Frichtl</w:t>
            </w:r>
          </w:p>
        </w:tc>
        <w:tc>
          <w:tcPr>
            <w:tcW w:w="12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1,529,500</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239,800</w:t>
            </w: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14,000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2,183,300</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5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733,013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199,620</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4,307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1,336,940</w:t>
            </w:r>
          </w:p>
        </w:tc>
        <w:tc>
          <w:tcPr>
            <w:tcW w:w="0" w:type="dxa"/>
            <w:vAlign w:val="bottom"/>
          </w:tcPr>
          <w:p>
            <w:pPr>
              <w:spacing w:after="0"/>
              <w:rPr>
                <w:sz w:val="1"/>
                <w:szCs w:val="1"/>
                <w:color w:val="auto"/>
              </w:rPr>
            </w:pPr>
          </w:p>
        </w:tc>
      </w:tr>
      <w:tr>
        <w:trPr>
          <w:trHeight w:val="256"/>
        </w:trPr>
        <w:tc>
          <w:tcPr>
            <w:tcW w:w="2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Kenneth P. Gianella</w:t>
            </w:r>
            <w:r>
              <w:rPr>
                <w:rFonts w:ascii="Times New Roman" w:cs="Times New Roman" w:eastAsia="Times New Roman" w:hAnsi="Times New Roman"/>
                <w:sz w:val="29"/>
                <w:szCs w:val="29"/>
                <w:color w:val="auto"/>
                <w:vertAlign w:val="superscript"/>
              </w:rPr>
              <w:t>(4)</w:t>
            </w:r>
          </w:p>
        </w:tc>
        <w:tc>
          <w:tcPr>
            <w:tcW w:w="5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230,769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3,282,000</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181,759</w:t>
            </w:r>
          </w:p>
        </w:tc>
        <w:tc>
          <w:tcPr>
            <w:tcW w:w="10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6,923</w:t>
            </w:r>
          </w:p>
        </w:tc>
        <w:tc>
          <w:tcPr>
            <w:tcW w:w="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3,801,451</w:t>
            </w: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reflects a one-time sign-on bonus paid to Mr. Gianella that is subject to repayment if Mr. Gianella voluntarily resigns or is terminated for cause prior to May 19, 2026.</w:t>
      </w:r>
    </w:p>
    <w:p>
      <w:pPr>
        <w:jc w:val="both"/>
        <w:ind w:left="640" w:right="299" w:hanging="348"/>
        <w:spacing w:after="0" w:line="24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stock awards granted during fiscal 2025 computed in accordance with Accounting Standards Codification (“ASC”) Topic 718. We provide information regarding the assumptions used to calculate the value of all stock awards made to named executive officers in Note 11 of our financial statements included in our Form 10-K.</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for fiscal 2025 and 2024 constitute employer matching contributions under our 401(k) plan.</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Gianella commenced employment with us on May 19, 2025.</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2025 Annual Base Salaries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For 2025, the annual base salaries of Mr. Pacala, Mr. Frichtl and Mr. Gianella were $400,000, $400,000 and $375,000, respectively.</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Compensation Committee retains the discretion to increase the annual base salaries of our named executive officers from time to time.</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Short-Term Incentive Compensation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2025, each of our executive officers was eligible to earn performance-based, short-term incentive compensation based on pre-set financial metrics. During 2025, our Compensation Committee set Mr. Pacala’s and Mr. Frichtl’s target bonus opportunity for 2025 at 100% and 50% of his annual base salary, respectively, and established Mr. Gianella’s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target bonus opportunity for 2025 at 65% of his annual base salary, pro-rated for his partial year of service. In early 2026, our Compensation Committee determined that the financial metrics for 2025 were achieved at 119.9%. The bonuses set forth in the 2025 Summary Compensation Table were paid in cash in March 2026.</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connection with Mr. Gianella’s commencement of employment in May 2025, our Compensation Committee approved a one-time sign-on bonus of $100,000, paid in two equal installments in May and November 2025. Mr. Gianella is required to repay the sign-on bonus in the event he resigns his employment with us for any reason or his employment is terminated by us for cause, in each case, prior to May 19, 2026.</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Compensation Committee approved a similar performance-based program for 2026 and retains the discretion to award discretionary bonuses and to make discretionary adjustments to bonus targets and amounts from time to time.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grant equity awards, typically comprised of restricted stock or restricted stock units, to our employees, including our named executive officers, in order to attract and retain them, as well as to align their interests with the interests of our stockholders.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Compensation Committee granted Mr. Pacala 275,000 restricted stock units in March 2025, Mr. Frichtl 175,000 restricted stock units in April 2025 and Mr. Gianella 300,000 restricted stock units in May 2025. The awards of restricted stock units for Mr. Pacala and Mr. Frichtl vest in six substantially equal installments on each quarterly anniversary of September 11, 2025, in each case, subject to continued service to us through the applicable</w:t>
      </w:r>
    </w:p>
    <w:p>
      <w:pPr>
        <w:spacing w:after="0" w:line="3" w:lineRule="exact"/>
        <w:rPr>
          <w:sz w:val="20"/>
          <w:szCs w:val="20"/>
          <w:color w:val="auto"/>
        </w:rPr>
      </w:pPr>
    </w:p>
    <w:p>
      <w:pPr>
        <w:jc w:val="both"/>
        <w:ind w:left="300" w:right="299"/>
        <w:spacing w:after="0" w:line="209" w:lineRule="auto"/>
        <w:rPr>
          <w:sz w:val="20"/>
          <w:szCs w:val="20"/>
          <w:color w:val="auto"/>
        </w:rPr>
      </w:pPr>
      <w:r>
        <w:rPr>
          <w:rFonts w:ascii="Times New Roman" w:cs="Times New Roman" w:eastAsia="Times New Roman" w:hAnsi="Times New Roman"/>
          <w:sz w:val="18"/>
          <w:szCs w:val="18"/>
          <w:color w:val="auto"/>
        </w:rPr>
        <w:t>vesting dates. Mr. Gianella’s award of restricted stock units vests 1/3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on June 11, 2026 and then in eight quarterly installments thereafter, subject to continued service to us through the applicable vesting dates.</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and Health and Welfare Benefits</w:t>
      </w:r>
    </w:p>
    <w:p>
      <w:pPr>
        <w:spacing w:after="0" w:line="121"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match 4% of a participant’s annual eligible contribution to the 401(k) plan, up to the IRS limit.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These health and welfare plans include medical, dental and vision benefits; short-term and long-term disability insurance; and supplemental life and AD&amp;D insurance.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determine perquisites on a case-by-case basis and will provide a perquisite to a named executive officer when we believe it is necessary to attract or retain the named executive officer. We did not provide any perquisites or personal benefits to our named executive officers not otherwise made available to other employees in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2025. All amounts in the table are reported after giving effect to our 1 for 10 reverse stock split completed on April 21,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0" w:type="dxa"/>
            <w:vAlign w:val="bottom"/>
          </w:tcPr>
          <w:p>
            <w:pPr>
              <w:spacing w:after="0"/>
              <w:rPr>
                <w:sz w:val="1"/>
                <w:szCs w:val="1"/>
                <w:color w:val="auto"/>
              </w:rPr>
            </w:pPr>
          </w:p>
        </w:tc>
      </w:tr>
      <w:tr>
        <w:trPr>
          <w:trHeight w:val="148"/>
        </w:trPr>
        <w:tc>
          <w:tcPr>
            <w:tcW w:w="21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4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3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Angus Pacala</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10/2/2020</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435,976</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2.13</w:t>
            </w:r>
          </w:p>
        </w:tc>
        <w:tc>
          <w:tcPr>
            <w:tcW w:w="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10/1/2030</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10/2/2020</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435,975</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14.22</w:t>
            </w:r>
          </w:p>
        </w:tc>
        <w:tc>
          <w:tcPr>
            <w:tcW w:w="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10/1/2030</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2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ind w:left="140"/>
              <w:spacing w:after="0" w:line="296" w:lineRule="exact"/>
              <w:rPr>
                <w:sz w:val="20"/>
                <w:szCs w:val="20"/>
                <w:color w:val="auto"/>
              </w:rPr>
            </w:pPr>
            <w:r>
              <w:rPr>
                <w:rFonts w:ascii="Times New Roman" w:cs="Times New Roman" w:eastAsia="Times New Roman" w:hAnsi="Times New Roman"/>
                <w:sz w:val="18"/>
                <w:szCs w:val="18"/>
                <w:color w:val="auto"/>
                <w:w w:val="92"/>
              </w:rPr>
              <w:t>3/31/2025</w:t>
            </w:r>
            <w:r>
              <w:rPr>
                <w:rFonts w:ascii="Times New Roman" w:cs="Times New Roman" w:eastAsia="Times New Roman" w:hAnsi="Times New Roman"/>
                <w:sz w:val="29"/>
                <w:szCs w:val="29"/>
                <w:color w:val="auto"/>
                <w:w w:val="92"/>
                <w:vertAlign w:val="superscript"/>
              </w:rPr>
              <w:t>(2)</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4,959,174</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Mark Frichtl</w:t>
            </w:r>
          </w:p>
        </w:tc>
        <w:tc>
          <w:tcPr>
            <w:tcW w:w="140" w:type="dxa"/>
            <w:vAlign w:val="bottom"/>
          </w:tcPr>
          <w:p>
            <w:pPr>
              <w:spacing w:after="0"/>
              <w:rPr>
                <w:sz w:val="20"/>
                <w:szCs w:val="20"/>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10/2/2020</w:t>
            </w: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316,434</w:t>
            </w: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10/1/2030</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10/2/2020</w:t>
            </w: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316,433</w:t>
            </w: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14.22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10/1/2030</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2160" w:type="dxa"/>
            <w:vAlign w:val="bottom"/>
          </w:tcPr>
          <w:p>
            <w:pPr>
              <w:spacing w:after="0"/>
              <w:rPr>
                <w:sz w:val="24"/>
                <w:szCs w:val="24"/>
                <w:color w:val="auto"/>
              </w:rPr>
            </w:pPr>
          </w:p>
        </w:tc>
        <w:tc>
          <w:tcPr>
            <w:tcW w:w="1180" w:type="dxa"/>
            <w:vAlign w:val="bottom"/>
            <w:gridSpan w:val="2"/>
          </w:tcPr>
          <w:p>
            <w:pPr>
              <w:ind w:left="280"/>
              <w:spacing w:after="0" w:line="296" w:lineRule="exact"/>
              <w:rPr>
                <w:sz w:val="20"/>
                <w:szCs w:val="20"/>
                <w:color w:val="auto"/>
              </w:rPr>
            </w:pPr>
            <w:r>
              <w:rPr>
                <w:rFonts w:ascii="Times New Roman" w:cs="Times New Roman" w:eastAsia="Times New Roman" w:hAnsi="Times New Roman"/>
                <w:sz w:val="18"/>
                <w:szCs w:val="18"/>
                <w:color w:val="auto"/>
                <w:w w:val="92"/>
              </w:rPr>
              <w:t>4/01/2025</w:t>
            </w:r>
            <w:r>
              <w:rPr>
                <w:rFonts w:ascii="Times New Roman" w:cs="Times New Roman" w:eastAsia="Times New Roman" w:hAnsi="Times New Roman"/>
                <w:sz w:val="29"/>
                <w:szCs w:val="29"/>
                <w:color w:val="auto"/>
                <w:w w:val="92"/>
                <w:vertAlign w:val="superscript"/>
              </w:rPr>
              <w:t>(2)</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3,155,848</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P. Gianella</w:t>
            </w:r>
          </w:p>
        </w:tc>
        <w:tc>
          <w:tcPr>
            <w:tcW w:w="1180" w:type="dxa"/>
            <w:vAlign w:val="bottom"/>
            <w:gridSpan w:val="2"/>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w w:val="92"/>
              </w:rPr>
              <w:t>5/19/2025</w:t>
            </w:r>
            <w:r>
              <w:rPr>
                <w:rFonts w:ascii="Times New Roman" w:cs="Times New Roman" w:eastAsia="Times New Roman" w:hAnsi="Times New Roman"/>
                <w:sz w:val="29"/>
                <w:szCs w:val="29"/>
                <w:color w:val="auto"/>
                <w:w w:val="92"/>
                <w:vertAlign w:val="superscript"/>
              </w:rPr>
              <w:t>(3)</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6,492,000</w:t>
            </w:r>
          </w:p>
        </w:tc>
        <w:tc>
          <w:tcPr>
            <w:tcW w:w="0" w:type="dxa"/>
            <w:vAlign w:val="bottom"/>
          </w:tcPr>
          <w:p>
            <w:pPr>
              <w:spacing w:after="0"/>
              <w:rPr>
                <w:sz w:val="1"/>
                <w:szCs w:val="1"/>
                <w:color w:val="auto"/>
              </w:rPr>
            </w:pPr>
          </w:p>
        </w:tc>
      </w:tr>
      <w:tr>
        <w:trPr>
          <w:trHeight w:val="54"/>
        </w:trPr>
        <w:tc>
          <w:tcPr>
            <w:tcW w:w="2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the $21.64 closing trading price of our common stock as of December 31,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vests in six substantially equal instalments on each quarterly anniversary of September 11, 2025.</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1/3rd on June 11, 2026 and then in eight quarterly installments thereafter, subject to continued service to us through the applicable vesting dates.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Mr. Gianella’s appointment, we have entered into an offer letter agreement setting forth the terms and conditions of his employment with us, including his initial base salary, sign-on bonus, initial target annual performance bonus amount, initial equity grant and employee benefits eligibility. Mr. Gianella’s offer letter also includes severance provisions which apply on a termination by us without “cause” or by Mr. Gianella for “good reason” and are subject to his execution of a release of claims in our favor. Upon such termination Mr. Gianella would be entitled to receive a severance payment equal to twelve months of his base salary, a prorated annual target bonus (or, in the event the termination occurs ninety days prior to or within twenty-four months following a change in control, a full annual target bonus) and twelve months of continued healthcare coverage under COBRA at the Company’s expense. In addition, in the event the termination occurs ninety days prior to or within twenty-four months following a change in control, the vesting of Mr. Gianella’s equity awards will fully accelerate. Other than Mr. Gianella, none of our named executive officers are entitled to severance or other payments in connection with a termination of employment or change in control of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137160</wp:posOffset>
            </wp:positionV>
            <wp:extent cx="534924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PAY VERSUS PERFORMANCE (PVP)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28575</wp:posOffset>
            </wp:positionV>
            <wp:extent cx="53492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compensation actually paid to our Named Executive Officers (NEOs) and certain financial performance metrics of the Company using a methodology that has been prescribed by the SEC.</w:t>
      </w:r>
    </w:p>
    <w:p>
      <w:pPr>
        <w:spacing w:after="0" w:line="18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58"/>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22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for PEO</w:t>
            </w:r>
            <w:r>
              <w:rPr>
                <w:rFonts w:ascii="Times New Roman" w:cs="Times New Roman" w:eastAsia="Times New Roman" w:hAnsi="Times New Roman"/>
                <w:sz w:val="20"/>
                <w:szCs w:val="20"/>
                <w:b w:val="1"/>
                <w:bCs w:val="1"/>
                <w:color w:val="auto"/>
                <w:vertAlign w:val="superscript"/>
              </w:rPr>
              <w:t>(1)</w:t>
            </w:r>
          </w:p>
        </w:tc>
        <w:tc>
          <w:tcPr>
            <w:tcW w:w="22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to PEO</w:t>
            </w:r>
            <w:r>
              <w:rPr>
                <w:rFonts w:ascii="Times New Roman" w:cs="Times New Roman" w:eastAsia="Times New Roman" w:hAnsi="Times New Roman"/>
                <w:sz w:val="20"/>
                <w:szCs w:val="20"/>
                <w:b w:val="1"/>
                <w:bCs w:val="1"/>
                <w:color w:val="auto"/>
                <w:vertAlign w:val="superscript"/>
              </w:rPr>
              <w:t>(2)</w:t>
            </w:r>
          </w:p>
        </w:tc>
        <w:tc>
          <w:tcPr>
            <w:tcW w:w="22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NEOs</w:t>
            </w:r>
            <w:r>
              <w:rPr>
                <w:rFonts w:ascii="Times New Roman" w:cs="Times New Roman" w:eastAsia="Times New Roman" w:hAnsi="Times New Roman"/>
                <w:sz w:val="20"/>
                <w:szCs w:val="20"/>
                <w:b w:val="1"/>
                <w:bCs w:val="1"/>
                <w:color w:val="auto"/>
                <w:vertAlign w:val="superscript"/>
              </w:rPr>
              <w:t>(1)</w:t>
            </w:r>
          </w:p>
        </w:tc>
        <w:tc>
          <w:tcPr>
            <w:tcW w:w="22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NEOs</w:t>
            </w:r>
            <w:r>
              <w:rPr>
                <w:rFonts w:ascii="Times New Roman" w:cs="Times New Roman" w:eastAsia="Times New Roman" w:hAnsi="Times New Roman"/>
                <w:sz w:val="20"/>
                <w:szCs w:val="20"/>
                <w:b w:val="1"/>
                <w:bCs w:val="1"/>
                <w:color w:val="auto"/>
                <w:vertAlign w:val="superscript"/>
              </w:rPr>
              <w:t>(2)</w:t>
            </w:r>
          </w:p>
        </w:tc>
        <w:tc>
          <w:tcPr>
            <w:tcW w:w="220" w:type="dxa"/>
            <w:vAlign w:val="bottom"/>
          </w:tcPr>
          <w:p>
            <w:pPr>
              <w:spacing w:after="0"/>
              <w:rPr>
                <w:sz w:val="15"/>
                <w:szCs w:val="15"/>
                <w:color w:val="auto"/>
              </w:rPr>
            </w:pPr>
          </w:p>
        </w:tc>
        <w:tc>
          <w:tcPr>
            <w:tcW w:w="92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Return</w:t>
            </w:r>
            <w:r>
              <w:rPr>
                <w:rFonts w:ascii="Times New Roman" w:cs="Times New Roman" w:eastAsia="Times New Roman" w:hAnsi="Times New Roman"/>
                <w:sz w:val="20"/>
                <w:szCs w:val="20"/>
                <w:b w:val="1"/>
                <w:bCs w:val="1"/>
                <w:color w:val="auto"/>
                <w:vertAlign w:val="superscript"/>
              </w:rPr>
              <w:t>(3)</w:t>
            </w:r>
          </w:p>
        </w:tc>
        <w:tc>
          <w:tcPr>
            <w:tcW w:w="220" w:type="dxa"/>
            <w:vAlign w:val="bottom"/>
          </w:tcPr>
          <w:p>
            <w:pPr>
              <w:spacing w:after="0"/>
              <w:rPr>
                <w:sz w:val="15"/>
                <w:szCs w:val="15"/>
                <w:color w:val="auto"/>
              </w:rPr>
            </w:pPr>
          </w:p>
        </w:tc>
        <w:tc>
          <w:tcPr>
            <w:tcW w:w="106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(in thousands)</w:t>
            </w:r>
            <w:r>
              <w:rPr>
                <w:rFonts w:ascii="Times New Roman" w:cs="Times New Roman" w:eastAsia="Times New Roman" w:hAnsi="Times New Roman"/>
                <w:sz w:val="20"/>
                <w:szCs w:val="20"/>
                <w:b w:val="1"/>
                <w:bCs w:val="1"/>
                <w:color w:val="auto"/>
                <w:vertAlign w:val="superscript"/>
              </w:rPr>
              <w:t>(4)</w:t>
            </w:r>
          </w:p>
        </w:tc>
        <w:tc>
          <w:tcPr>
            <w:tcW w:w="0" w:type="dxa"/>
            <w:vAlign w:val="bottom"/>
          </w:tcPr>
          <w:p>
            <w:pPr>
              <w:spacing w:after="0"/>
              <w:rPr>
                <w:sz w:val="1"/>
                <w:szCs w:val="1"/>
                <w:color w:val="auto"/>
              </w:rPr>
            </w:pPr>
          </w:p>
        </w:tc>
      </w:tr>
      <w:tr>
        <w:trPr>
          <w:trHeight w:val="190"/>
        </w:trPr>
        <w:tc>
          <w:tcPr>
            <w:tcW w:w="1520" w:type="dxa"/>
            <w:vAlign w:val="bottom"/>
            <w:vMerge w:val="continue"/>
          </w:tcPr>
          <w:p>
            <w:pPr>
              <w:spacing w:after="0"/>
              <w:rPr>
                <w:sz w:val="16"/>
                <w:szCs w:val="16"/>
                <w:color w:val="auto"/>
              </w:rPr>
            </w:pPr>
          </w:p>
        </w:tc>
        <w:tc>
          <w:tcPr>
            <w:tcW w:w="112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p>
        </w:tc>
        <w:tc>
          <w:tcPr>
            <w:tcW w:w="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3,363,100</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8,343,921</w:t>
            </w:r>
          </w:p>
        </w:tc>
        <w:tc>
          <w:tcPr>
            <w:tcW w:w="112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2,992,376</w:t>
            </w:r>
          </w:p>
        </w:tc>
        <w:tc>
          <w:tcPr>
            <w:tcW w:w="11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6,222,606</w:t>
            </w:r>
          </w:p>
        </w:tc>
        <w:tc>
          <w:tcPr>
            <w:tcW w:w="114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250.75</w:t>
            </w:r>
          </w:p>
        </w:tc>
        <w:tc>
          <w:tcPr>
            <w:tcW w:w="128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(60,377)</w:t>
            </w:r>
          </w:p>
        </w:tc>
        <w:tc>
          <w:tcPr>
            <w:tcW w:w="0" w:type="dxa"/>
            <w:vAlign w:val="bottom"/>
          </w:tcPr>
          <w:p>
            <w:pPr>
              <w:spacing w:after="0"/>
              <w:rPr>
                <w:sz w:val="1"/>
                <w:szCs w:val="1"/>
                <w:color w:val="auto"/>
              </w:rPr>
            </w:pPr>
          </w:p>
        </w:tc>
      </w:tr>
      <w:tr>
        <w:trPr>
          <w:trHeight w:val="239"/>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w w:val="99"/>
              </w:rPr>
              <w:t>1,910,447</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2,295,093</w:t>
            </w:r>
          </w:p>
        </w:tc>
        <w:tc>
          <w:tcPr>
            <w:tcW w:w="112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w w:val="99"/>
              </w:rPr>
              <w:t>1,237,208</w:t>
            </w:r>
          </w:p>
        </w:tc>
        <w:tc>
          <w:tcPr>
            <w:tcW w:w="112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1,564,845</w:t>
            </w:r>
          </w:p>
        </w:tc>
        <w:tc>
          <w:tcPr>
            <w:tcW w:w="11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141.60</w:t>
            </w:r>
          </w:p>
        </w:tc>
        <w:tc>
          <w:tcPr>
            <w:tcW w:w="128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(97,045)</w:t>
            </w:r>
          </w:p>
        </w:tc>
        <w:tc>
          <w:tcPr>
            <w:tcW w:w="0" w:type="dxa"/>
            <w:vAlign w:val="bottom"/>
          </w:tcPr>
          <w:p>
            <w:pPr>
              <w:spacing w:after="0"/>
              <w:rPr>
                <w:sz w:val="1"/>
                <w:szCs w:val="1"/>
                <w:color w:val="auto"/>
              </w:rPr>
            </w:pPr>
          </w:p>
        </w:tc>
      </w:tr>
      <w:tr>
        <w:trPr>
          <w:trHeight w:val="234"/>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1,056,962</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598,839</w:t>
            </w:r>
          </w:p>
        </w:tc>
        <w:tc>
          <w:tcPr>
            <w:tcW w:w="112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2,486,737</w:t>
            </w:r>
          </w:p>
        </w:tc>
        <w:tc>
          <w:tcPr>
            <w:tcW w:w="11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946,121</w:t>
            </w:r>
          </w:p>
        </w:tc>
        <w:tc>
          <w:tcPr>
            <w:tcW w:w="11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8"/>
                <w:szCs w:val="18"/>
                <w:color w:val="auto"/>
              </w:rPr>
              <w:t>88.88</w:t>
            </w:r>
          </w:p>
        </w:tc>
        <w:tc>
          <w:tcPr>
            <w:tcW w:w="128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(374,110)</w:t>
            </w:r>
          </w:p>
        </w:tc>
        <w:tc>
          <w:tcPr>
            <w:tcW w:w="0" w:type="dxa"/>
            <w:vAlign w:val="bottom"/>
          </w:tcPr>
          <w:p>
            <w:pPr>
              <w:spacing w:after="0"/>
              <w:rPr>
                <w:sz w:val="1"/>
                <w:szCs w:val="1"/>
                <w:color w:val="auto"/>
              </w:rPr>
            </w:pPr>
          </w:p>
        </w:tc>
      </w:tr>
      <w:tr>
        <w:trPr>
          <w:trHeight w:val="54"/>
        </w:trPr>
        <w:tc>
          <w:tcPr>
            <w:tcW w:w="15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1640" w:right="1320" w:hanging="348"/>
        <w:spacing w:after="0" w:line="241" w:lineRule="auto"/>
        <w:tabs>
          <w:tab w:leader="none" w:pos="1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Pacala served as principal executive officer (PEO) for 2025, 2024 and 2023. Our non-PEO named executive officers (NEOs) included Mr. Frichtl and Mr. Gianella for 2025, Mr. Frichtl and Ms. Chung for 2024, Mark Weinswig, Darien Spencer, Anna Brunelle and Adam Dolinko for 2023. Amounts shown reflect Summary Compensation Table total compensation for our PEO and NEOs in each year.</w:t>
      </w:r>
    </w:p>
    <w:p>
      <w:pPr>
        <w:spacing w:after="0" w:line="14" w:lineRule="exact"/>
        <w:rPr>
          <w:rFonts w:ascii="Times New Roman" w:cs="Times New Roman" w:eastAsia="Times New Roman" w:hAnsi="Times New Roman"/>
          <w:sz w:val="14"/>
          <w:szCs w:val="14"/>
          <w:color w:val="auto"/>
        </w:rPr>
      </w:pPr>
    </w:p>
    <w:p>
      <w:pPr>
        <w:jc w:val="both"/>
        <w:ind w:left="1640" w:right="1300" w:hanging="348"/>
        <w:spacing w:after="0" w:line="233" w:lineRule="auto"/>
        <w:tabs>
          <w:tab w:leader="none" w:pos="1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amounts were deducted from / added to Summary Compensation Table (SCT) total compensation in accordance with the SEC-mandated adjustments to calculate Compensation Actually Paid (CAP) to our principal executive officer (PEO) and average CAP to our non-PEO named executive officers. The CAP calculation includes the end-of-year value of awards granted within the fiscal year, the change in fair value from prior year-end of vested awards and the change in the fair value of unvested awards granted in prior years, regardless of if, when, or at what intrinsic value they will actually vest.</w:t>
      </w:r>
    </w:p>
    <w:p>
      <w:pPr>
        <w:spacing w:after="0" w:line="3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PEO SCT Total to CAP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36830</wp:posOffset>
            </wp:positionV>
            <wp:extent cx="53492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SCT Total</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3,363,100</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Grant Date Fair Value of Stock Awards Granted in Fiscal Year</w:t>
            </w: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$(2,469,500)</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at Fiscal Year-End of Outstanding Unvested Stock Awards Granted in Fiscal Year</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4,959,174</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Change in Fair Value of Outstanding Unvested Stock Awards Granted in Prior Fiscal Years</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at Vesting of Stock Awards Granted in Fiscal Year That Vested During Fiscal Year</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1,209,533</w:t>
            </w: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w w:val="99"/>
              </w:rPr>
              <w:t>± Change in Fair Value as of Vesting Date of Stock Awards Granted in Prior Fiscal Years For Which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1300" w:type="dxa"/>
            <w:vAlign w:val="bottom"/>
          </w:tcPr>
          <w:p>
            <w:pPr>
              <w:spacing w:after="0"/>
              <w:rPr>
                <w:sz w:val="20"/>
                <w:szCs w:val="20"/>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 Vesting Conditions Were Satisfied During Fiscal Year</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1,281,614</w:t>
            </w:r>
          </w:p>
        </w:tc>
        <w:tc>
          <w:tcPr>
            <w:tcW w:w="1300" w:type="dxa"/>
            <w:vAlign w:val="bottom"/>
          </w:tcPr>
          <w:p>
            <w:pPr>
              <w:spacing w:after="0"/>
              <w:rPr>
                <w:sz w:val="20"/>
                <w:szCs w:val="20"/>
                <w:color w:val="auto"/>
              </w:rPr>
            </w:pPr>
          </w:p>
        </w:tc>
      </w:tr>
      <w:tr>
        <w:trPr>
          <w:trHeight w:val="218"/>
        </w:trPr>
        <w:tc>
          <w:tcPr>
            <w:tcW w:w="130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Fair Value as of Prior Fiscal Year-End of Stock Awards Granted in Prior Fiscal Years That Failed to</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Meet Applicable Vesting Conditions During Fiscal Year</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Dividends or Other Earnings Paid on Stock or Option Awards in the Fiscal Year Prior to the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1300" w:type="dxa"/>
            <w:vAlign w:val="bottom"/>
          </w:tcPr>
          <w:p>
            <w:pPr>
              <w:spacing w:after="0"/>
              <w:rPr>
                <w:sz w:val="20"/>
                <w:szCs w:val="20"/>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Date that are not otherwise included in the Total Compensation for the Fiscal Year</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0"/>
                <w:szCs w:val="20"/>
                <w:color w:val="auto"/>
              </w:rPr>
            </w:pPr>
          </w:p>
        </w:tc>
      </w:tr>
      <w:tr>
        <w:trPr>
          <w:trHeight w:val="270"/>
        </w:trPr>
        <w:tc>
          <w:tcPr>
            <w:tcW w:w="1300" w:type="dxa"/>
            <w:vAlign w:val="bottom"/>
          </w:tcPr>
          <w:p>
            <w:pPr>
              <w:spacing w:after="0"/>
              <w:rPr>
                <w:sz w:val="23"/>
                <w:szCs w:val="23"/>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8,343,921</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73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7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Non-PEO NEO Average SCT Total to Average CAP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SCT Total</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2,992,376</w:t>
            </w:r>
          </w:p>
        </w:tc>
      </w:tr>
      <w:tr>
        <w:trPr>
          <w:trHeight w:val="23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Grant Date Fair Value of Stock Awards Granted in Fiscal Year</w:t>
            </w: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$(2,405,750)</w:t>
            </w:r>
          </w:p>
        </w:tc>
      </w:tr>
      <w:tr>
        <w:trPr>
          <w:trHeight w:val="24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at Fiscal Year-End of Outstanding Unvested Stock Awards Granted in Fiscal Year</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4,823,924</w:t>
            </w:r>
          </w:p>
        </w:tc>
      </w:tr>
      <w:tr>
        <w:trPr>
          <w:trHeight w:val="23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Change in Fair Value of Outstanding Unvested Stock Awards Granted in Prior Fiscal Years</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at Vesting of Stock Awards Granted in Fiscal Year That Vested During Fiscal Year</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384,845</w:t>
            </w:r>
          </w:p>
        </w:tc>
      </w:tr>
      <w:tr>
        <w:trPr>
          <w:trHeight w:val="211"/>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w w:val="99"/>
              </w:rPr>
              <w:t>± Change in Fair Value as of Vesting Date of Stock Awards Granted in Prior Fiscal Years For Which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1"/>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 Vesting Conditions Were Satisfied During Fiscal Year</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427,211</w:t>
            </w:r>
          </w:p>
        </w:tc>
      </w:tr>
      <w:tr>
        <w:trPr>
          <w:trHeight w:val="21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Fair Value as of Prior Fiscal Year-End of Stock Awards Granted in Prior Fiscal Years That Failed to</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8"/>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Meet Applicable Vesting Conditions During Fiscal Year</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1"/>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Dividends or Other Earnings Paid on Stock or Option Awards in the Fiscal Year Prior to the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1"/>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Date that are not otherwise included in the Total Compensation for the Fiscal Year</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Compensation Actually Paid</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6,222,606</w:t>
            </w:r>
          </w:p>
        </w:tc>
      </w:tr>
      <w:tr>
        <w:trPr>
          <w:trHeight w:val="54"/>
        </w:trPr>
        <w:tc>
          <w:tcPr>
            <w:tcW w:w="73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319"/>
        <w:spacing w:after="0" w:line="279" w:lineRule="auto"/>
        <w:rPr>
          <w:sz w:val="20"/>
          <w:szCs w:val="20"/>
          <w:color w:val="auto"/>
        </w:rPr>
      </w:pPr>
      <w:r>
        <w:rPr>
          <w:rFonts w:ascii="Times New Roman" w:cs="Times New Roman" w:eastAsia="Times New Roman" w:hAnsi="Times New Roman"/>
          <w:sz w:val="18"/>
          <w:szCs w:val="18"/>
          <w:color w:val="auto"/>
        </w:rPr>
        <w:t>The fair value of equity awards was determined using methodologies and assumptions developed in a manner substantively consistent with those used to determine the grant date fair value of such awards.</w:t>
      </w:r>
    </w:p>
    <w:p>
      <w:pPr>
        <w:jc w:val="both"/>
        <w:ind w:left="640" w:right="31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(TSR) represents the cumulative return on a fixed investment of $100 in the Company’s common stock, for the period beginning on the last trading day of fiscal year 2022 through the end of the applicable fiscal year. The Company has not paid a dividend during that time.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net loss reflected in the Company’s audited financial statements for the applicable year.</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CHARTS OF CAP VERSUS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chart below illustrates the relationship between the PEO and average Non-PEO CAP amounts and the Company’s TSR during the period 2023-2025.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148590</wp:posOffset>
            </wp:positionV>
            <wp:extent cx="4972050" cy="26403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7205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chart below illustrates the relationship between the PEO and Non-PEO CAP amounts and the Company’s Net Loss during the period 2023-2025.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148590</wp:posOffset>
            </wp:positionV>
            <wp:extent cx="4946015" cy="26657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4601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fiscal year 2025, directors who were executives of the Company were not eligible to receive additional compensation for their services as directors.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maintain our Third Amended and Restated Non-Employee Director Compensation Program (the “Non-employee Director Compensation Program”) for our non-employee directors, which was most recently amended in April 2024. Pursuant to the Non-Employee Director Compensation Program, our non-employee directors receive cash compensation as follows:</w:t>
      </w:r>
    </w:p>
    <w:p>
      <w:pPr>
        <w:spacing w:after="0" w:line="72"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receives an annual cash retainer in the amount of $40,000 per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chair of our Board receives an additional annual cash retainer in the amount of $60,000 per year.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Lead Director and, effective in 2024, any Vice Chair receives an additional annual cash retainer in the amount of $60,000 per year.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audit committee receives additional annual cash compensation in the amount of $20,000 per year for such chair’s service on the audit committee. Each non-chair member of the audit committee receives additional annual cash compensation in the amount of $10,000 per year for such member’s service on the audit committee.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compensation committee receives additional annual cash compensation in the amount of $15,000 per year for such chair’s service on the compensation committee. Each non-chair member of the compensation committee receives additional annual cash compensation in the amount of $6,000 per year for such member’s service on the compensation committee.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nominating and corporate governance committee receives additional annual cash compensation in the amount of $10,000 per year for such chair’s service on the nominating and corporate governance committee. Each non-chair member of the nominating and corporate governance committee receives additional annual cash compensation in the amount of $5,000 per year for such member’s service on the nominating and corporate governance committee.</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may also elect to receive all or part of his or her annual cash retainer in the form of restricted stock units under our 2021 Incentive Award Plan or, effective in 2024 and to the extent permitted, the Velodyne Plan. Elections to convert all or a portion of the annual cash retainer into restricted stock units must generally be made on or prior to December 31 of the year prior to the year in which the annual cash retainer is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restricted stock units, provided that the election is made prior to the date the individual becomes a non-employee director. Restricted stock units granted in lieu of all or a portion of the annual cash retainer are fully vested on the date of grant, with the number of restricted stock units determined by dividing the amount of the applicable portion of the annual cash retainer by the average closing trading price of our common stock over the 30 days immediately preceding the date of grant.</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Non-Employee Director Compensation Program, upon the initial appointment or election of a non-employee director, the director will automatically be granted under our 2021 Incentive Award Plan or, effective in 2024 and to the extent permitted, the Velodyne Plan (a) an award of restricted stock units with respect to a number of shares of our common stock calculated by dividing (i) $300,000 by (ii) the fair market value of a share of our common stock as of the date of grant that vests in equal quarterly installments over three years and (b) an award of restricted stock units with respect to a number of shares of our common stock calculated by dividing (i) the product of $175,000 multiplied times a fraction, the numerator of which is the number of full months between the date of appointment or election and the scheduled date of our next annual stockholder meeting, and the denominator of which is 12, by (ii) the fair market value of a share of our common stock as of the date of grant that vests in equal quarterly installments through the date of the next annual stockholders meeting. Additionally, on the date of each annual stockholders meeting, each non-employee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director automatically will be granted an award of restricted stock units with respect to a number of shares of our common stock calculated by dividing (a) $175,000 by (b) the fair market value of our common stock as of the date of grant that vests in equal quarterly installments through the earlier of the first anniversary of the date of grant or the next annual stockholders meeting.</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Additionally, the Non-Employee Director Compensation Program provides that non-employee directors may elect to defer all or part of the settlement of restricted stock units granted to them.</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all restricted stock units and other equity-based awards held by any non-employee director, will vest immediately prior to such change in control.</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for Fiscal 2025</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contains information concerning the compensation of our non-employee directors in fiscal 2025:</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2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(1)</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(2)</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Boulet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47,663</w:t>
            </w: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275,770</w:t>
            </w:r>
          </w:p>
        </w:tc>
        <w:tc>
          <w:tcPr>
            <w:tcW w:w="7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323,433</w:t>
            </w: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Susan Heystee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121,156</w:t>
            </w: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297,766</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418,922</w:t>
            </w:r>
          </w:p>
        </w:tc>
        <w:tc>
          <w:tcPr>
            <w:tcW w:w="0" w:type="dxa"/>
            <w:vAlign w:val="bottom"/>
          </w:tcPr>
          <w:p>
            <w:pPr>
              <w:spacing w:after="0"/>
              <w:rPr>
                <w:sz w:val="1"/>
                <w:szCs w:val="1"/>
                <w:color w:val="auto"/>
              </w:rPr>
            </w:pPr>
          </w:p>
        </w:tc>
      </w:tr>
      <w:tr>
        <w:trPr>
          <w:trHeight w:val="24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Ernest Maddock</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275,770</w:t>
            </w:r>
          </w:p>
        </w:tc>
        <w:tc>
          <w:tcPr>
            <w:tcW w:w="7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341,770</w:t>
            </w: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Theodore L. Tewksbury, Ph.D.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275,770</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380,770</w:t>
            </w:r>
          </w:p>
        </w:tc>
        <w:tc>
          <w:tcPr>
            <w:tcW w:w="0" w:type="dxa"/>
            <w:vAlign w:val="bottom"/>
          </w:tcPr>
          <w:p>
            <w:pPr>
              <w:spacing w:after="0"/>
              <w:rPr>
                <w:sz w:val="1"/>
                <w:szCs w:val="1"/>
                <w:color w:val="auto"/>
              </w:rPr>
            </w:pPr>
          </w:p>
        </w:tc>
      </w:tr>
      <w:tr>
        <w:trPr>
          <w:trHeight w:val="288"/>
        </w:trPr>
        <w:tc>
          <w:tcPr>
            <w:tcW w:w="604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Phillip M. Eyler</w:t>
            </w:r>
            <w:r>
              <w:rPr>
                <w:rFonts w:ascii="Times New Roman" w:cs="Times New Roman" w:eastAsia="Times New Roman" w:hAnsi="Times New Roman"/>
                <w:sz w:val="29"/>
                <w:szCs w:val="29"/>
                <w:color w:val="auto"/>
                <w:vertAlign w:val="superscript"/>
              </w:rPr>
              <w:t>(3)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399,436</w:t>
            </w:r>
          </w:p>
        </w:tc>
        <w:tc>
          <w:tcPr>
            <w:tcW w:w="7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402,436</w:t>
            </w: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Christina C. Correia</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275,770</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325,770</w:t>
            </w:r>
          </w:p>
        </w:tc>
        <w:tc>
          <w:tcPr>
            <w:tcW w:w="0" w:type="dxa"/>
            <w:vAlign w:val="bottom"/>
          </w:tcPr>
          <w:p>
            <w:pPr>
              <w:spacing w:after="0"/>
              <w:rPr>
                <w:sz w:val="1"/>
                <w:szCs w:val="1"/>
                <w:color w:val="auto"/>
              </w:rPr>
            </w:pPr>
          </w:p>
        </w:tc>
      </w:tr>
      <w:tr>
        <w:trPr>
          <w:trHeight w:val="23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A. Skaggs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53,363</w:t>
            </w: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275,770</w:t>
            </w:r>
          </w:p>
        </w:tc>
        <w:tc>
          <w:tcPr>
            <w:tcW w:w="7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329,132</w:t>
            </w:r>
          </w:p>
        </w:tc>
        <w:tc>
          <w:tcPr>
            <w:tcW w:w="0" w:type="dxa"/>
            <w:vAlign w:val="bottom"/>
          </w:tcPr>
          <w:p>
            <w:pPr>
              <w:spacing w:after="0"/>
              <w:rPr>
                <w:sz w:val="1"/>
                <w:szCs w:val="1"/>
                <w:color w:val="auto"/>
              </w:rPr>
            </w:pPr>
          </w:p>
        </w:tc>
      </w:tr>
      <w:tr>
        <w:trPr>
          <w:trHeight w:val="54"/>
        </w:trPr>
        <w:tc>
          <w:tcPr>
            <w:tcW w:w="60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33"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Ms. Heystee elected to receive her annual retainer in fully-vested restricted stock units in lieu of cash. The amount reported reflects the cash fees that would have been paid had the director not been granted restricted stock units in lieu of an annual cash retainer. The grant date fair value of the restricted stock units that is in excess of the amount of cash fees foregone is reported in the Stock Awards column. Our non-employee directors were also able to defer delivery of the shares underlying vested restricted stock units. As of December 31, 2025, Dr. Tewksbury held 33,820 vested restricted stock units for which delivery of the underlying shares has been deferred.</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stock awards granted during fiscal 2025 computed in accordance with ASC Topic 718, rather than the amounts paid to or realized by the named individual. We provide information regarding the assumptions used to calculate the grant date fair value of the restricted stock units granted to our non-employee directors in Note 11 of our financial statements included in our Form 10-K.</w:t>
      </w:r>
    </w:p>
    <w:p>
      <w:pPr>
        <w:spacing w:after="0" w:line="14" w:lineRule="exact"/>
        <w:rPr>
          <w:rFonts w:ascii="Times New Roman" w:cs="Times New Roman" w:eastAsia="Times New Roman" w:hAnsi="Times New Roman"/>
          <w:sz w:val="14"/>
          <w:szCs w:val="14"/>
          <w:color w:val="auto"/>
        </w:rPr>
      </w:pPr>
    </w:p>
    <w:p>
      <w:pPr>
        <w:jc w:val="both"/>
        <w:ind w:left="660" w:right="299"/>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below shows the aggregate numbers of shares underlying unvested restricted stock units held as of December 31, 2025 by each non-employee director who was serving as of December 31, 2025. Our non-employee directors did not hold any options or other equity awards that were subject to vesting as of December 31, 2025.</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16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8"/>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Boulet</w:t>
            </w:r>
          </w:p>
        </w:tc>
        <w:tc>
          <w:tcPr>
            <w:tcW w:w="11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Susan Heystee</w:t>
            </w:r>
          </w:p>
        </w:tc>
        <w:tc>
          <w:tcPr>
            <w:tcW w:w="11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52"/>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Ernest Maddock</w:t>
            </w:r>
          </w:p>
        </w:tc>
        <w:tc>
          <w:tcPr>
            <w:tcW w:w="11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Theodore L. Tewksbury, Ph.D.</w:t>
            </w:r>
          </w:p>
        </w:tc>
        <w:tc>
          <w:tcPr>
            <w:tcW w:w="11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52"/>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M. Eyler</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15,658</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Christina C. Correia.</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35,695</w:t>
            </w:r>
          </w:p>
        </w:tc>
        <w:tc>
          <w:tcPr>
            <w:tcW w:w="0" w:type="dxa"/>
            <w:vAlign w:val="bottom"/>
          </w:tcPr>
          <w:p>
            <w:pPr>
              <w:spacing w:after="0"/>
              <w:rPr>
                <w:sz w:val="1"/>
                <w:szCs w:val="1"/>
                <w:color w:val="auto"/>
              </w:rPr>
            </w:pPr>
          </w:p>
        </w:tc>
      </w:tr>
      <w:tr>
        <w:trPr>
          <w:trHeight w:val="238"/>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A. Skaggs</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35,695</w:t>
            </w:r>
          </w:p>
        </w:tc>
        <w:tc>
          <w:tcPr>
            <w:tcW w:w="0" w:type="dxa"/>
            <w:vAlign w:val="bottom"/>
          </w:tcPr>
          <w:p>
            <w:pPr>
              <w:spacing w:after="0"/>
              <w:rPr>
                <w:sz w:val="1"/>
                <w:szCs w:val="1"/>
                <w:color w:val="auto"/>
              </w:rPr>
            </w:pPr>
          </w:p>
        </w:tc>
      </w:tr>
      <w:tr>
        <w:trPr>
          <w:trHeight w:val="54"/>
        </w:trPr>
        <w:tc>
          <w:tcPr>
            <w:tcW w:w="69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Eyler commenced service on our Board effective December 8,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Securities authorized for issuance under the Company’s equity compensation plans (As of December 31, 2025):</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(excludes securities</w:t>
            </w:r>
          </w:p>
        </w:tc>
        <w:tc>
          <w:tcPr>
            <w:tcW w:w="0" w:type="dxa"/>
            <w:vAlign w:val="bottom"/>
          </w:tcPr>
          <w:p>
            <w:pPr>
              <w:spacing w:after="0"/>
              <w:rPr>
                <w:sz w:val="1"/>
                <w:szCs w:val="1"/>
                <w:color w:val="auto"/>
              </w:rPr>
            </w:pPr>
          </w:p>
        </w:tc>
      </w:tr>
      <w:tr>
        <w:trPr>
          <w:trHeight w:val="148"/>
        </w:trPr>
        <w:tc>
          <w:tcPr>
            <w:tcW w:w="42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first</w:t>
            </w: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w:t>
            </w:r>
          </w:p>
        </w:tc>
        <w:tc>
          <w:tcPr>
            <w:tcW w:w="0" w:type="dxa"/>
            <w:vAlign w:val="bottom"/>
          </w:tcPr>
          <w:p>
            <w:pPr>
              <w:spacing w:after="0"/>
              <w:rPr>
                <w:sz w:val="1"/>
                <w:szCs w:val="1"/>
                <w:color w:val="auto"/>
              </w:rPr>
            </w:pPr>
          </w:p>
        </w:tc>
      </w:tr>
      <w:tr>
        <w:trPr>
          <w:trHeight w:val="23"/>
        </w:trPr>
        <w:tc>
          <w:tcPr>
            <w:tcW w:w="4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2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9"/>
                <w:szCs w:val="29"/>
                <w:color w:val="auto"/>
                <w:vertAlign w:val="superscript"/>
              </w:rPr>
              <w:t>(1)</w:t>
            </w:r>
          </w:p>
        </w:tc>
        <w:tc>
          <w:tcPr>
            <w:tcW w:w="120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5,795,697</w:t>
            </w:r>
            <w:r>
              <w:rPr>
                <w:rFonts w:ascii="Times New Roman" w:cs="Times New Roman" w:eastAsia="Times New Roman" w:hAnsi="Times New Roman"/>
                <w:sz w:val="29"/>
                <w:szCs w:val="29"/>
                <w:color w:val="auto"/>
                <w:vertAlign w:val="superscript"/>
              </w:rPr>
              <w:t>(2)</w:t>
            </w:r>
          </w:p>
        </w:tc>
        <w:tc>
          <w:tcPr>
            <w:tcW w:w="1400" w:type="dxa"/>
            <w:vAlign w:val="bottom"/>
            <w:gridSpan w:val="2"/>
            <w:shd w:val="clear" w:color="auto" w:fill="CCEEFF"/>
          </w:tcPr>
          <w:p>
            <w:pPr>
              <w:jc w:val="right"/>
              <w:ind w:right="205"/>
              <w:spacing w:after="0" w:line="284" w:lineRule="exact"/>
              <w:rPr>
                <w:sz w:val="20"/>
                <w:szCs w:val="20"/>
                <w:color w:val="auto"/>
              </w:rPr>
            </w:pPr>
            <w:r>
              <w:rPr>
                <w:rFonts w:ascii="Times New Roman" w:cs="Times New Roman" w:eastAsia="Times New Roman" w:hAnsi="Times New Roman"/>
                <w:sz w:val="18"/>
                <w:szCs w:val="18"/>
                <w:color w:val="auto"/>
              </w:rPr>
              <w:t>7.69</w:t>
            </w:r>
            <w:r>
              <w:rPr>
                <w:rFonts w:ascii="Times New Roman" w:cs="Times New Roman" w:eastAsia="Times New Roman" w:hAnsi="Times New Roman"/>
                <w:sz w:val="29"/>
                <w:szCs w:val="29"/>
                <w:color w:val="auto"/>
                <w:vertAlign w:val="superscript"/>
              </w:rPr>
              <w:t>(3)</w:t>
            </w:r>
          </w:p>
        </w:tc>
        <w:tc>
          <w:tcPr>
            <w:tcW w:w="1620" w:type="dxa"/>
            <w:vAlign w:val="bottom"/>
            <w:gridSpan w:val="2"/>
            <w:shd w:val="clear" w:color="auto" w:fill="CCEEFF"/>
          </w:tcPr>
          <w:p>
            <w:pPr>
              <w:jc w:val="right"/>
              <w:ind w:right="146"/>
              <w:spacing w:after="0" w:line="284" w:lineRule="exact"/>
              <w:rPr>
                <w:sz w:val="20"/>
                <w:szCs w:val="20"/>
                <w:color w:val="auto"/>
              </w:rPr>
            </w:pPr>
            <w:r>
              <w:rPr>
                <w:rFonts w:ascii="Times New Roman" w:cs="Times New Roman" w:eastAsia="Times New Roman" w:hAnsi="Times New Roman"/>
                <w:sz w:val="18"/>
                <w:szCs w:val="18"/>
                <w:color w:val="auto"/>
              </w:rPr>
              <w:t>2,595,496</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21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20" w:type="dxa"/>
            <w:vAlign w:val="bottom"/>
          </w:tcPr>
          <w:p>
            <w:pPr>
              <w:spacing w:after="0"/>
              <w:rPr>
                <w:sz w:val="20"/>
                <w:szCs w:val="20"/>
                <w:color w:val="auto"/>
              </w:rPr>
            </w:pP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520" w:type="dxa"/>
            <w:vAlign w:val="bottom"/>
          </w:tcPr>
          <w:p>
            <w:pPr>
              <w:jc w:val="right"/>
              <w:ind w:right="32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319" w:hanging="348"/>
        <w:spacing w:after="0" w:line="24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Ouster, Inc. 2021 Incentive Award Plan (“2021 Plan”), Velodyne 2020 Equity Incentive plan (“Velodyne Plan”), Ouster, Inc. 2022 Employee Stock Purchase Plan (“ESPP”), Ouster Inc. Amended and Restated 2015 Stock Plan (“2015 Plan”) and Sense Photonics, Inc. 2017 Equity Incentive Plan and (“Sense Plan”).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4,085,075 restricted stock units and options to purchase 1,710,622 shares of our common stock. Does not include shares of our common stock that could be issued in connection with the offer period under our ESPP that was ongoing as of December 31, 2025, pursuant to which the maximum number of shares that could be issued is 3,000.</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weighted-average exercise price of outstanding options under the 2015 Plan was $7.45 and the weighted-average exercise price of outstanding options under the Sense Plan was $52.40. Outstanding restricted stock units subject to time-based vesting do not have an exercise price and therefore are not included in the calculation of the weighted-average exercise price.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shares listed in the above table, the number of shares authorized under our 2021 Plan will increase on the first day of each calendar year beginning on January 1, 2022 and ending on and including January 1, 2031, equal to the lesser of (A) 5% of the shares of common stock outstanding as of the last day of the immediately preceding fiscal year and (B) such lesser number of shares as determined by our board of directors. The number of shares authorized under our Velodyne 2020 Plan will increase on the first day of each calendar year beginning on January 1, 2021 and ending on (and including) January 1, 2030, equal to the lesser of (A) 820,400 shares of common stock and (B) such lesser number of shares as determined by our board of directors.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for:</w:t>
      </w:r>
    </w:p>
    <w:p>
      <w:pPr>
        <w:spacing w:after="0" w:line="117" w:lineRule="exact"/>
        <w:rPr>
          <w:sz w:val="20"/>
          <w:szCs w:val="20"/>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as described in this proxy statement is determined in accordance with the rules of the SEC. Under such SEC rules, beneficial ownership includes any shares as to which the individual or entity has sole or shared voting power or investment power. Applicable percentage ownership is based on 63,461,091 shares of common stock outstanding as of March 31, 2026.</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all listed stockholders is 350 Treat Avenue, San Francisco, California 94110. Each of the stockholders listed has sole voting and investment power with respect to the shares beneficially owned by the stockholder unless noted otherwise, subject to community property laws where applicable.</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5"/>
        </w:trPr>
        <w:tc>
          <w:tcPr>
            <w:tcW w:w="62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28"/>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4,430,910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Angus Pacala</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1,649,277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57"/>
        </w:trPr>
        <w:tc>
          <w:tcPr>
            <w:tcW w:w="62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Frichtl</w:t>
            </w:r>
            <w:r>
              <w:rPr>
                <w:rFonts w:ascii="Times New Roman" w:cs="Times New Roman" w:eastAsia="Times New Roman" w:hAnsi="Times New Roman"/>
                <w:sz w:val="29"/>
                <w:szCs w:val="29"/>
                <w:color w:val="auto"/>
                <w:vertAlign w:val="superscript"/>
              </w:rPr>
              <w:t>(3)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1,113,082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Kenneth P. Gianella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2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Virginia Boulet</w:t>
            </w:r>
            <w:r>
              <w:rPr>
                <w:rFonts w:ascii="Times New Roman" w:cs="Times New Roman" w:eastAsia="Times New Roman" w:hAnsi="Times New Roman"/>
                <w:sz w:val="29"/>
                <w:szCs w:val="29"/>
                <w:color w:val="auto"/>
                <w:vertAlign w:val="superscript"/>
              </w:rPr>
              <w:t>(4)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224,953</w:t>
            </w:r>
          </w:p>
        </w:tc>
        <w:tc>
          <w:tcPr>
            <w:tcW w:w="10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Christina C. Correia</w:t>
            </w:r>
            <w:r>
              <w:rPr>
                <w:rFonts w:ascii="Times New Roman" w:cs="Times New Roman" w:eastAsia="Times New Roman" w:hAnsi="Times New Roman"/>
                <w:sz w:val="29"/>
                <w:szCs w:val="29"/>
                <w:color w:val="auto"/>
                <w:vertAlign w:val="superscript"/>
              </w:rPr>
              <w:t>(5)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2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Phillip M. Eyler</w:t>
            </w:r>
            <w:r>
              <w:rPr>
                <w:rFonts w:ascii="Times New Roman" w:cs="Times New Roman" w:eastAsia="Times New Roman" w:hAnsi="Times New Roman"/>
                <w:sz w:val="29"/>
                <w:szCs w:val="29"/>
                <w:color w:val="auto"/>
                <w:vertAlign w:val="superscript"/>
              </w:rPr>
              <w:t>(6)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Susan Heystee</w:t>
            </w:r>
            <w:r>
              <w:rPr>
                <w:rFonts w:ascii="Times New Roman" w:cs="Times New Roman" w:eastAsia="Times New Roman" w:hAnsi="Times New Roman"/>
                <w:sz w:val="29"/>
                <w:szCs w:val="29"/>
                <w:color w:val="auto"/>
                <w:vertAlign w:val="superscript"/>
              </w:rPr>
              <w:t>(7)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39,570</w:t>
            </w: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Ernest Maddock</w:t>
            </w:r>
            <w:r>
              <w:rPr>
                <w:rFonts w:ascii="Times New Roman" w:cs="Times New Roman" w:eastAsia="Times New Roman" w:hAnsi="Times New Roman"/>
                <w:sz w:val="29"/>
                <w:szCs w:val="29"/>
                <w:color w:val="auto"/>
                <w:vertAlign w:val="superscript"/>
              </w:rPr>
              <w:t>(8)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80,789</w:t>
            </w:r>
          </w:p>
        </w:tc>
        <w:tc>
          <w:tcPr>
            <w:tcW w:w="10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Stephen A. Skaggs</w:t>
            </w:r>
            <w:r>
              <w:rPr>
                <w:rFonts w:ascii="Times New Roman" w:cs="Times New Roman" w:eastAsia="Times New Roman" w:hAnsi="Times New Roman"/>
                <w:sz w:val="29"/>
                <w:szCs w:val="29"/>
                <w:color w:val="auto"/>
                <w:vertAlign w:val="superscript"/>
              </w:rPr>
              <w:t>(9)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Theodore L. Tewksbury, Ph.D.</w:t>
            </w:r>
            <w:r>
              <w:rPr>
                <w:rFonts w:ascii="Times New Roman" w:cs="Times New Roman" w:eastAsia="Times New Roman" w:hAnsi="Times New Roman"/>
                <w:sz w:val="29"/>
                <w:szCs w:val="29"/>
                <w:color w:val="auto"/>
                <w:vertAlign w:val="superscript"/>
              </w:rPr>
              <w:t>(10)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118,579</w:t>
            </w:r>
          </w:p>
        </w:tc>
        <w:tc>
          <w:tcPr>
            <w:tcW w:w="10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(13 individuals)</w:t>
            </w:r>
            <w:r>
              <w:rPr>
                <w:rFonts w:ascii="Times New Roman" w:cs="Times New Roman" w:eastAsia="Times New Roman" w:hAnsi="Times New Roman"/>
                <w:sz w:val="29"/>
                <w:szCs w:val="29"/>
                <w:color w:val="auto"/>
                <w:vertAlign w:val="superscript"/>
              </w:rPr>
              <w:t>(11)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3,714,689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41275</wp:posOffset>
            </wp:positionV>
            <wp:extent cx="8229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90" w:lineRule="exact"/>
        <w:rPr>
          <w:sz w:val="20"/>
          <w:szCs w:val="20"/>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42" w:lineRule="exact"/>
        <w:rPr>
          <w:sz w:val="20"/>
          <w:szCs w:val="20"/>
          <w:color w:val="auto"/>
        </w:rPr>
      </w:pPr>
    </w:p>
    <w:p>
      <w:pPr>
        <w:jc w:val="both"/>
        <w:ind w:left="640" w:right="299" w:hanging="350"/>
        <w:spacing w:after="0" w:line="241" w:lineRule="auto"/>
        <w:tabs>
          <w:tab w:leader="none" w:pos="62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4"/>
          <w:szCs w:val="14"/>
          <w:color w:val="auto"/>
        </w:rPr>
        <w:t>Based solely on a Schedule 13G/A filed by BlackRock, Inc. on January 21, 2026. BlackRock, Inc. reported sole voting power over 4,346,344 shares of common stock and sole dispositive power over 4,430,910 shares of common stock. The principal business office address for BlackRock, Inc. is 50 Hudson Yards, New York, NY 10001.</w:t>
      </w:r>
    </w:p>
    <w:p>
      <w:pPr>
        <w:spacing w:after="0" w:line="15" w:lineRule="exact"/>
        <w:rPr>
          <w:sz w:val="20"/>
          <w:szCs w:val="20"/>
          <w:color w:val="auto"/>
        </w:rPr>
      </w:pPr>
    </w:p>
    <w:p>
      <w:pPr>
        <w:ind w:left="640" w:right="31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777,326 shares of common stock and 871,951 shares of common stock issuable upon exercise of options exercisable as of or within 60 days of March 31, 2026.</w:t>
      </w:r>
    </w:p>
    <w:p>
      <w:pPr>
        <w:ind w:left="640" w:right="31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520,215 shares of common stock and 592,867 shares of common stock issuable upon exercise of options exercisable as of or within 60 days of March 31, 2026.</w:t>
      </w: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224,953 shares of common stock as of March 31, 2026.</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42,999 shares of common stock and 3,614 shares of common stock issuable upon vesting of restricted stock units within 60 days of March 31, 2026.</w:t>
      </w: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1,966 shares of common stock for which settlement is deferred and may occur within 60 days of March 31,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39,569.50 shares of common stock as of March 31,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80,789 shares of common stock as of March 31, 2026.</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42,999 shares of common stock and 3,614 shares of common stock issuable upon vesting of restricted stock units within 60 days of March 31, 2026.</w:t>
      </w:r>
    </w:p>
    <w:p>
      <w:pPr>
        <w:ind w:left="640" w:right="31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84,759 shares of common stock and 33,820 shares of common stock for which settlement is deferred and may occur within 60 days of March 31, 2026.</w:t>
      </w:r>
    </w:p>
    <w:p>
      <w:pPr>
        <w:jc w:val="both"/>
        <w:ind w:left="640" w:right="319" w:hanging="348"/>
        <w:spacing w:after="0" w:line="236"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2,206,857 shares of common stock; 1,464,818 shares of common stock issuable upon exercise of options exercisable as of or within 60 days of March 31, 2026, 7,228 shares of common stock issuable upon vesting of restricted stock units as of or within 60 days of March 31, 2026 and 35,786 shares of common stock for which settlement is deferred and may occur within 60 days of March 31, 2026. Includes beneficial ownership of Cyrille Jacquemet, who was appointed as an executive officer on April 12, 2026.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and Procedures, setting forth the policies and procedures for the review and approval or ratification of related person transactions. 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w:t>
      </w:r>
    </w:p>
    <w:p>
      <w:pPr>
        <w:spacing w:after="0" w:line="75" w:lineRule="exact"/>
        <w:rPr>
          <w:sz w:val="20"/>
          <w:szCs w:val="20"/>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executive officers, directors or nominees to become a director;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to be the beneficial owner of more than 5% of any class our voting stock;</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nominee or beneficial owner of more than 5% of our voting stock, and any person (other than a tenant or employee) sharing the household of such director, executive officer, nominee or beneficial owner of more than 5% of our voting stock; or</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employed or is a general partner or principal or in a similar position or in which such person has a 5% or greater beneficial ownership interest in any class of our voting stock.</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policies and procedures designed to minimize potential conflicts of interest arising from any dealings the Company may have with its affiliates and to provide appropriate procedures for the disclosure of any real or potential conflicts of interest that may exist from time to time. Specifically, pursuant to our Audit Committee charter, the Audit Committee has the responsibility to review related person transactions.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 RELATED TO DIRECTORS, EQUITY HOLDERS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Other than our compensation arrangements with directors and executive officers described elsewhere in this proxy statement and indemnification agreements with each of our directors and executive officers, the following are certain transactions since January 1, 2024 and currently proposed transactions, to which we were a participant or will be a participant, in which: (1) the amount involved exceeded or will exceed $120,000, and (2) any of our directors, executive officers or holders of more than 5% of our common stock, or any member of the immediate family of the foregoing persons or entities, had or will have a direct or indirect material interest.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March 11, 2021, Ouster, Colonnade Sponsor LLC (the “Sponsor”), Colonnade WPB LLC (the “Sponsor PIPE Purchaser”), certain members of the Sponsor and the Sponsor PIPE Purchaser and certain former stockholders of our subsidiary, Ouster Technologies, Inc. entered into the Amended and Restated Registration Rights Agreement (the “Registration Rights Agreement”). Such parties had registration rights to require the Company to register a sale of any of our securities held by them pursuant to a registration rights agreement. The holders of these securities were entitled to make up to three demands, excluding short form demands, that the Company register such securities. In addition, the holders had certain “piggy-back” registration rights with respect to future registration statements. The Company bore the expenses incurred in connection with the filing of any such registration statements. The Registration Rights Agreement expired in March 2026.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2025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2025.</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Susan Heystee, Ernest Maddock, Phillip M. Eyler and Stephen A. Skaggs served on the Compensation Committee of the Board. No member of our Compensation Committee is an officer or employee of the Company. During the year ended December 31, 2021, Susan Heystee served as Interim Chief Revenue Officer of the Company. Ms. Heystee did not serve on the Compensation Committee during the period that she served as Interim Chief Revenue Officer.</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none of our executive officers served as a member of the board of directors or compensation committee, or other committee serving an equivalent function, of any other entity that has one or more of its executive officers serving as a member of our Board or Compensation Committee.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2027 annual meeting of stockholders pursuant to Rule 14a-8 under the Exchange Act must submit the proposal to our offices at 350 Treat Avenue, San Francisco, California 94110 in writing not later than [    ], 2026 (which is 120 days prior to [    ], 2027, the one-year anniversary of the mailing of the Company’s 2026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4495165</wp:posOffset>
            </wp:positionH>
            <wp:positionV relativeFrom="paragraph">
              <wp:posOffset>-308610</wp:posOffset>
            </wp:positionV>
            <wp:extent cx="2286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-171450</wp:posOffset>
            </wp:positionV>
            <wp:extent cx="2286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5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Stockholders intending to present a proposal at the 2027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 stockholder’s intent to present such proposal or nomination not earlier</w:t>
      </w:r>
    </w:p>
    <w:p>
      <w:pPr>
        <w:spacing w:after="0" w:line="3" w:lineRule="exact"/>
        <w:rPr>
          <w:sz w:val="20"/>
          <w:szCs w:val="20"/>
          <w:color w:val="auto"/>
        </w:rPr>
      </w:pPr>
    </w:p>
    <w:p>
      <w:pPr>
        <w:jc w:val="both"/>
        <w:ind w:left="300" w:right="299"/>
        <w:spacing w:after="0" w:line="221" w:lineRule="auto"/>
        <w:rPr>
          <w:sz w:val="20"/>
          <w:szCs w:val="20"/>
          <w:color w:val="auto"/>
        </w:rPr>
      </w:pPr>
      <w:r>
        <w:rPr>
          <w:rFonts w:ascii="Times New Roman" w:cs="Times New Roman" w:eastAsia="Times New Roman" w:hAnsi="Times New Roman"/>
          <w:sz w:val="18"/>
          <w:szCs w:val="18"/>
          <w:color w:val="auto"/>
        </w:rPr>
        <w:t>than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and not later than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Therefore, we must receive notice of such a proposal or nomination for the 2027 annual meeting of stockholders no earlier than February 17, 2027 and no later than March 19, 2027. The notice must contain the information required by the Bylaws, a copy of which is available upon request to our Secretary. In the event that the date of the 2027 annual meeting of stockholders is more than 30 days before or more than 60 days after June 17, 2027, then our Secretary must receive such written notice not later than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2027 annual</w:t>
      </w:r>
    </w:p>
    <w:p>
      <w:pPr>
        <w:spacing w:after="0" w:line="2" w:lineRule="exact"/>
        <w:rPr>
          <w:sz w:val="20"/>
          <w:szCs w:val="20"/>
          <w:color w:val="auto"/>
        </w:rPr>
      </w:pPr>
    </w:p>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meeting of stockholders or, if later,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will vote thereon in their discretion.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 xml:space="preserve">Stockholders may obtain our proxy statement (and any amendments and supplements thereto) and other documents as and when filed by us with the SEC without charge from the SEC’s website at: </w:t>
      </w:r>
      <w:r>
        <w:rPr>
          <w:rFonts w:ascii="Times New Roman" w:cs="Times New Roman" w:eastAsia="Times New Roman" w:hAnsi="Times New Roman"/>
          <w:sz w:val="18"/>
          <w:szCs w:val="18"/>
          <w:i w:val="1"/>
          <w:iCs w:val="1"/>
          <w:color w:val="auto"/>
        </w:rPr>
        <w:t>www.sec.gov.</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OUSTER’S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copy of Ouster’s Annual Report on Form 10-K for the fiscal year ended December 31, 2025, including financial statements and schedules, but not including exhibits, as filed with the SEC, will be sent to any stockholder of record on April 24, 2026 without charge upon written request addressed to Ouster, Inc., Attention: Secretary, 350 Treat Avenue, San Francisco, California 94110. A reasonable fee will be charged to the stockholder for copies of the aforementioned exhibits. You also may access our Annual Report on Form 10-K for the fiscal year ended December 31, 2025 at </w:t>
      </w:r>
      <w:r>
        <w:rPr>
          <w:rFonts w:ascii="Times New Roman" w:cs="Times New Roman" w:eastAsia="Times New Roman" w:hAnsi="Times New Roman"/>
          <w:sz w:val="18"/>
          <w:szCs w:val="18"/>
          <w:b w:val="1"/>
          <w:bCs w:val="1"/>
          <w:i w:val="1"/>
          <w:iCs w:val="1"/>
          <w:color w:val="auto"/>
        </w:rPr>
        <w:t>www.ouster.com</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Megan Chung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to the Certificate of Incorporation</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Amended to include a new Article IV that reads as follows: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“Common Stock” and “Preferred Stock.” The total number of shares of capital stock that the Corporation shall have authority to issue is 300,000,000. The total number of shares of Common Stock that the Corporation is authorized to issue is 200,000,000, having a par value of $0.0001 per share, and the total number of shares of Preferred Stock that the Corporation is authorized to issue is 100,000,000, having a par value of $0.0001 per share.”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to the Certificate of Incorporation</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Amended to include a new Article XIV that reads as follows: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No officer of the Corporation shall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Any amendment, repeal or modification of this Article XIV, or the adoption of any provision of this Certificate of Incorporation inconsistent with this Article XIV, shall not adversely affect any right or protection of an officer of the Corporation, as applicable, with respect to any act or omission occurring prior to such amendment, repeal, modification or adoption. If the DGCL is amended after approval by the stockholders of this Article XIV to authorize corporate action further eliminating or limiting the personal liability of officers, then the liability of an officer of the Corporation, as applicable, shall be eliminated or limited to the fullest extent permitted by the DGCL as so amended.”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lvl w:ilvl="1">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7"/>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3"/>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2"/>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2026-04-17T15:13:53Z</dcterms:created>
  <dcterms:modified xsi:type="dcterms:W3CDTF">2026-04-17T15:13:53Z</dcterms:modified>
</cp:coreProperties>
</file>