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4"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(Mark One)</w:t>
      </w:r>
    </w:p>
    <w:p>
      <w:pPr>
        <w:spacing w:after="0" w:line="35"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2022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78"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1295" w:right="339" w:bottom="430" w:gutter="0" w:footer="0" w:header="0"/>
        </w:sectPr>
      </w:pPr>
    </w:p>
    <w:p>
      <w:pPr>
        <w:spacing w:after="0" w:line="35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Commission File Number: 001-39463</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601" w:lineRule="exact"/>
        <w:rPr>
          <w:sz w:val="24"/>
          <w:szCs w:val="24"/>
          <w:color w:val="auto"/>
        </w:rPr>
      </w:pPr>
    </w:p>
    <w:p>
      <w:pPr>
        <w:sectPr>
          <w:pgSz w:w="11900" w:h="16838" w:orient="portrait"/>
          <w:cols w:equalWidth="0" w:num="2">
            <w:col w:w="7000" w:space="120"/>
            <w:col w:w="4120"/>
          </w:cols>
          <w:pgMar w:left="320" w:top="1295" w:right="339" w:bottom="430" w:gutter="0" w:footer="0" w:header="0"/>
          <w:type w:val="continuous"/>
        </w:sectPr>
      </w:pPr>
    </w:p>
    <w:p>
      <w:pPr>
        <w:jc w:val="center"/>
        <w:ind w:right="-19"/>
        <w:spacing w:after="0"/>
        <w:rPr>
          <w:sz w:val="20"/>
          <w:szCs w:val="20"/>
          <w:color w:val="auto"/>
        </w:rPr>
      </w:pPr>
      <w:r>
        <w:rPr>
          <w:rFonts w:ascii="Arial" w:cs="Arial" w:eastAsia="Arial" w:hAnsi="Arial"/>
          <w:sz w:val="36"/>
          <w:szCs w:val="36"/>
          <w:b w:val="1"/>
          <w:bCs w:val="1"/>
          <w:color w:val="auto"/>
        </w:rPr>
        <w:t>Ouster,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1"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295" w:right="339" w:bottom="430" w:gutter="0" w:footer="0" w:header="0"/>
          <w:type w:val="continuous"/>
        </w:sectPr>
      </w:pPr>
    </w:p>
    <w:p>
      <w:pPr>
        <w:spacing w:after="0" w:line="180"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86-2528989</w:t>
      </w:r>
    </w:p>
    <w:p>
      <w:pPr>
        <w:spacing w:after="0" w:line="86" w:lineRule="exact"/>
        <w:rPr>
          <w:sz w:val="24"/>
          <w:szCs w:val="24"/>
          <w:color w:val="auto"/>
        </w:rPr>
      </w:pPr>
    </w:p>
    <w:p>
      <w:pPr>
        <w:sectPr>
          <w:pgSz w:w="11900" w:h="16838" w:orient="portrait"/>
          <w:cols w:equalWidth="0" w:num="2">
            <w:col w:w="8220" w:space="720"/>
            <w:col w:w="2300"/>
          </w:cols>
          <w:pgMar w:left="320" w:top="1295" w:right="339" w:bottom="430" w:gutter="0" w:footer="0" w:header="0"/>
          <w:type w:val="continuous"/>
        </w:sectPr>
      </w:pPr>
    </w:p>
    <w:p>
      <w:pPr>
        <w:jc w:val="center"/>
        <w:ind w:right="4260"/>
        <w:spacing w:after="0"/>
        <w:rPr>
          <w:sz w:val="20"/>
          <w:szCs w:val="20"/>
          <w:color w:val="auto"/>
        </w:rPr>
      </w:pPr>
      <w:r>
        <w:rPr>
          <w:rFonts w:ascii="Arial" w:cs="Arial" w:eastAsia="Arial" w:hAnsi="Arial"/>
          <w:sz w:val="16"/>
          <w:szCs w:val="16"/>
          <w:b w:val="1"/>
          <w:bCs w:val="1"/>
          <w:color w:val="auto"/>
        </w:rPr>
        <w:t>(State or other jurisdiction</w:t>
      </w:r>
    </w:p>
    <w:p>
      <w:pPr>
        <w:spacing w:after="0" w:line="50" w:lineRule="exact"/>
        <w:rPr>
          <w:sz w:val="24"/>
          <w:szCs w:val="24"/>
          <w:color w:val="auto"/>
        </w:rPr>
      </w:pPr>
    </w:p>
    <w:p>
      <w:pPr>
        <w:jc w:val="center"/>
        <w:ind w:right="4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134" w:lineRule="exact"/>
        <w:rPr>
          <w:sz w:val="24"/>
          <w:szCs w:val="24"/>
          <w:color w:val="auto"/>
        </w:rPr>
      </w:pPr>
    </w:p>
    <w:p>
      <w:pPr>
        <w:sectPr>
          <w:pgSz w:w="11900" w:h="16838" w:orient="portrait"/>
          <w:cols w:equalWidth="0" w:num="2">
            <w:col w:w="7960" w:space="720"/>
            <w:col w:w="2560"/>
          </w:cols>
          <w:pgMar w:left="320" w:top="1295" w:right="339" w:bottom="43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Treat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949-0108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4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4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4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2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OUST</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0"/>
        </w:trPr>
        <w:tc>
          <w:tcPr>
            <w:tcW w:w="4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Warrants to purchase common stock</w:t>
            </w:r>
          </w:p>
        </w:tc>
        <w:tc>
          <w:tcPr>
            <w:tcW w:w="2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OUST WS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42" w:lineRule="exact"/>
        <w:rPr>
          <w:sz w:val="24"/>
          <w:szCs w:val="24"/>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8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9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7, 2022, the registrant had 184,531,202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5" w:right="339" w:bottom="43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60" w:type="dxa"/>
            <w:vAlign w:val="bottom"/>
            <w:gridSpan w:val="8"/>
          </w:tcPr>
          <w:p>
            <w:pPr>
              <w:ind w:left="196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gridSpan w:val="8"/>
            <w:vMerge w:val="restart"/>
          </w:tcPr>
          <w:p>
            <w:pPr>
              <w:ind w:left="1720"/>
              <w:spacing w:after="0"/>
              <w:rPr>
                <w:sz w:val="20"/>
                <w:szCs w:val="20"/>
                <w:color w:val="auto"/>
              </w:rPr>
            </w:pPr>
            <w:r>
              <w:rPr>
                <w:rFonts w:ascii="Arial" w:cs="Arial" w:eastAsia="Arial" w:hAnsi="Arial"/>
                <w:sz w:val="18"/>
                <w:szCs w:val="18"/>
                <w:b w:val="1"/>
                <w:bCs w:val="1"/>
                <w:color w:val="auto"/>
              </w:rPr>
              <w:t>Part I - Financial Information</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60" w:type="dxa"/>
            <w:vAlign w:val="bottom"/>
            <w:gridSpan w:val="8"/>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0"/>
              </w:rPr>
              <w:t>Item 1.</w:t>
            </w:r>
          </w:p>
        </w:tc>
        <w:tc>
          <w:tcPr>
            <w:tcW w:w="40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90" w:lineRule="exact"/>
              <w:rPr>
                <w:sz w:val="20"/>
                <w:szCs w:val="20"/>
                <w:color w:val="auto"/>
              </w:rPr>
            </w:pPr>
            <w:r>
              <w:rPr>
                <w:rFonts w:ascii="Arial" w:cs="Arial" w:eastAsia="Arial" w:hAnsi="Arial"/>
                <w:sz w:val="18"/>
                <w:szCs w:val="18"/>
                <w:color w:val="0000FF"/>
                <w:w w:val="88"/>
              </w:rPr>
              <w:t>Financial Statements</w:t>
            </w:r>
          </w:p>
        </w:tc>
        <w:tc>
          <w:tcPr>
            <w:tcW w:w="7920" w:type="dxa"/>
            <w:vAlign w:val="bottom"/>
            <w:gridSpan w:val="9"/>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Condensed Consolidated Balance Sheets (Unaudited)</w:t>
            </w:r>
          </w:p>
        </w:tc>
        <w:tc>
          <w:tcPr>
            <w:tcW w:w="5580" w:type="dxa"/>
            <w:vAlign w:val="bottom"/>
            <w:gridSpan w:val="7"/>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20" w:type="dxa"/>
            <w:vAlign w:val="bottom"/>
            <w:gridSpan w:val="12"/>
          </w:tcPr>
          <w:p>
            <w:pPr>
              <w:spacing w:after="0"/>
              <w:rPr>
                <w:sz w:val="20"/>
                <w:szCs w:val="20"/>
                <w:color w:val="auto"/>
              </w:rPr>
            </w:pPr>
            <w:r>
              <w:rPr>
                <w:rFonts w:ascii="Arial" w:cs="Arial" w:eastAsia="Arial" w:hAnsi="Arial"/>
                <w:sz w:val="18"/>
                <w:szCs w:val="18"/>
                <w:color w:val="0000FF"/>
              </w:rPr>
              <w:t>Condensed Consolidated Statements of Operations and Comprehensive Loss (Unaudited)</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Condensed Consolidated Statements of Changes in Redeemable Convertible Preferred Stock and Stockholders’ Equity (Deficit)</w:t>
            </w:r>
          </w:p>
        </w:tc>
        <w:tc>
          <w:tcPr>
            <w:tcW w:w="22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(Unaudited)</w:t>
            </w:r>
          </w:p>
        </w:tc>
        <w:tc>
          <w:tcPr>
            <w:tcW w:w="8340" w:type="dxa"/>
            <w:vAlign w:val="bottom"/>
            <w:gridSpan w:val="10"/>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0000FF"/>
            </w:tcBorders>
            <w:vMerge w:val="continue"/>
          </w:tcPr>
          <w:p>
            <w:pPr>
              <w:spacing w:after="0"/>
              <w:rPr>
                <w:sz w:val="5"/>
                <w:szCs w:val="5"/>
                <w:color w:val="auto"/>
              </w:rPr>
            </w:pPr>
          </w:p>
        </w:tc>
        <w:tc>
          <w:tcPr>
            <w:tcW w:w="8340" w:type="dxa"/>
            <w:vAlign w:val="bottom"/>
            <w:gridSpan w:val="10"/>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Condensed Consolidated Statements of Cash Flows (Unaudited)</w:t>
            </w:r>
          </w:p>
        </w:tc>
        <w:tc>
          <w:tcPr>
            <w:tcW w:w="4800" w:type="dxa"/>
            <w:vAlign w:val="bottom"/>
            <w:gridSpan w:val="5"/>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4520" w:type="dxa"/>
            <w:vAlign w:val="bottom"/>
            <w:gridSpan w:val="4"/>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9420" w:type="dxa"/>
            <w:vAlign w:val="bottom"/>
            <w:gridSpan w:val="1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9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64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80" w:type="dxa"/>
            <w:vAlign w:val="bottom"/>
            <w:gridSpan w:val="2"/>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400" w:type="dxa"/>
            <w:vAlign w:val="bottom"/>
            <w:tcBorders>
              <w:top w:val="single" w:sz="8" w:color="0000FF"/>
            </w:tcBorders>
          </w:tcPr>
          <w:p>
            <w:pPr>
              <w:spacing w:after="0"/>
              <w:rPr>
                <w:sz w:val="21"/>
                <w:szCs w:val="21"/>
                <w:color w:val="auto"/>
              </w:rPr>
            </w:pPr>
          </w:p>
        </w:tc>
        <w:tc>
          <w:tcPr>
            <w:tcW w:w="17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7"/>
              </w:rPr>
              <w:t>Controls and Procedures</w:t>
            </w:r>
          </w:p>
        </w:tc>
        <w:tc>
          <w:tcPr>
            <w:tcW w:w="2580" w:type="dxa"/>
            <w:vAlign w:val="bottom"/>
            <w:tcBorders>
              <w:top w:val="single" w:sz="8" w:color="0000FF"/>
            </w:tcBorders>
            <w:gridSpan w:val="2"/>
          </w:tcPr>
          <w:p>
            <w:pPr>
              <w:spacing w:after="0"/>
              <w:rPr>
                <w:sz w:val="21"/>
                <w:szCs w:val="21"/>
                <w:color w:val="auto"/>
              </w:rPr>
            </w:pPr>
          </w:p>
        </w:tc>
        <w:tc>
          <w:tcPr>
            <w:tcW w:w="5080" w:type="dxa"/>
            <w:vAlign w:val="bottom"/>
            <w:gridSpan w:val="6"/>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Arial" w:cs="Arial" w:eastAsia="Arial" w:hAnsi="Arial"/>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0000FF"/>
                <w:w w:val="90"/>
              </w:rPr>
              <w:t>Item 1.</w:t>
            </w:r>
          </w:p>
        </w:tc>
        <w:tc>
          <w:tcPr>
            <w:tcW w:w="280" w:type="dxa"/>
            <w:vAlign w:val="bottom"/>
            <w:gridSpan w:val="3"/>
          </w:tcPr>
          <w:p>
            <w:pPr>
              <w:spacing w:after="0"/>
              <w:rPr>
                <w:sz w:val="17"/>
                <w:szCs w:val="17"/>
                <w:color w:val="auto"/>
              </w:rPr>
            </w:pPr>
          </w:p>
        </w:tc>
        <w:tc>
          <w:tcPr>
            <w:tcW w:w="8020" w:type="dxa"/>
            <w:vAlign w:val="bottom"/>
            <w:gridSpan w:val="8"/>
          </w:tcPr>
          <w:p>
            <w:pPr>
              <w:ind w:left="120"/>
              <w:spacing w:after="0" w:line="202" w:lineRule="exact"/>
              <w:rPr>
                <w:sz w:val="20"/>
                <w:szCs w:val="20"/>
                <w:color w:val="auto"/>
              </w:rPr>
            </w:pPr>
            <w:r>
              <w:rPr>
                <w:rFonts w:ascii="Arial" w:cs="Arial" w:eastAsia="Arial" w:hAnsi="Arial"/>
                <w:sz w:val="18"/>
                <w:szCs w:val="18"/>
                <w:color w:val="0000FF"/>
              </w:rPr>
              <w:t>Legal Proceedings</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Risk Factors</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Unregistered Sales of Equity Securities and Use of Proceeds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100" w:type="dxa"/>
            <w:vAlign w:val="bottom"/>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Defaults Upon Senior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Mine Safety Disclosures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Other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Exhibits.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0" w:lineRule="exact"/>
        <w:rPr>
          <w:sz w:val="20"/>
          <w:szCs w:val="20"/>
          <w:color w:val="auto"/>
        </w:rPr>
      </w:pPr>
    </w:p>
    <w:p>
      <w:pPr>
        <w:spacing w:after="0" w:line="21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Ouster’s future operating results and financial position, its business strategy and plans, including new products, the expected timing of the closing of the Velodyne Merger (as defined herein); the ability of the parties to complete the Velodyne Merger considering the various closing conditions; the Company’s ability to continue as a going concern; the availability of cash or additional financing to fund our operations; future cost savings measures; market growth and trends, and the Company’s objectives for future operations,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are subject to a number of risks, uncertainties, and assumptions, including Ouster’s limited operating history and history of losses; the negotiating power and product standards of its customers; fluctuations in its operating results; supply chain constraints and challenges; cancellation or postponement of contracts or unsuccessful implementations; the adoption of its products and the growth of the lidar market generally; the risk that the Velodyne Merger may not be completed in a timely manner or at all; uncertainties as to the timing of the consummation of the Velodyne Merger and the potential failure to satisfy the conditions to the consummation of the Velodyne Merger, including obtaining stockholder and regulatory approvals; the risk that the Velodyne Merger may involve unexpected costs, liabilities or delays; the risk that the Company may not recognize the anticipated benefits of the Velodyne Merger;its ability to grow its sales and marketing organization; substantial research and development costs needed to develop and commercialize new products; the competitive environment in which it operates; selection of its products for inclusion in target markets; its future capital needs and ability to secure additional capital on favorable terms or at all; its ability to use tax attributes; its dependence on key third party suppliers, in particular Benchmark Electronics, Inc., and manufacturers; its ability to maintain inventory and the risk of inventory write-downs; inaccurate forecasts of market growth; its ability to manage growth; the creditworthiness of its customers; risks related to acquisitions; risks related to international operations; risks of product delivery problems or defects; costs associated with product warranties; its ability to maintain competitive average selling prices or high sales volumes or reduce product costs; conditions in its customers’ industries; its ability to recruit and retain key personnel; its use of professional employer organizations; its ability to adequately protect and enforce its intellectual property rights; its ability to effectively respond to evolving regulations and standards; risks related to operating as a public company; risks related to the COVID-19 pandemic; and risks related to certain of its warrants being accounted for as liabilities. Other risk factors include the important factors described in the Company’s Annual Report on Form 10-K filed with the Securities and Exchange Commission (the “SEC”) on February 28, 2022, as may be updated from time to time in the Company’s other filings with the SEC, that may cause its actual results, performance or achievements to differ materially and adversely from those expressed or implied by the forward-looking statements.</w:t>
      </w:r>
    </w:p>
    <w:p>
      <w:pPr>
        <w:spacing w:after="0" w:line="350"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“Ouster,” “the Company,” “we,” “our” and “us” refer to Ouster, Inc.</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 on Form 10-Q.</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2022, the Company determined that it qualified as a smaller reporting company, as defined in Rule 12b-2 of the Exchange Act. Consistent with Section 5120.1(d) of the Financial Reporting Manual, the Company has elected to reflect this status immediately. As a result, for the year ending December 31, 2023 and the remainder of the year ending December 31, 2022, we expect that we will be exempt from certain disclosure requirements and permitted to rely on certain reduced disclosure requirements. For instance, smaller reporting companies are not required to obtain an auditor attestation report regarding management’s assessment of internal control over financial reporting; are not required to provide a compensation discussion and analysis; and may present only two years of audited financial statements and related MD&amp;A disclosure.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182,644</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171,949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207,358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8,154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liability, long-term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16,208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Warrant liabilities (at September 30, 2022 and December 31, 2021 related party $97 and $2,669,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47,002</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Arial" w:cs="Arial" w:eastAsia="Arial" w:hAnsi="Arial"/>
                <w:sz w:val="18"/>
                <w:szCs w:val="18"/>
                <w:color w:val="auto"/>
                <w:w w:val="98"/>
              </w:rPr>
              <w:t>Redeemable convertible preferred stock, $0.0001 par value per share; 100,000,000 shares authorized at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80" w:type="dxa"/>
            <w:vAlign w:val="bottom"/>
          </w:tcPr>
          <w:p>
            <w:pPr>
              <w:ind w:left="180"/>
              <w:spacing w:after="0" w:line="189" w:lineRule="exact"/>
              <w:rPr>
                <w:sz w:val="20"/>
                <w:szCs w:val="20"/>
                <w:color w:val="auto"/>
              </w:rPr>
            </w:pPr>
            <w:r>
              <w:rPr>
                <w:rFonts w:ascii="Arial" w:cs="Arial" w:eastAsia="Arial" w:hAnsi="Arial"/>
                <w:sz w:val="18"/>
                <w:szCs w:val="18"/>
                <w:color w:val="auto"/>
                <w:w w:val="93"/>
              </w:rPr>
              <w:t>September 30, 2022 and December 31, 2021; Nil shares issued and outstanding at September 30, 2022 and</w:t>
            </w:r>
          </w:p>
        </w:tc>
        <w:tc>
          <w:tcPr>
            <w:tcW w:w="200" w:type="dxa"/>
            <w:vAlign w:val="bottom"/>
          </w:tcPr>
          <w:p>
            <w:pPr>
              <w:spacing w:after="0"/>
              <w:rPr>
                <w:sz w:val="16"/>
                <w:szCs w:val="16"/>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82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December 31, 2021, respectively (aggregate liquidation preference of nil at September 30, 2022 and</w:t>
            </w: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2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2021, respectively)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360"/>
              <w:spacing w:after="0" w:line="176" w:lineRule="exact"/>
              <w:rPr>
                <w:sz w:val="20"/>
                <w:szCs w:val="20"/>
                <w:color w:val="auto"/>
              </w:rPr>
            </w:pPr>
            <w:r>
              <w:rPr>
                <w:rFonts w:ascii="Arial" w:cs="Arial" w:eastAsia="Arial" w:hAnsi="Arial"/>
                <w:sz w:val="18"/>
                <w:szCs w:val="18"/>
                <w:color w:val="auto"/>
              </w:rPr>
              <w:t>Common stock, $0.0001 par value; 1,000,000,000 shares authorized at September 30, 2022 and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8"/>
        </w:trPr>
        <w:tc>
          <w:tcPr>
            <w:tcW w:w="8280" w:type="dxa"/>
            <w:vAlign w:val="bottom"/>
          </w:tcPr>
          <w:p>
            <w:pPr>
              <w:ind w:left="520"/>
              <w:spacing w:after="0" w:line="189" w:lineRule="exact"/>
              <w:rPr>
                <w:sz w:val="20"/>
                <w:szCs w:val="20"/>
                <w:color w:val="auto"/>
              </w:rPr>
            </w:pPr>
            <w:r>
              <w:rPr>
                <w:rFonts w:ascii="Arial" w:cs="Arial" w:eastAsia="Arial" w:hAnsi="Arial"/>
                <w:sz w:val="18"/>
                <w:szCs w:val="18"/>
                <w:color w:val="auto"/>
                <w:w w:val="94"/>
              </w:rPr>
              <w:t>December 31, 2021; 184,190,016 and 172,200,417 issued and outstanding at September 30, 2022 and</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520"/>
              <w:spacing w:after="0"/>
              <w:rPr>
                <w:sz w:val="20"/>
                <w:szCs w:val="20"/>
                <w:color w:val="auto"/>
              </w:rPr>
            </w:pPr>
            <w:r>
              <w:rPr>
                <w:rFonts w:ascii="Arial" w:cs="Arial" w:eastAsia="Arial" w:hAnsi="Arial"/>
                <w:sz w:val="18"/>
                <w:szCs w:val="18"/>
                <w:color w:val="auto"/>
              </w:rPr>
              <w:t>December 31, 2021, respectively</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564,045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(399,740)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(303,356)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260,700</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2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21,726</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 revenue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16,212</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19,576</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14,777</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36,177</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112,511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70,530</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(65,016)</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(65,637)</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Provision for income tax expense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(65,637)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260" w:type="dxa"/>
            <w:vAlign w:val="bottom"/>
          </w:tcPr>
          <w:p>
            <w:pPr>
              <w:ind w:left="20"/>
              <w:spacing w:after="0"/>
              <w:rPr>
                <w:sz w:val="20"/>
                <w:szCs w:val="20"/>
                <w:color w:val="auto"/>
              </w:rPr>
            </w:pPr>
            <w:r>
              <w:rPr>
                <w:rFonts w:ascii="Arial" w:cs="Arial" w:eastAsia="Arial" w:hAnsi="Arial"/>
                <w:sz w:val="16"/>
                <w:szCs w:val="16"/>
                <w:color w:val="auto"/>
              </w:rPr>
              <w:t>Total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(36,074)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(12,669)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(96,559)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(65,637)</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Weighted-average shares used to compute basic and diluted net loss per share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181,361,354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156,647,259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175,795,093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123,175,390</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178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Redeemable Convertible</w:t>
            </w:r>
          </w:p>
        </w:tc>
        <w:tc>
          <w:tcPr>
            <w:tcW w:w="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780" w:type="dxa"/>
            <w:vAlign w:val="bottom"/>
            <w:gridSpan w:val="4"/>
          </w:tcPr>
          <w:p>
            <w:pPr>
              <w:jc w:val="right"/>
              <w:ind w:right="277"/>
              <w:spacing w:after="0" w:line="135" w:lineRule="exact"/>
              <w:rPr>
                <w:sz w:val="20"/>
                <w:szCs w:val="20"/>
                <w:color w:val="auto"/>
              </w:rPr>
            </w:pPr>
            <w:r>
              <w:rPr>
                <w:rFonts w:ascii="Arial" w:cs="Arial" w:eastAsia="Arial" w:hAnsi="Arial"/>
                <w:sz w:val="13"/>
                <w:szCs w:val="13"/>
                <w:b w:val="1"/>
                <w:bCs w:val="1"/>
                <w:color w:val="auto"/>
              </w:rPr>
              <w:t>Preferred Stock</w:t>
            </w:r>
          </w:p>
        </w:tc>
        <w:tc>
          <w:tcPr>
            <w:tcW w:w="2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tcPr>
          <w:p>
            <w:pPr>
              <w:jc w:val="right"/>
              <w:ind w:right="297"/>
              <w:spacing w:after="0" w:line="135" w:lineRule="exact"/>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40"/>
              <w:spacing w:after="0" w:line="48" w:lineRule="exact"/>
              <w:rPr>
                <w:sz w:val="20"/>
                <w:szCs w:val="20"/>
                <w:color w:val="auto"/>
              </w:rPr>
            </w:pPr>
            <w:r>
              <w:rPr>
                <w:rFonts w:ascii="Arial" w:cs="Arial" w:eastAsia="Arial" w:hAnsi="Arial"/>
                <w:sz w:val="5"/>
                <w:szCs w:val="5"/>
                <w:b w:val="1"/>
                <w:bCs w:val="1"/>
                <w:color w:val="auto"/>
              </w:rPr>
              <w:t>Paid-in-</w:t>
            </w:r>
          </w:p>
        </w:tc>
        <w:tc>
          <w:tcPr>
            <w:tcW w:w="100" w:type="dxa"/>
            <w:vAlign w:val="bottom"/>
          </w:tcPr>
          <w:p>
            <w:pPr>
              <w:spacing w:after="0"/>
              <w:rPr>
                <w:sz w:val="4"/>
                <w:szCs w:val="4"/>
                <w:color w:val="auto"/>
              </w:rPr>
            </w:pPr>
          </w:p>
        </w:tc>
        <w:tc>
          <w:tcPr>
            <w:tcW w:w="960" w:type="dxa"/>
            <w:vAlign w:val="bottom"/>
            <w:gridSpan w:val="2"/>
          </w:tcPr>
          <w:p>
            <w:pPr>
              <w:ind w:left="20"/>
              <w:spacing w:after="0" w:line="48" w:lineRule="exact"/>
              <w:rPr>
                <w:sz w:val="20"/>
                <w:szCs w:val="20"/>
                <w:color w:val="auto"/>
              </w:rPr>
            </w:pPr>
            <w:r>
              <w:rPr>
                <w:rFonts w:ascii="Arial" w:cs="Arial" w:eastAsia="Arial" w:hAnsi="Arial"/>
                <w:sz w:val="5"/>
                <w:szCs w:val="5"/>
                <w:b w:val="1"/>
                <w:bCs w:val="1"/>
                <w:color w:val="auto"/>
              </w:rPr>
              <w:t>Accumulated</w:t>
            </w:r>
          </w:p>
        </w:tc>
        <w:tc>
          <w:tcPr>
            <w:tcW w:w="1180" w:type="dxa"/>
            <w:vAlign w:val="bottom"/>
            <w:gridSpan w:val="3"/>
          </w:tcPr>
          <w:p>
            <w:pPr>
              <w:ind w:left="20"/>
              <w:spacing w:after="0" w:line="48" w:lineRule="exact"/>
              <w:rPr>
                <w:sz w:val="20"/>
                <w:szCs w:val="20"/>
                <w:color w:val="auto"/>
              </w:rPr>
            </w:pPr>
            <w:r>
              <w:rPr>
                <w:rFonts w:ascii="Arial" w:cs="Arial" w:eastAsia="Arial" w:hAnsi="Arial"/>
                <w:sz w:val="5"/>
                <w:szCs w:val="5"/>
                <w:b w:val="1"/>
                <w:bCs w:val="1"/>
                <w:color w:val="auto"/>
              </w:rPr>
              <w:t>Accumulated other</w:t>
            </w:r>
          </w:p>
        </w:tc>
        <w:tc>
          <w:tcPr>
            <w:tcW w:w="140" w:type="dxa"/>
            <w:vAlign w:val="bottom"/>
          </w:tcPr>
          <w:p>
            <w:pPr>
              <w:spacing w:after="0"/>
              <w:rPr>
                <w:sz w:val="4"/>
                <w:szCs w:val="4"/>
                <w:color w:val="auto"/>
              </w:rPr>
            </w:pPr>
          </w:p>
        </w:tc>
        <w:tc>
          <w:tcPr>
            <w:tcW w:w="960" w:type="dxa"/>
            <w:vAlign w:val="bottom"/>
          </w:tcPr>
          <w:p>
            <w:pPr>
              <w:jc w:val="center"/>
              <w:ind w:right="78"/>
              <w:spacing w:after="0" w:line="48"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720" w:type="dxa"/>
            <w:vAlign w:val="bottom"/>
          </w:tcPr>
          <w:p>
            <w:pPr>
              <w:ind w:left="300"/>
              <w:spacing w:after="0"/>
              <w:rPr>
                <w:sz w:val="20"/>
                <w:szCs w:val="20"/>
                <w:color w:val="auto"/>
              </w:rPr>
            </w:pPr>
            <w:r>
              <w:rPr>
                <w:rFonts w:ascii="Arial" w:cs="Arial" w:eastAsia="Arial" w:hAnsi="Arial"/>
                <w:sz w:val="13"/>
                <w:szCs w:val="13"/>
                <w:b w:val="1"/>
                <w:bCs w:val="1"/>
                <w:color w:val="auto"/>
                <w:w w:val="92"/>
              </w:rPr>
              <w:t>Shares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Deficit</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89"/>
              </w:rPr>
              <w:t>comprehensive loss</w:t>
            </w:r>
          </w:p>
        </w:tc>
        <w:tc>
          <w:tcPr>
            <w:tcW w:w="14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5"/>
        </w:trPr>
        <w:tc>
          <w:tcPr>
            <w:tcW w:w="252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December 31, 2021</w:t>
            </w: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172,200,417</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564,045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(303,356)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260,700</w:t>
            </w:r>
          </w:p>
        </w:tc>
        <w:tc>
          <w:tcPr>
            <w:tcW w:w="0" w:type="dxa"/>
            <w:vAlign w:val="bottom"/>
          </w:tcPr>
          <w:p>
            <w:pPr>
              <w:spacing w:after="0"/>
              <w:rPr>
                <w:sz w:val="1"/>
                <w:szCs w:val="1"/>
                <w:color w:val="auto"/>
              </w:rPr>
            </w:pPr>
          </w:p>
        </w:tc>
      </w:tr>
      <w:tr>
        <w:trPr>
          <w:trHeight w:val="122"/>
        </w:trPr>
        <w:tc>
          <w:tcPr>
            <w:tcW w:w="3240" w:type="dxa"/>
            <w:vAlign w:val="bottom"/>
            <w:gridSpan w:val="2"/>
          </w:tcPr>
          <w:p>
            <w:pPr>
              <w:ind w:left="180"/>
              <w:spacing w:after="0" w:line="122" w:lineRule="exact"/>
              <w:rPr>
                <w:sz w:val="20"/>
                <w:szCs w:val="20"/>
                <w:color w:val="auto"/>
              </w:rPr>
            </w:pPr>
            <w:r>
              <w:rPr>
                <w:rFonts w:ascii="Arial" w:cs="Arial" w:eastAsia="Arial" w:hAnsi="Arial"/>
                <w:sz w:val="13"/>
                <w:szCs w:val="13"/>
                <w:color w:val="auto"/>
              </w:rPr>
              <w:t>Issuance of common stock upon exercise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40" w:type="dxa"/>
            <w:vAlign w:val="bottom"/>
            <w:gridSpan w:val="2"/>
          </w:tcPr>
          <w:p>
            <w:pPr>
              <w:ind w:left="360"/>
              <w:spacing w:after="0"/>
              <w:rPr>
                <w:sz w:val="20"/>
                <w:szCs w:val="20"/>
                <w:color w:val="auto"/>
              </w:rPr>
            </w:pPr>
            <w:r>
              <w:rPr>
                <w:rFonts w:ascii="Arial" w:cs="Arial" w:eastAsia="Arial" w:hAnsi="Arial"/>
                <w:sz w:val="13"/>
                <w:szCs w:val="13"/>
                <w:color w:val="auto"/>
              </w:rPr>
              <w:t>stock options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822,702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30"/>
        </w:trPr>
        <w:tc>
          <w:tcPr>
            <w:tcW w:w="3240" w:type="dxa"/>
            <w:vAlign w:val="bottom"/>
            <w:gridSpan w:val="2"/>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common stock upon exercise of</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40" w:type="dxa"/>
            <w:vAlign w:val="bottom"/>
            <w:gridSpan w:val="2"/>
            <w:shd w:val="clear" w:color="auto" w:fill="CCEEFF"/>
          </w:tcPr>
          <w:p>
            <w:pPr>
              <w:ind w:left="360"/>
              <w:spacing w:after="0" w:line="134" w:lineRule="exact"/>
              <w:rPr>
                <w:sz w:val="20"/>
                <w:szCs w:val="20"/>
                <w:color w:val="auto"/>
              </w:rPr>
            </w:pPr>
            <w:r>
              <w:rPr>
                <w:rFonts w:ascii="Arial" w:cs="Arial" w:eastAsia="Arial" w:hAnsi="Arial"/>
                <w:sz w:val="13"/>
                <w:szCs w:val="13"/>
                <w:color w:val="auto"/>
              </w:rPr>
              <w:t>restricted stock awards - net of tax</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withholding</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812,491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8"/>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Repurchase of common stock</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(233,107)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68"/>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(32,397)</w:t>
            </w:r>
          </w:p>
        </w:tc>
        <w:tc>
          <w:tcPr>
            <w:tcW w:w="0" w:type="dxa"/>
            <w:vAlign w:val="bottom"/>
          </w:tcPr>
          <w:p>
            <w:pPr>
              <w:spacing w:after="0"/>
              <w:rPr>
                <w:sz w:val="1"/>
                <w:szCs w:val="1"/>
                <w:color w:val="auto"/>
              </w:rPr>
            </w:pPr>
          </w:p>
        </w:tc>
      </w:tr>
      <w:tr>
        <w:trPr>
          <w:trHeight w:val="169"/>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Other Comprehensive loss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6"/>
        </w:trPr>
        <w:tc>
          <w:tcPr>
            <w:tcW w:w="252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2022</w:t>
            </w: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173,602,503</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572,933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(335,753)</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237,179</w:t>
            </w:r>
          </w:p>
        </w:tc>
        <w:tc>
          <w:tcPr>
            <w:tcW w:w="0" w:type="dxa"/>
            <w:vAlign w:val="bottom"/>
          </w:tcPr>
          <w:p>
            <w:pPr>
              <w:spacing w:after="0"/>
              <w:rPr>
                <w:sz w:val="1"/>
                <w:szCs w:val="1"/>
                <w:color w:val="auto"/>
              </w:rPr>
            </w:pPr>
          </w:p>
        </w:tc>
      </w:tr>
      <w:tr>
        <w:trPr>
          <w:trHeight w:val="122"/>
        </w:trPr>
        <w:tc>
          <w:tcPr>
            <w:tcW w:w="3240" w:type="dxa"/>
            <w:vAlign w:val="bottom"/>
            <w:gridSpan w:val="2"/>
          </w:tcPr>
          <w:p>
            <w:pPr>
              <w:ind w:left="180"/>
              <w:spacing w:after="0" w:line="122" w:lineRule="exact"/>
              <w:rPr>
                <w:sz w:val="20"/>
                <w:szCs w:val="20"/>
                <w:color w:val="auto"/>
              </w:rPr>
            </w:pPr>
            <w:r>
              <w:rPr>
                <w:rFonts w:ascii="Arial" w:cs="Arial" w:eastAsia="Arial" w:hAnsi="Arial"/>
                <w:sz w:val="13"/>
                <w:szCs w:val="13"/>
                <w:color w:val="auto"/>
              </w:rPr>
              <w:t>Proceeds from at-the-market offering, net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40" w:type="dxa"/>
            <w:vAlign w:val="bottom"/>
            <w:gridSpan w:val="2"/>
          </w:tcPr>
          <w:p>
            <w:pPr>
              <w:ind w:left="360"/>
              <w:spacing w:after="0" w:line="134" w:lineRule="exact"/>
              <w:rPr>
                <w:sz w:val="20"/>
                <w:szCs w:val="20"/>
                <w:color w:val="auto"/>
              </w:rPr>
            </w:pPr>
            <w:r>
              <w:rPr>
                <w:rFonts w:ascii="Arial" w:cs="Arial" w:eastAsia="Arial" w:hAnsi="Arial"/>
                <w:sz w:val="13"/>
                <w:szCs w:val="13"/>
                <w:color w:val="auto"/>
              </w:rPr>
              <w:t>commissions and fees of $451 and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40" w:type="dxa"/>
            <w:vAlign w:val="bottom"/>
            <w:gridSpan w:val="2"/>
          </w:tcPr>
          <w:p>
            <w:pPr>
              <w:ind w:left="360"/>
              <w:spacing w:after="0"/>
              <w:rPr>
                <w:sz w:val="20"/>
                <w:szCs w:val="20"/>
                <w:color w:val="auto"/>
              </w:rPr>
            </w:pPr>
            <w:r>
              <w:rPr>
                <w:rFonts w:ascii="Arial" w:cs="Arial" w:eastAsia="Arial" w:hAnsi="Arial"/>
                <w:sz w:val="13"/>
                <w:szCs w:val="13"/>
                <w:color w:val="auto"/>
              </w:rPr>
              <w:t>issuance costs of $546</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6,749,344</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14,022</w:t>
            </w:r>
          </w:p>
        </w:tc>
        <w:tc>
          <w:tcPr>
            <w:tcW w:w="0" w:type="dxa"/>
            <w:vAlign w:val="bottom"/>
          </w:tcPr>
          <w:p>
            <w:pPr>
              <w:spacing w:after="0"/>
              <w:rPr>
                <w:sz w:val="1"/>
                <w:szCs w:val="1"/>
                <w:color w:val="auto"/>
              </w:rPr>
            </w:pPr>
          </w:p>
        </w:tc>
      </w:tr>
      <w:tr>
        <w:trPr>
          <w:trHeight w:val="129"/>
        </w:trPr>
        <w:tc>
          <w:tcPr>
            <w:tcW w:w="3240" w:type="dxa"/>
            <w:vAlign w:val="bottom"/>
            <w:gridSpan w:val="2"/>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common stock upon exercise of</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stock options</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6"/>
                <w:szCs w:val="16"/>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234,241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22"/>
        </w:trPr>
        <w:tc>
          <w:tcPr>
            <w:tcW w:w="3240" w:type="dxa"/>
            <w:vAlign w:val="bottom"/>
            <w:gridSpan w:val="2"/>
          </w:tcPr>
          <w:p>
            <w:pPr>
              <w:ind w:left="180"/>
              <w:spacing w:after="0" w:line="122" w:lineRule="exact"/>
              <w:rPr>
                <w:sz w:val="20"/>
                <w:szCs w:val="20"/>
                <w:color w:val="auto"/>
              </w:rPr>
            </w:pPr>
            <w:r>
              <w:rPr>
                <w:rFonts w:ascii="Arial" w:cs="Arial" w:eastAsia="Arial" w:hAnsi="Arial"/>
                <w:sz w:val="13"/>
                <w:szCs w:val="13"/>
                <w:color w:val="auto"/>
              </w:rPr>
              <w:t>Issuance of common stock upon exercise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40" w:type="dxa"/>
            <w:vAlign w:val="bottom"/>
            <w:gridSpan w:val="2"/>
          </w:tcPr>
          <w:p>
            <w:pPr>
              <w:ind w:left="360"/>
              <w:spacing w:after="0"/>
              <w:rPr>
                <w:sz w:val="20"/>
                <w:szCs w:val="20"/>
                <w:color w:val="auto"/>
              </w:rPr>
            </w:pPr>
            <w:r>
              <w:rPr>
                <w:rFonts w:ascii="Arial" w:cs="Arial" w:eastAsia="Arial" w:hAnsi="Arial"/>
                <w:sz w:val="13"/>
                <w:szCs w:val="13"/>
                <w:color w:val="auto"/>
              </w:rPr>
              <w:t>restricted stock awards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950,858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(57,301)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Cancellation of Sense acquisition shares</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(55,130)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68"/>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Stock-based compensation expense</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8,119</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0" w:type="dxa"/>
            <w:vAlign w:val="bottom"/>
          </w:tcPr>
          <w:p>
            <w:pPr>
              <w:spacing w:after="0"/>
              <w:rPr>
                <w:sz w:val="1"/>
                <w:szCs w:val="1"/>
                <w:color w:val="auto"/>
              </w:rPr>
            </w:pPr>
          </w:p>
        </w:tc>
      </w:tr>
      <w:tr>
        <w:trPr>
          <w:trHeight w:val="169"/>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Other Comprehensive loss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6"/>
        </w:trPr>
        <w:tc>
          <w:tcPr>
            <w:tcW w:w="252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June 30, 2022</w:t>
            </w: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181,424,515</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594,800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(363,753)</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230,971</w:t>
            </w:r>
          </w:p>
        </w:tc>
        <w:tc>
          <w:tcPr>
            <w:tcW w:w="0" w:type="dxa"/>
            <w:vAlign w:val="bottom"/>
          </w:tcPr>
          <w:p>
            <w:pPr>
              <w:spacing w:after="0"/>
              <w:rPr>
                <w:sz w:val="1"/>
                <w:szCs w:val="1"/>
                <w:color w:val="auto"/>
              </w:rPr>
            </w:pPr>
          </w:p>
        </w:tc>
      </w:tr>
      <w:tr>
        <w:trPr>
          <w:trHeight w:val="121"/>
        </w:trPr>
        <w:tc>
          <w:tcPr>
            <w:tcW w:w="3240" w:type="dxa"/>
            <w:vAlign w:val="bottom"/>
            <w:gridSpan w:val="2"/>
          </w:tcPr>
          <w:p>
            <w:pPr>
              <w:ind w:left="180"/>
              <w:spacing w:after="0" w:line="122" w:lineRule="exact"/>
              <w:rPr>
                <w:sz w:val="20"/>
                <w:szCs w:val="20"/>
                <w:color w:val="auto"/>
              </w:rPr>
            </w:pPr>
            <w:r>
              <w:rPr>
                <w:rFonts w:ascii="Arial" w:cs="Arial" w:eastAsia="Arial" w:hAnsi="Arial"/>
                <w:sz w:val="13"/>
                <w:szCs w:val="13"/>
                <w:color w:val="auto"/>
              </w:rPr>
              <w:t>Proceeds from at-the-market offering, net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40" w:type="dxa"/>
            <w:vAlign w:val="bottom"/>
            <w:gridSpan w:val="2"/>
          </w:tcPr>
          <w:p>
            <w:pPr>
              <w:ind w:left="360"/>
              <w:spacing w:after="0"/>
              <w:rPr>
                <w:sz w:val="20"/>
                <w:szCs w:val="20"/>
                <w:color w:val="auto"/>
              </w:rPr>
            </w:pPr>
            <w:r>
              <w:rPr>
                <w:rFonts w:ascii="Arial" w:cs="Arial" w:eastAsia="Arial" w:hAnsi="Arial"/>
                <w:sz w:val="13"/>
                <w:szCs w:val="13"/>
                <w:color w:val="auto"/>
              </w:rPr>
              <w:t>commissions and fees of $54</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1,084,365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1,754</w:t>
            </w:r>
          </w:p>
        </w:tc>
        <w:tc>
          <w:tcPr>
            <w:tcW w:w="0" w:type="dxa"/>
            <w:vAlign w:val="bottom"/>
          </w:tcPr>
          <w:p>
            <w:pPr>
              <w:spacing w:after="0"/>
              <w:rPr>
                <w:sz w:val="1"/>
                <w:szCs w:val="1"/>
                <w:color w:val="auto"/>
              </w:rPr>
            </w:pPr>
          </w:p>
        </w:tc>
      </w:tr>
      <w:tr>
        <w:trPr>
          <w:trHeight w:val="129"/>
        </w:trPr>
        <w:tc>
          <w:tcPr>
            <w:tcW w:w="3240" w:type="dxa"/>
            <w:vAlign w:val="bottom"/>
            <w:gridSpan w:val="2"/>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common stock upon exercise of</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stock options</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6"/>
                <w:szCs w:val="16"/>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722,087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22"/>
        </w:trPr>
        <w:tc>
          <w:tcPr>
            <w:tcW w:w="3240" w:type="dxa"/>
            <w:vAlign w:val="bottom"/>
            <w:gridSpan w:val="2"/>
          </w:tcPr>
          <w:p>
            <w:pPr>
              <w:ind w:left="180"/>
              <w:spacing w:after="0" w:line="122" w:lineRule="exact"/>
              <w:rPr>
                <w:sz w:val="20"/>
                <w:szCs w:val="20"/>
                <w:color w:val="auto"/>
              </w:rPr>
            </w:pPr>
            <w:r>
              <w:rPr>
                <w:rFonts w:ascii="Arial" w:cs="Arial" w:eastAsia="Arial" w:hAnsi="Arial"/>
                <w:sz w:val="13"/>
                <w:szCs w:val="13"/>
                <w:color w:val="auto"/>
              </w:rPr>
              <w:t>Issuance of common stock upon exercise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40" w:type="dxa"/>
            <w:vAlign w:val="bottom"/>
            <w:gridSpan w:val="2"/>
          </w:tcPr>
          <w:p>
            <w:pPr>
              <w:ind w:left="360"/>
              <w:spacing w:after="0"/>
              <w:rPr>
                <w:sz w:val="20"/>
                <w:szCs w:val="20"/>
                <w:color w:val="auto"/>
              </w:rPr>
            </w:pPr>
            <w:r>
              <w:rPr>
                <w:rFonts w:ascii="Arial" w:cs="Arial" w:eastAsia="Arial" w:hAnsi="Arial"/>
                <w:sz w:val="13"/>
                <w:szCs w:val="13"/>
                <w:color w:val="auto"/>
              </w:rPr>
              <w:t>restricted stock awards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975,147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8,455</w:t>
            </w:r>
          </w:p>
        </w:tc>
        <w:tc>
          <w:tcPr>
            <w:tcW w:w="0" w:type="dxa"/>
            <w:vAlign w:val="bottom"/>
          </w:tcPr>
          <w:p>
            <w:pPr>
              <w:spacing w:after="0"/>
              <w:rPr>
                <w:sz w:val="1"/>
                <w:szCs w:val="1"/>
                <w:color w:val="auto"/>
              </w:rPr>
            </w:pPr>
          </w:p>
        </w:tc>
      </w:tr>
      <w:tr>
        <w:trPr>
          <w:trHeight w:val="168"/>
        </w:trPr>
        <w:tc>
          <w:tcPr>
            <w:tcW w:w="3240" w:type="dxa"/>
            <w:vAlign w:val="bottom"/>
            <w:gridSpan w:val="2"/>
          </w:tcPr>
          <w:p>
            <w:pPr>
              <w:ind w:left="180"/>
              <w:spacing w:after="0"/>
              <w:rPr>
                <w:sz w:val="20"/>
                <w:szCs w:val="20"/>
                <w:color w:val="auto"/>
              </w:rPr>
            </w:pPr>
            <w:r>
              <w:rPr>
                <w:rFonts w:ascii="Arial" w:cs="Arial" w:eastAsia="Arial" w:hAnsi="Arial"/>
                <w:sz w:val="13"/>
                <w:szCs w:val="13"/>
                <w:color w:val="auto"/>
              </w:rPr>
              <w:t>Net loss</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(35,987)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(35,987)</w:t>
            </w: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line="141" w:lineRule="exact"/>
              <w:rPr>
                <w:sz w:val="20"/>
                <w:szCs w:val="20"/>
                <w:color w:val="auto"/>
              </w:rPr>
            </w:pPr>
            <w:r>
              <w:rPr>
                <w:rFonts w:ascii="Arial" w:cs="Arial" w:eastAsia="Arial" w:hAnsi="Arial"/>
                <w:sz w:val="13"/>
                <w:szCs w:val="13"/>
                <w:color w:val="auto"/>
              </w:rPr>
              <w:t>Balance — September 30, 2022</w:t>
            </w:r>
          </w:p>
        </w:tc>
        <w:tc>
          <w:tcPr>
            <w:tcW w:w="7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184,190,016</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605,195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(399,740)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205,292</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STOCKHOLDERS’ EQUITY (DEFICIT)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data)</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21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6"/>
              </w:rPr>
              <w:t>Redeemable Convertible</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2100" w:type="dxa"/>
            <w:vAlign w:val="bottom"/>
            <w:tcBorders>
              <w:right w:val="single" w:sz="8" w:color="auto"/>
            </w:tcBorders>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1"/>
                <w:szCs w:val="11"/>
                <w:color w:val="auto"/>
              </w:rPr>
            </w:pPr>
          </w:p>
        </w:tc>
        <w:tc>
          <w:tcPr>
            <w:tcW w:w="1760" w:type="dxa"/>
            <w:vAlign w:val="bottom"/>
            <w:gridSpan w:val="3"/>
          </w:tcPr>
          <w:p>
            <w:pPr>
              <w:jc w:val="right"/>
              <w:ind w:right="297"/>
              <w:spacing w:after="0" w:line="135" w:lineRule="exact"/>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tcPr>
          <w:p>
            <w:pPr>
              <w:jc w:val="center"/>
              <w:ind w:right="220"/>
              <w:spacing w:after="0" w:line="48" w:lineRule="exact"/>
              <w:rPr>
                <w:sz w:val="20"/>
                <w:szCs w:val="20"/>
                <w:color w:val="auto"/>
              </w:rPr>
            </w:pPr>
            <w:r>
              <w:rPr>
                <w:rFonts w:ascii="Arial" w:cs="Arial" w:eastAsia="Arial" w:hAnsi="Arial"/>
                <w:sz w:val="5"/>
                <w:szCs w:val="5"/>
                <w:b w:val="1"/>
                <w:bCs w:val="1"/>
                <w:color w:val="auto"/>
              </w:rPr>
              <w:t>Paid-in-</w:t>
            </w:r>
          </w:p>
        </w:tc>
        <w:tc>
          <w:tcPr>
            <w:tcW w:w="120" w:type="dxa"/>
            <w:vAlign w:val="bottom"/>
          </w:tcPr>
          <w:p>
            <w:pPr>
              <w:spacing w:after="0"/>
              <w:rPr>
                <w:sz w:val="4"/>
                <w:szCs w:val="4"/>
                <w:color w:val="auto"/>
              </w:rPr>
            </w:pPr>
          </w:p>
        </w:tc>
        <w:tc>
          <w:tcPr>
            <w:tcW w:w="960" w:type="dxa"/>
            <w:vAlign w:val="bottom"/>
            <w:gridSpan w:val="2"/>
          </w:tcPr>
          <w:p>
            <w:pPr>
              <w:ind w:left="20"/>
              <w:spacing w:after="0" w:line="48" w:lineRule="exact"/>
              <w:rPr>
                <w:sz w:val="20"/>
                <w:szCs w:val="20"/>
                <w:color w:val="auto"/>
              </w:rPr>
            </w:pPr>
            <w:r>
              <w:rPr>
                <w:rFonts w:ascii="Arial" w:cs="Arial" w:eastAsia="Arial" w:hAnsi="Arial"/>
                <w:sz w:val="5"/>
                <w:szCs w:val="5"/>
                <w:b w:val="1"/>
                <w:bCs w:val="1"/>
                <w:color w:val="auto"/>
              </w:rPr>
              <w:t>Accumulated</w:t>
            </w:r>
          </w:p>
        </w:tc>
        <w:tc>
          <w:tcPr>
            <w:tcW w:w="1200" w:type="dxa"/>
            <w:vAlign w:val="bottom"/>
            <w:gridSpan w:val="3"/>
          </w:tcPr>
          <w:p>
            <w:pPr>
              <w:ind w:left="40"/>
              <w:spacing w:after="0" w:line="48" w:lineRule="exact"/>
              <w:rPr>
                <w:sz w:val="20"/>
                <w:szCs w:val="20"/>
                <w:color w:val="auto"/>
              </w:rPr>
            </w:pPr>
            <w:r>
              <w:rPr>
                <w:rFonts w:ascii="Arial" w:cs="Arial" w:eastAsia="Arial" w:hAnsi="Arial"/>
                <w:sz w:val="5"/>
                <w:szCs w:val="5"/>
                <w:b w:val="1"/>
                <w:bCs w:val="1"/>
                <w:color w:val="auto"/>
              </w:rPr>
              <w:t>Accumulated other</w:t>
            </w:r>
          </w:p>
        </w:tc>
        <w:tc>
          <w:tcPr>
            <w:tcW w:w="100" w:type="dxa"/>
            <w:vAlign w:val="bottom"/>
          </w:tcPr>
          <w:p>
            <w:pPr>
              <w:spacing w:after="0"/>
              <w:rPr>
                <w:sz w:val="4"/>
                <w:szCs w:val="4"/>
                <w:color w:val="auto"/>
              </w:rPr>
            </w:pPr>
          </w:p>
        </w:tc>
        <w:tc>
          <w:tcPr>
            <w:tcW w:w="980" w:type="dxa"/>
            <w:vAlign w:val="bottom"/>
          </w:tcPr>
          <w:p>
            <w:pPr>
              <w:jc w:val="center"/>
              <w:ind w:right="59"/>
              <w:spacing w:after="0" w:line="48"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1040" w:type="dxa"/>
            <w:vAlign w:val="bottom"/>
            <w:gridSpan w:val="2"/>
          </w:tcPr>
          <w:p>
            <w:pPr>
              <w:ind w:left="24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040" w:type="dxa"/>
            <w:vAlign w:val="bottom"/>
            <w:gridSpan w:val="2"/>
          </w:tcPr>
          <w:p>
            <w:pPr>
              <w:ind w:left="24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Deficit</w:t>
            </w: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comprehensive loss</w:t>
            </w:r>
          </w:p>
        </w:tc>
        <w:tc>
          <w:tcPr>
            <w:tcW w:w="100" w:type="dxa"/>
            <w:vAlign w:val="bottom"/>
          </w:tcPr>
          <w:p>
            <w:pPr>
              <w:spacing w:after="0"/>
              <w:rPr>
                <w:sz w:val="15"/>
                <w:szCs w:val="15"/>
                <w:color w:val="auto"/>
              </w:rPr>
            </w:pPr>
          </w:p>
        </w:tc>
        <w:tc>
          <w:tcPr>
            <w:tcW w:w="980" w:type="dxa"/>
            <w:vAlign w:val="bottom"/>
          </w:tcPr>
          <w:p>
            <w:pPr>
              <w:jc w:val="center"/>
              <w:ind w:right="39"/>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Balance —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88,434,754</w:t>
            </w: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39,225</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33,327,294</w:t>
            </w: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133,468</w:t>
            </w: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(209,375)</w:t>
            </w: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(75,907)</w:t>
            </w:r>
          </w:p>
        </w:tc>
        <w:tc>
          <w:tcPr>
            <w:tcW w:w="0" w:type="dxa"/>
            <w:vAlign w:val="bottom"/>
          </w:tcPr>
          <w:p>
            <w:pPr>
              <w:spacing w:after="0"/>
              <w:rPr>
                <w:sz w:val="1"/>
                <w:szCs w:val="1"/>
                <w:color w:val="auto"/>
              </w:rPr>
            </w:pPr>
          </w:p>
        </w:tc>
      </w:tr>
      <w:tr>
        <w:trPr>
          <w:trHeight w:val="122"/>
        </w:trPr>
        <w:tc>
          <w:tcPr>
            <w:tcW w:w="2120" w:type="dxa"/>
            <w:vAlign w:val="bottom"/>
          </w:tcPr>
          <w:p>
            <w:pPr>
              <w:ind w:left="180"/>
              <w:spacing w:after="0" w:line="122" w:lineRule="exact"/>
              <w:rPr>
                <w:sz w:val="20"/>
                <w:szCs w:val="20"/>
                <w:color w:val="auto"/>
              </w:rPr>
            </w:pPr>
            <w:r>
              <w:rPr>
                <w:rFonts w:ascii="Arial" w:cs="Arial" w:eastAsia="Arial" w:hAnsi="Arial"/>
                <w:sz w:val="13"/>
                <w:szCs w:val="13"/>
                <w:color w:val="auto"/>
              </w:rPr>
              <w:t>Issuance of common stock upon</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34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727,114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(220,561)</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21"/>
        </w:trPr>
        <w:tc>
          <w:tcPr>
            <w:tcW w:w="2120" w:type="dxa"/>
            <w:vAlign w:val="bottom"/>
          </w:tcPr>
          <w:p>
            <w:pPr>
              <w:ind w:left="180"/>
              <w:spacing w:after="0" w:line="122" w:lineRule="exact"/>
              <w:rPr>
                <w:sz w:val="20"/>
                <w:szCs w:val="20"/>
                <w:color w:val="auto"/>
              </w:rPr>
            </w:pPr>
            <w:r>
              <w:rPr>
                <w:rFonts w:ascii="Arial" w:cs="Arial" w:eastAsia="Arial" w:hAnsi="Arial"/>
                <w:sz w:val="13"/>
                <w:szCs w:val="13"/>
                <w:color w:val="auto"/>
                <w:w w:val="93"/>
              </w:rPr>
              <w:t>Issuance of redeemable convertible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20" w:type="dxa"/>
            <w:vAlign w:val="bottom"/>
          </w:tcPr>
          <w:p>
            <w:pPr>
              <w:ind w:left="340"/>
              <w:spacing w:after="0" w:line="134" w:lineRule="exact"/>
              <w:rPr>
                <w:sz w:val="20"/>
                <w:szCs w:val="20"/>
                <w:color w:val="auto"/>
              </w:rPr>
            </w:pPr>
            <w:r>
              <w:rPr>
                <w:rFonts w:ascii="Arial" w:cs="Arial" w:eastAsia="Arial" w:hAnsi="Arial"/>
                <w:sz w:val="13"/>
                <w:szCs w:val="13"/>
                <w:color w:val="auto"/>
                <w:w w:val="94"/>
              </w:rPr>
              <w:t>preferred stock upon exercise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340"/>
              <w:spacing w:after="0"/>
              <w:rPr>
                <w:sz w:val="20"/>
                <w:szCs w:val="20"/>
                <w:color w:val="auto"/>
              </w:rPr>
            </w:pPr>
            <w:r>
              <w:rPr>
                <w:rFonts w:ascii="Arial" w:cs="Arial" w:eastAsia="Arial" w:hAnsi="Arial"/>
                <w:sz w:val="13"/>
                <w:szCs w:val="13"/>
                <w:color w:val="auto"/>
              </w:rPr>
              <w:t>warrants</w:t>
            </w:r>
          </w:p>
        </w:tc>
        <w:tc>
          <w:tcPr>
            <w:tcW w:w="940" w:type="dxa"/>
            <w:vAlign w:val="bottom"/>
          </w:tcPr>
          <w:p>
            <w:pPr>
              <w:jc w:val="right"/>
              <w:spacing w:after="0"/>
              <w:rPr>
                <w:sz w:val="20"/>
                <w:szCs w:val="20"/>
                <w:color w:val="auto"/>
              </w:rPr>
            </w:pPr>
            <w:r>
              <w:rPr>
                <w:rFonts w:ascii="Arial" w:cs="Arial" w:eastAsia="Arial" w:hAnsi="Arial"/>
                <w:sz w:val="13"/>
                <w:szCs w:val="13"/>
                <w:color w:val="auto"/>
              </w:rPr>
              <w:t>4,232,947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58,097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87"/>
              </w:rPr>
              <w:t>Conversion of redeemable convertible</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w w:val="93"/>
              </w:rPr>
              <w:t>preferred stock to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97,334</w:t>
            </w:r>
          </w:p>
        </w:tc>
        <w:tc>
          <w:tcPr>
            <w:tcW w:w="0" w:type="dxa"/>
            <w:vAlign w:val="bottom"/>
          </w:tcPr>
          <w:p>
            <w:pPr>
              <w:spacing w:after="0"/>
              <w:rPr>
                <w:sz w:val="1"/>
                <w:szCs w:val="1"/>
                <w:color w:val="auto"/>
              </w:rPr>
            </w:pPr>
          </w:p>
        </w:tc>
      </w:tr>
      <w:tr>
        <w:trPr>
          <w:trHeight w:val="121"/>
        </w:trPr>
        <w:tc>
          <w:tcPr>
            <w:tcW w:w="2120" w:type="dxa"/>
            <w:vAlign w:val="bottom"/>
          </w:tcPr>
          <w:p>
            <w:pPr>
              <w:ind w:left="180"/>
              <w:spacing w:after="0" w:line="122" w:lineRule="exact"/>
              <w:rPr>
                <w:sz w:val="20"/>
                <w:szCs w:val="20"/>
                <w:color w:val="auto"/>
              </w:rPr>
            </w:pPr>
            <w:r>
              <w:rPr>
                <w:rFonts w:ascii="Arial" w:cs="Arial" w:eastAsia="Arial" w:hAnsi="Arial"/>
                <w:sz w:val="13"/>
                <w:szCs w:val="13"/>
                <w:color w:val="auto"/>
              </w:rPr>
              <w:t>Issuance of common stock upon</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20" w:type="dxa"/>
            <w:vAlign w:val="bottom"/>
          </w:tcPr>
          <w:p>
            <w:pPr>
              <w:ind w:left="340"/>
              <w:spacing w:after="0" w:line="134" w:lineRule="exact"/>
              <w:rPr>
                <w:sz w:val="20"/>
                <w:szCs w:val="20"/>
                <w:color w:val="auto"/>
              </w:rPr>
            </w:pPr>
            <w:r>
              <w:rPr>
                <w:rFonts w:ascii="Arial" w:cs="Arial" w:eastAsia="Arial" w:hAnsi="Arial"/>
                <w:sz w:val="13"/>
                <w:szCs w:val="13"/>
                <w:color w:val="auto"/>
                <w:w w:val="89"/>
              </w:rPr>
              <w:t>merger and private offering, net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tcPr>
          <w:p>
            <w:pPr>
              <w:ind w:left="340"/>
              <w:spacing w:after="0" w:line="123" w:lineRule="exact"/>
              <w:rPr>
                <w:sz w:val="20"/>
                <w:szCs w:val="20"/>
                <w:color w:val="auto"/>
              </w:rPr>
            </w:pPr>
            <w:r>
              <w:rPr>
                <w:rFonts w:ascii="Arial" w:cs="Arial" w:eastAsia="Arial" w:hAnsi="Arial"/>
                <w:sz w:val="13"/>
                <w:szCs w:val="13"/>
                <w:color w:val="auto"/>
              </w:rPr>
              <w:t>acquired private placement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34,947,657</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272,061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272,064</w:t>
            </w:r>
          </w:p>
        </w:tc>
        <w:tc>
          <w:tcPr>
            <w:tcW w:w="0" w:type="dxa"/>
            <w:vAlign w:val="bottom"/>
          </w:tcPr>
          <w:p>
            <w:pPr>
              <w:spacing w:after="0"/>
              <w:rPr>
                <w:sz w:val="1"/>
                <w:szCs w:val="1"/>
                <w:color w:val="auto"/>
              </w:rPr>
            </w:pPr>
          </w:p>
        </w:tc>
      </w:tr>
      <w:tr>
        <w:trPr>
          <w:trHeight w:val="168"/>
        </w:trPr>
        <w:tc>
          <w:tcPr>
            <w:tcW w:w="2120" w:type="dxa"/>
            <w:vAlign w:val="bottom"/>
          </w:tcPr>
          <w:p>
            <w:pPr>
              <w:ind w:left="340"/>
              <w:spacing w:after="0"/>
              <w:rPr>
                <w:sz w:val="20"/>
                <w:szCs w:val="20"/>
                <w:color w:val="auto"/>
              </w:rPr>
            </w:pPr>
            <w:r>
              <w:rPr>
                <w:rFonts w:ascii="Arial" w:cs="Arial" w:eastAsia="Arial" w:hAnsi="Arial"/>
                <w:sz w:val="13"/>
                <w:szCs w:val="13"/>
                <w:color w:val="auto"/>
              </w:rPr>
              <w:t>warrants of $19,377</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1"/>
              </w:rPr>
              <w:t>Offering costs in connection with the</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merger</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0" w:type="dxa"/>
            <w:vAlign w:val="bottom"/>
          </w:tcPr>
          <w:p>
            <w:pPr>
              <w:spacing w:after="0"/>
              <w:rPr>
                <w:sz w:val="1"/>
                <w:szCs w:val="1"/>
                <w:color w:val="auto"/>
              </w:rPr>
            </w:pPr>
          </w:p>
        </w:tc>
      </w:tr>
      <w:tr>
        <w:trPr>
          <w:trHeight w:val="122"/>
        </w:trPr>
        <w:tc>
          <w:tcPr>
            <w:tcW w:w="2120" w:type="dxa"/>
            <w:vAlign w:val="bottom"/>
          </w:tcPr>
          <w:p>
            <w:pPr>
              <w:ind w:left="180"/>
              <w:spacing w:after="0" w:line="122" w:lineRule="exact"/>
              <w:rPr>
                <w:sz w:val="20"/>
                <w:szCs w:val="20"/>
                <w:color w:val="auto"/>
              </w:rPr>
            </w:pPr>
            <w:r>
              <w:rPr>
                <w:rFonts w:ascii="Arial" w:cs="Arial" w:eastAsia="Arial" w:hAnsi="Arial"/>
                <w:sz w:val="13"/>
                <w:szCs w:val="13"/>
                <w:color w:val="auto"/>
              </w:rPr>
              <w:t>Vesting of early exercised stock</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340"/>
              <w:spacing w:after="0"/>
              <w:rPr>
                <w:sz w:val="20"/>
                <w:szCs w:val="20"/>
                <w:color w:val="auto"/>
              </w:rPr>
            </w:pPr>
            <w:r>
              <w:rPr>
                <w:rFonts w:ascii="Arial" w:cs="Arial" w:eastAsia="Arial" w:hAnsi="Arial"/>
                <w:sz w:val="13"/>
                <w:szCs w:val="13"/>
                <w:color w:val="auto"/>
              </w:rPr>
              <w:t>options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0" w:type="dxa"/>
            <w:vAlign w:val="bottom"/>
          </w:tcPr>
          <w:p>
            <w:pPr>
              <w:spacing w:after="0"/>
              <w:rPr>
                <w:sz w:val="1"/>
                <w:szCs w:val="1"/>
                <w:color w:val="auto"/>
              </w:rPr>
            </w:pPr>
          </w:p>
        </w:tc>
      </w:tr>
      <w:tr>
        <w:trPr>
          <w:trHeight w:val="169"/>
        </w:trPr>
        <w:tc>
          <w:tcPr>
            <w:tcW w:w="21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(20,957)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(20,957)</w:t>
            </w:r>
          </w:p>
        </w:tc>
        <w:tc>
          <w:tcPr>
            <w:tcW w:w="0" w:type="dxa"/>
            <w:vAlign w:val="bottom"/>
          </w:tcPr>
          <w:p>
            <w:pPr>
              <w:spacing w:after="0"/>
              <w:rPr>
                <w:sz w:val="1"/>
                <w:szCs w:val="1"/>
                <w:color w:val="auto"/>
              </w:rPr>
            </w:pPr>
          </w:p>
        </w:tc>
      </w:tr>
      <w:tr>
        <w:trPr>
          <w:trHeight w:val="176"/>
        </w:trPr>
        <w:tc>
          <w:tcPr>
            <w:tcW w:w="212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Balance — March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16</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482,071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(230,332)</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251,755</w:t>
            </w:r>
          </w:p>
        </w:tc>
        <w:tc>
          <w:tcPr>
            <w:tcW w:w="0" w:type="dxa"/>
            <w:vAlign w:val="bottom"/>
          </w:tcPr>
          <w:p>
            <w:pPr>
              <w:spacing w:after="0"/>
              <w:rPr>
                <w:sz w:val="1"/>
                <w:szCs w:val="1"/>
                <w:color w:val="auto"/>
              </w:rPr>
            </w:pPr>
          </w:p>
        </w:tc>
      </w:tr>
      <w:tr>
        <w:trPr>
          <w:trHeight w:val="122"/>
        </w:trPr>
        <w:tc>
          <w:tcPr>
            <w:tcW w:w="2120" w:type="dxa"/>
            <w:vAlign w:val="bottom"/>
          </w:tcPr>
          <w:p>
            <w:pPr>
              <w:ind w:left="180"/>
              <w:spacing w:after="0" w:line="122" w:lineRule="exact"/>
              <w:rPr>
                <w:sz w:val="20"/>
                <w:szCs w:val="20"/>
                <w:color w:val="auto"/>
              </w:rPr>
            </w:pPr>
            <w:r>
              <w:rPr>
                <w:rFonts w:ascii="Arial" w:cs="Arial" w:eastAsia="Arial" w:hAnsi="Arial"/>
                <w:sz w:val="13"/>
                <w:szCs w:val="13"/>
                <w:color w:val="auto"/>
              </w:rPr>
              <w:t>Vesting of early exercised stock</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340"/>
              <w:spacing w:after="0"/>
              <w:rPr>
                <w:sz w:val="20"/>
                <w:szCs w:val="20"/>
                <w:color w:val="auto"/>
              </w:rPr>
            </w:pPr>
            <w:r>
              <w:rPr>
                <w:rFonts w:ascii="Arial" w:cs="Arial" w:eastAsia="Arial" w:hAnsi="Arial"/>
                <w:sz w:val="13"/>
                <w:szCs w:val="13"/>
                <w:color w:val="auto"/>
              </w:rPr>
              <w:t>options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0" w:type="dxa"/>
            <w:vAlign w:val="bottom"/>
          </w:tcPr>
          <w:p>
            <w:pPr>
              <w:spacing w:after="0"/>
              <w:rPr>
                <w:sz w:val="1"/>
                <w:szCs w:val="1"/>
                <w:color w:val="auto"/>
              </w:rPr>
            </w:pPr>
          </w:p>
        </w:tc>
      </w:tr>
      <w:tr>
        <w:trPr>
          <w:trHeight w:val="169"/>
        </w:trPr>
        <w:tc>
          <w:tcPr>
            <w:tcW w:w="21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(32,011)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(32,011)</w:t>
            </w: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Balance — June 30,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16</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488,329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(262,343)</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226,002</w:t>
            </w:r>
          </w:p>
        </w:tc>
        <w:tc>
          <w:tcPr>
            <w:tcW w:w="0" w:type="dxa"/>
            <w:vAlign w:val="bottom"/>
          </w:tcPr>
          <w:p>
            <w:pPr>
              <w:spacing w:after="0"/>
              <w:rPr>
                <w:sz w:val="1"/>
                <w:szCs w:val="1"/>
                <w:color w:val="auto"/>
              </w:rPr>
            </w:pPr>
          </w:p>
        </w:tc>
      </w:tr>
      <w:tr>
        <w:trPr>
          <w:trHeight w:val="121"/>
        </w:trPr>
        <w:tc>
          <w:tcPr>
            <w:tcW w:w="2120" w:type="dxa"/>
            <w:vAlign w:val="bottom"/>
          </w:tcPr>
          <w:p>
            <w:pPr>
              <w:ind w:left="180"/>
              <w:spacing w:after="0" w:line="122" w:lineRule="exact"/>
              <w:rPr>
                <w:sz w:val="20"/>
                <w:szCs w:val="20"/>
                <w:color w:val="auto"/>
              </w:rPr>
            </w:pPr>
            <w:r>
              <w:rPr>
                <w:rFonts w:ascii="Arial" w:cs="Arial" w:eastAsia="Arial" w:hAnsi="Arial"/>
                <w:sz w:val="13"/>
                <w:szCs w:val="13"/>
                <w:color w:val="auto"/>
              </w:rPr>
              <w:t>Issuance of common stock upon</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340"/>
              <w:spacing w:after="0"/>
              <w:rPr>
                <w:sz w:val="20"/>
                <w:szCs w:val="20"/>
                <w:color w:val="auto"/>
              </w:rPr>
            </w:pPr>
            <w:r>
              <w:rPr>
                <w:rFonts w:ascii="Arial" w:cs="Arial" w:eastAsia="Arial" w:hAnsi="Arial"/>
                <w:sz w:val="13"/>
                <w:szCs w:val="13"/>
                <w:color w:val="auto"/>
              </w:rPr>
              <w:t>exercise of stock options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186,165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Cancellation of previously issued</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awards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(105,921)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120" w:type="dxa"/>
            <w:vAlign w:val="bottom"/>
          </w:tcPr>
          <w:p>
            <w:pPr>
              <w:ind w:left="180"/>
              <w:spacing w:after="0" w:line="122" w:lineRule="exact"/>
              <w:rPr>
                <w:sz w:val="20"/>
                <w:szCs w:val="20"/>
                <w:color w:val="auto"/>
              </w:rPr>
            </w:pPr>
            <w:r>
              <w:rPr>
                <w:rFonts w:ascii="Arial" w:cs="Arial" w:eastAsia="Arial" w:hAnsi="Arial"/>
                <w:sz w:val="13"/>
                <w:szCs w:val="13"/>
                <w:color w:val="auto"/>
              </w:rPr>
              <w:t>Vesting of early exercised stock</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340"/>
              <w:spacing w:after="0"/>
              <w:rPr>
                <w:sz w:val="20"/>
                <w:szCs w:val="20"/>
                <w:color w:val="auto"/>
              </w:rPr>
            </w:pPr>
            <w:r>
              <w:rPr>
                <w:rFonts w:ascii="Arial" w:cs="Arial" w:eastAsia="Arial" w:hAnsi="Arial"/>
                <w:sz w:val="13"/>
                <w:szCs w:val="13"/>
                <w:color w:val="auto"/>
              </w:rPr>
              <w:t>options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7,147</w:t>
            </w:r>
          </w:p>
        </w:tc>
        <w:tc>
          <w:tcPr>
            <w:tcW w:w="0" w:type="dxa"/>
            <w:vAlign w:val="bottom"/>
          </w:tcPr>
          <w:p>
            <w:pPr>
              <w:spacing w:after="0"/>
              <w:rPr>
                <w:sz w:val="1"/>
                <w:szCs w:val="1"/>
                <w:color w:val="auto"/>
              </w:rPr>
            </w:pPr>
          </w:p>
        </w:tc>
      </w:tr>
      <w:tr>
        <w:trPr>
          <w:trHeight w:val="169"/>
        </w:trPr>
        <w:tc>
          <w:tcPr>
            <w:tcW w:w="21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(12,669)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(12,669)</w:t>
            </w:r>
          </w:p>
        </w:tc>
        <w:tc>
          <w:tcPr>
            <w:tcW w:w="0" w:type="dxa"/>
            <w:vAlign w:val="bottom"/>
          </w:tcPr>
          <w:p>
            <w:pPr>
              <w:spacing w:after="0"/>
              <w:rPr>
                <w:sz w:val="1"/>
                <w:szCs w:val="1"/>
                <w:color w:val="auto"/>
              </w:rPr>
            </w:pPr>
          </w:p>
        </w:tc>
      </w:tr>
      <w:tr>
        <w:trPr>
          <w:trHeight w:val="194"/>
        </w:trPr>
        <w:tc>
          <w:tcPr>
            <w:tcW w:w="212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Balance — September 30,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161,529,449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495,576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(275,012)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220,580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0" w:firstLine="8"/>
        <w:spacing w:after="0" w:line="255"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8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(96,384)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(65,637)</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18,557</w:t>
            </w:r>
          </w:p>
        </w:tc>
        <w:tc>
          <w:tcPr>
            <w:tcW w:w="0" w:type="dxa"/>
            <w:vAlign w:val="bottom"/>
          </w:tcPr>
          <w:p>
            <w:pPr>
              <w:spacing w:after="0"/>
              <w:rPr>
                <w:sz w:val="1"/>
                <w:szCs w:val="1"/>
                <w:color w:val="auto"/>
              </w:rPr>
            </w:pPr>
          </w:p>
        </w:tc>
      </w:tr>
      <w:tr>
        <w:trPr>
          <w:trHeight w:val="213"/>
        </w:trPr>
        <w:tc>
          <w:tcPr>
            <w:tcW w:w="8500" w:type="dxa"/>
            <w:vAlign w:val="bottom"/>
          </w:tcPr>
          <w:p>
            <w:pPr>
              <w:ind w:left="680"/>
              <w:spacing w:after="0"/>
              <w:rPr>
                <w:sz w:val="20"/>
                <w:szCs w:val="20"/>
                <w:color w:val="auto"/>
              </w:rPr>
            </w:pPr>
            <w:r>
              <w:rPr>
                <w:rFonts w:ascii="Arial" w:cs="Arial" w:eastAsia="Arial" w:hAnsi="Arial"/>
                <w:sz w:val="16"/>
                <w:szCs w:val="16"/>
                <w:color w:val="auto"/>
              </w:rPr>
              <w:t>Change in right-of-use asset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8500" w:type="dxa"/>
            <w:vAlign w:val="bottom"/>
          </w:tcPr>
          <w:p>
            <w:pPr>
              <w:ind w:left="680"/>
              <w:spacing w:after="0"/>
              <w:rPr>
                <w:sz w:val="20"/>
                <w:szCs w:val="20"/>
                <w:color w:val="auto"/>
              </w:rPr>
            </w:pPr>
            <w:r>
              <w:rPr>
                <w:rFonts w:ascii="Arial" w:cs="Arial" w:eastAsia="Arial" w:hAnsi="Arial"/>
                <w:sz w:val="16"/>
                <w:szCs w:val="16"/>
                <w:color w:val="auto"/>
              </w:rPr>
              <w:t>Amortization of debt issuance costs and debt discount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warrant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8500" w:type="dxa"/>
            <w:vAlign w:val="bottom"/>
          </w:tcPr>
          <w:p>
            <w:pPr>
              <w:ind w:left="680"/>
              <w:spacing w:after="0"/>
              <w:rPr>
                <w:sz w:val="20"/>
                <w:szCs w:val="20"/>
                <w:color w:val="auto"/>
              </w:rPr>
            </w:pPr>
            <w:r>
              <w:rPr>
                <w:rFonts w:ascii="Arial" w:cs="Arial" w:eastAsia="Arial" w:hAnsi="Arial"/>
                <w:sz w:val="16"/>
                <w:szCs w:val="16"/>
                <w:color w:val="auto"/>
              </w:rPr>
              <w:t>Inventory write down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doubtful accounts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00" w:type="dxa"/>
            <w:vAlign w:val="bottom"/>
          </w:tcPr>
          <w:p>
            <w:pPr>
              <w:ind w:left="680"/>
              <w:spacing w:after="0"/>
              <w:rPr>
                <w:sz w:val="20"/>
                <w:szCs w:val="20"/>
                <w:color w:val="auto"/>
              </w:rPr>
            </w:pPr>
            <w:r>
              <w:rPr>
                <w:rFonts w:ascii="Arial" w:cs="Arial" w:eastAsia="Arial" w:hAnsi="Arial"/>
                <w:sz w:val="16"/>
                <w:szCs w:val="16"/>
                <w:color w:val="auto"/>
              </w:rPr>
              <w:t>Gain from disposal of property and equipment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110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13"/>
        </w:trPr>
        <w:tc>
          <w:tcPr>
            <w:tcW w:w="8500" w:type="dxa"/>
            <w:vAlign w:val="bottom"/>
          </w:tcPr>
          <w:p>
            <w:pPr>
              <w:ind w:left="110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3"/>
        </w:trPr>
        <w:tc>
          <w:tcPr>
            <w:tcW w:w="8500" w:type="dxa"/>
            <w:vAlign w:val="bottom"/>
          </w:tcPr>
          <w:p>
            <w:pPr>
              <w:ind w:left="1100"/>
              <w:spacing w:after="0"/>
              <w:rPr>
                <w:sz w:val="20"/>
                <w:szCs w:val="20"/>
                <w:color w:val="auto"/>
              </w:rPr>
            </w:pPr>
            <w:r>
              <w:rPr>
                <w:rFonts w:ascii="Arial" w:cs="Arial" w:eastAsia="Arial" w:hAnsi="Arial"/>
                <w:sz w:val="16"/>
                <w:szCs w:val="16"/>
                <w:color w:val="auto"/>
              </w:rPr>
              <w:t>Accrued and other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7,060</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Operating lease liability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(83,290)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(45,106)</w:t>
            </w:r>
          </w:p>
        </w:tc>
        <w:tc>
          <w:tcPr>
            <w:tcW w:w="0" w:type="dxa"/>
            <w:vAlign w:val="bottom"/>
          </w:tcPr>
          <w:p>
            <w:pPr>
              <w:spacing w:after="0"/>
              <w:rPr>
                <w:sz w:val="1"/>
                <w:szCs w:val="1"/>
                <w:color w:val="auto"/>
              </w:rPr>
            </w:pPr>
          </w:p>
        </w:tc>
      </w:tr>
      <w:tr>
        <w:trPr>
          <w:trHeight w:val="19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Proceeds from sale of property &amp; equipment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19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Proceeds from the merger and private offering</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291,454</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offering costs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(27,124)</w:t>
            </w: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Repayment of debt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promissory notes to related parties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Repayment of promissory notes to related parties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borrowings, net of debt discount and issuance costs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Proceeds from the issuance of common stock under at-the-market offering, net of commissions and fees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At-the-market offering costs for the issuance of common stock</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Taxes paid related to net share settlement of restricted stock awards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257,826</w:t>
            </w:r>
          </w:p>
        </w:tc>
        <w:tc>
          <w:tcPr>
            <w:tcW w:w="0" w:type="dxa"/>
            <w:vAlign w:val="bottom"/>
          </w:tcPr>
          <w:p>
            <w:pPr>
              <w:spacing w:after="0"/>
              <w:rPr>
                <w:sz w:val="1"/>
                <w:szCs w:val="1"/>
                <w:color w:val="auto"/>
              </w:rPr>
            </w:pPr>
          </w:p>
        </w:tc>
      </w:tr>
      <w:tr>
        <w:trPr>
          <w:trHeight w:val="20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210,946</w:t>
            </w:r>
          </w:p>
        </w:tc>
        <w:tc>
          <w:tcPr>
            <w:tcW w:w="0" w:type="dxa"/>
            <w:vAlign w:val="bottom"/>
          </w:tcPr>
          <w:p>
            <w:pPr>
              <w:spacing w:after="0"/>
              <w:rPr>
                <w:sz w:val="1"/>
                <w:szCs w:val="1"/>
                <w:color w:val="auto"/>
              </w:rPr>
            </w:pPr>
          </w:p>
        </w:tc>
      </w:tr>
      <w:tr>
        <w:trPr>
          <w:trHeight w:val="21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3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223,588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OPERATING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Private placement warrants acquired as part of the merger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00" w:type="dxa"/>
            <w:vAlign w:val="bottom"/>
            <w:vMerge w:val="continue"/>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19,377</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Issuance of redeemable convertible preferred stock upon exercise of warrants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36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vMerge w:val="continue"/>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97,322</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Right-of-use assets obtained in exchange for operating lease liability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Unpaid at-the-market offering costs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8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9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933"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Ouster, Inc. was incorporated in the Cayman Islands on June 4, 2020 as “Colonnade Acquisition Corp”.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Colonnade Acquisition Corp. (“CLA”),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The functional currency for the Company is the United States dollar. All intercompany balances and transactions have been eliminated in consolidation.</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2021 and the notes related thereto, included in the Company’s Annual Report on Form 10-K filed with the Securities and Exchange Commission (“SEC”) on February 28, 2022.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2022 or for any other future years or interim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experienced recurring losses from operations, and negative cash flows from operations. As of September 30, 2022, the Company had an accumulated deficit of approximately $399.7 million. The Company has historically financed its operations primarily through the Merger and related transactions, the sale of convertible notes and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and its ability to raise more capital. In the event that the Company does not generate sufficient cash flows from operations and is unable to obtain funding on acceptable terms or at all, the Company will be forced to delay, reduce, or eliminate some or all of its discretionary spending, which could adversely affect the Company’s business prospects, ability to meet long-term liquidity needs or ability to continue operations.</w:t>
      </w:r>
    </w:p>
    <w:p>
      <w:pPr>
        <w:spacing w:after="0" w:line="2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FASB Accounting Standards Update (“ASU”) No. 2014-15, Presentation of Financial Statements - Going Concern (Subtopic 205-40) requires the Company to make certain disclosures if it concludes that there is substantial doubt about the entity’s ability to continue as a going concern within one year from the date of the issuance of these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Management has determined that the Company has funds that are sufficient to continue as a going concern. The accompanying unaudited condensed consolidated financial statements have been prepared on a going concern basis.</w:t>
      </w:r>
    </w:p>
    <w:p>
      <w:pPr>
        <w:spacing w:after="0" w:line="19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evaluating the Company’s ability to continue as a going concern, the Company considered the conditions and events that could raise substantial doubt about the Company’s ability to continue as a going concern for 12 months following November 8, 2022, the date the Company’s condensed financial statements were issued. Management considered the Company’s current financial condition and liquidity sources, including current funds and available working capital, forecasted future cash flows and the Company’s obligations due before November 8, 2023. As discussed in Note 14 the Company intends to execute the merger transaction with Velodyne Lidar, Inc. (which is subject to usual and customary closing conditions beyond our control). Although there is no assurance that the merger transaction will be successfully completed, the Company believes it can successfully complete the acquisition, enabling it to continue as a going concern. Also, the Company will evaluate whether it can meet its future obligations through the issuance of additional shares. If neither of these occur, the Company would expect to execute plans to reduce operating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Ouster has been actively monitoring the COVID-19 pandemic on a global scale and continues to evaluate the long-term impacts on the business while keeping abreast of the latest developments, particularly the variants of the virus, to ensure preparedness for Ouster’s employees and its business. We maintain our commitment to protecting the health and safety of our employees and customers. We continue to adapt and enhance our safety protocols as we follow the guidance from local authorities. The full extent to which the COVID-19 pandemic will directly or indirectly impact the Company’s business, results of operations and financial condition, including sales, expenses, reserves and allowances, manufacturing, research and development costs and employee-related amounts, will depend on future events that are uncertain, including as a result of new information that continues to emerge concerning the virus, its variants, the deployment and effectiveness of vaccination roll-outs, vaccination hesitancy, therapeutics, and the actions taken to contain the virus or treat it, as well as the economic impact on local, regional, national and international customers and markets. Thus, the Company is not able to estimate the future consequences on its operations, its financial condition, or its liquidity.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 with Colonnade Acquisition Corp. and Beam Merger Sub, Inc.</w:t>
      </w:r>
    </w:p>
    <w:p>
      <w:pPr>
        <w:spacing w:after="0" w:line="171"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color w:val="auto"/>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“Colonnade Merger”), with OTI surviving the Colonnade Merger.</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w:t>
      </w:r>
    </w:p>
    <w:p>
      <w:pPr>
        <w:ind w:firstLine="8"/>
        <w:spacing w:after="0" w:line="268"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Immediately prior to the effective time of the Colonnade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and upon the closing of the Colonnade Merger, among other things, all shares of OTI Capital Stock (after giving effect to the OTI Warrant Settlement) outstanding immediately prior to the closing of the Colonnade Merger together with shares of OTI common stock reserved in respect of options to purchase shares of OTI common stock and restricted shares of OTI common stock (together, the “OTI Awards”) outstanding immediately prior to the closing of the Colonnade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Colonnade Merger, the Company received gross proceeds of $299.9 million from the Colonnade Merger and private offering, offset by $8.5 million of pre-merger costs relating to CLA and offerings costs of $26.6 million.</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Colonnade Merger was accounted for as a reverse recapitalization under US GAAP.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Colonnade Merger, OTI’s operations prior to the Colonnade Merger comprising the only ongoing operations of the Company following the Colonnade Merger, and OTI’s senior management prior to the Colonnade Merger comprising a majority of the senior management of the Company following the Colonnade Merger. Accordingly, for accounting purposes, the financial statements of the Company represent a continuation of the financial statements of OTI with the Colonnade Merger being treated as the equivalent of OTI issuing stock for the net assets of CLA, accompanied by a recapitalization whereby no goodwill or other intangible assets are recorded. Transactions and balances prior to the Colonnade Merger are those of OTI. The shares and net loss per share available to holders of OTI’s common stock prior to the Colonnade Merger have been retroactively restated as shares reflecting the exchange ratio established in the Colonnade Merger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December 21, 2020, concurrently with the execution of the Colonnade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Colonnade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Issuance Sales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29, 2022, the Company entered into an At Market Issuance Sales Agreement (the “ATM Agreement”) with B. Riley Securities, Inc., Cantor Fitzgerald &amp; Co. and Oppenheimer &amp; Co. Inc., pursuant to which the Company may offer and sell, from time to time, through or to the agents, acting as agent or principal, shares of the Company’s common stock having an aggregate offering price of up to $150 million under the Company’s Form S-3 registration statement. From the date of the ATM Agreement through September 30, 2022, the Company sold 7,833,709 shares at a weighted-average sales price of $2.08 per share, resulting in cumulative gross proceeds to the Company totaling approximately $16.8 million before deducting offering costs, sales commissions and fees.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April 29, 2022, the Company entered into a loan and security agreement (the “Loan Agreement”) with Hercules. The Loan Agreement provides with the term loan of up to $50.0 million, subject to terms and conditions. The Company borrowed the initial tranche of $20.0 million on April 29, 2022. The Company may borrow an additional $20.0 million on or before March 15, 2023, subject satisfying certain conditions. An additional $10.0 million may be drawn on or before June 15, 2023, subject to satisfying certain conditions relating to the achievement of trailing twelve-month revenue and profit milestones.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5, Debt.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the nine months ended September 30, 2022, there were no significant changes to the Company’s significant accounting policies as disclosed in the Company’s Annual Report on Form 10-K filed with the SEC on February 28, 2022, except for the changes described below. The Company has consistently applied the accounting policies to all periods presented in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Financing Costs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Financing costs incurred in connection with a loan and security agreement with Hercules Capital, Inc. (“Hercules”) are deferred and amortized using the effective interest rate method over the life of the respective agreement. Any discount or premium on the issuance of any debt is amortized using the effective interest method over the life of the respective debt security.</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presents deferred debt financing costs on the balance sheet as a contra-liability as a direct deduction from the carrying amount of that debt liability, consistent with debt discounts.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(“ASU 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became effective for the Company for annual periods beginning December 15, 2021. The Company adopted this ASU as of January 1, 2022 using a modified retrospective method of transition, which did not have an impact on its condensed consolidated financial statements and related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the applicability and impact of all ASUs. ASUs not referenced below were assessed and determined to be either not applicable or are not expected to have a material impact on the Company’s consolidated financial statements.</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The Company is currently evaluating the impact of the adoption of this ASU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cash equivalents, restricted cash, and accounts receivable. Cash, cash equivalents, and restricted cash are deposited with federally insured commercial banks in the United States; and at times, cash balances may be in excess of federal insurance limits. The Company generally does not require collateral or other security deposits for accounts receivable.</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 representing 10% or more of total accounts receivable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24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4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2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96"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accounted for less than 10% of total accounts receivable in the period.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626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10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62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0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total revenue in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Supplier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Company’s major suppliers representing 10% or more of total purchases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8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Nine Months Ended September 30, 2022</w:t>
            </w:r>
          </w:p>
        </w:tc>
      </w:tr>
      <w:tr>
        <w:trPr>
          <w:trHeight w:val="26"/>
        </w:trPr>
        <w:tc>
          <w:tcPr>
            <w:tcW w:w="5580" w:type="dxa"/>
            <w:vAlign w:val="bottom"/>
            <w:gridSpan w:val="2"/>
          </w:tcPr>
          <w:p>
            <w:pPr>
              <w:spacing w:after="0"/>
              <w:rPr>
                <w:sz w:val="2"/>
                <w:szCs w:val="2"/>
                <w:color w:val="auto"/>
              </w:rPr>
            </w:pPr>
          </w:p>
        </w:tc>
        <w:tc>
          <w:tcPr>
            <w:tcW w:w="174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7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22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Supplier B</w:t>
            </w: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Supplier B accounted for 32% and 55% of total accounts payable balance as of September 30, 2022 and December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0" w:lineRule="exact"/>
        <w:rPr>
          <w:sz w:val="20"/>
          <w:szCs w:val="20"/>
          <w:color w:val="auto"/>
        </w:rPr>
      </w:pPr>
    </w:p>
    <w:p>
      <w:pPr>
        <w:ind w:left="980" w:hanging="56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17" w:lineRule="exact"/>
        <w:rPr>
          <w:rFonts w:ascii="Arial" w:cs="Arial" w:eastAsia="Arial" w:hAnsi="Arial"/>
          <w:sz w:val="18"/>
          <w:szCs w:val="18"/>
          <w:color w:val="auto"/>
        </w:rPr>
      </w:pPr>
    </w:p>
    <w:p>
      <w:pPr>
        <w:ind w:left="980" w:right="360" w:hanging="567"/>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8" w:lineRule="exact"/>
        <w:rPr>
          <w:rFonts w:ascii="Arial" w:cs="Arial" w:eastAsia="Arial" w:hAnsi="Arial"/>
          <w:sz w:val="17"/>
          <w:szCs w:val="17"/>
          <w:color w:val="auto"/>
        </w:rPr>
      </w:pPr>
    </w:p>
    <w:p>
      <w:pPr>
        <w:ind w:left="980" w:hanging="56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Instruments whose significant value drivers are unobservable.</w:t>
      </w:r>
    </w:p>
    <w:p>
      <w:pPr>
        <w:spacing w:after="0" w:line="171"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As of September 30, 2022 and December 31, 2021, the Company’s Level 3 liabilities consisted of the Private Placement warrant liability. The determination of the fair value of warrant liability is discussed in Note 6.</w:t>
      </w:r>
    </w:p>
    <w:p>
      <w:pPr>
        <w:spacing w:after="0" w:line="11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information by level for the Company’s assets and liabilities that were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129,919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129,919</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129,919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33"/>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December 31, 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177,513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177,513</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7,626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are included within Level 1 of the fair value hierarchy because they are valued using quoted market prices.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fair value of the redeemable convertible preferred stock warrant, redeemable convertible preferred stock tranche and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80" w:type="dxa"/>
            <w:vAlign w:val="bottom"/>
          </w:tcPr>
          <w:p>
            <w:pPr>
              <w:spacing w:after="0"/>
              <w:rPr>
                <w:sz w:val="10"/>
                <w:szCs w:val="10"/>
                <w:color w:val="auto"/>
              </w:rPr>
            </w:pPr>
          </w:p>
        </w:tc>
        <w:tc>
          <w:tcPr>
            <w:tcW w:w="126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w w:val="91"/>
              </w:rPr>
              <w:t>Private Placement</w:t>
            </w:r>
          </w:p>
        </w:tc>
        <w:tc>
          <w:tcPr>
            <w:tcW w:w="0" w:type="dxa"/>
            <w:vAlign w:val="bottom"/>
          </w:tcPr>
          <w:p>
            <w:pPr>
              <w:spacing w:after="0"/>
              <w:rPr>
                <w:sz w:val="1"/>
                <w:szCs w:val="1"/>
                <w:color w:val="auto"/>
              </w:rPr>
            </w:pPr>
          </w:p>
        </w:tc>
      </w:tr>
      <w:tr>
        <w:trPr>
          <w:trHeight w:val="122"/>
        </w:trPr>
        <w:tc>
          <w:tcPr>
            <w:tcW w:w="8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Warrant Liability</w:t>
            </w:r>
          </w:p>
        </w:tc>
        <w:tc>
          <w:tcPr>
            <w:tcW w:w="180" w:type="dxa"/>
            <w:vAlign w:val="bottom"/>
          </w:tcPr>
          <w:p>
            <w:pPr>
              <w:spacing w:after="0"/>
              <w:rPr>
                <w:sz w:val="15"/>
                <w:szCs w:val="15"/>
                <w:color w:val="auto"/>
              </w:rPr>
            </w:pPr>
          </w:p>
        </w:tc>
        <w:tc>
          <w:tcPr>
            <w:tcW w:w="1260" w:type="dxa"/>
            <w:vAlign w:val="bottom"/>
          </w:tcPr>
          <w:p>
            <w:pPr>
              <w:jc w:val="right"/>
              <w:ind w:right="155"/>
              <w:spacing w:after="0"/>
              <w:rPr>
                <w:sz w:val="20"/>
                <w:szCs w:val="20"/>
                <w:color w:val="auto"/>
              </w:rPr>
            </w:pPr>
            <w:r>
              <w:rPr>
                <w:rFonts w:ascii="Arial" w:cs="Arial" w:eastAsia="Arial" w:hAnsi="Arial"/>
                <w:sz w:val="13"/>
                <w:szCs w:val="13"/>
                <w:b w:val="1"/>
                <w:bCs w:val="1"/>
                <w:color w:val="auto"/>
                <w:w w:val="98"/>
              </w:rPr>
              <w:t>Warrant Liability</w:t>
            </w: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Change in the fair value included in other income (expense), net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48"/>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Private placement warrant liability acquired as part of the Colonnade Merger</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the fair value included in other income (expense),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Issuance of preferred stock upon exercise of warrants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that are not re-measured at fair value include accounts receivable, accounts payable, accrued and other current liabilities and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these financial instruments approximate their fair values.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consist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177,513</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133,189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182,644</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right="20"/>
        <w:spacing w:after="0" w:line="22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 maintains a cash sweep account, which is included in money market funds as of September 30, 2022. Cash is invested in short-term money market funds that earn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Restricted cash consists of certificates of deposit held by a bank as security for outstanding letters of credit. In September 2022, the Company received $0.7 million of restricted cash balance that was related to a deposit in connection with the execution of a respective lease contract at 2741 16th Street. The Company had a restricted cash balance of $1.3 million and $2.0 million as of September 30, 2022 and December 31, 2021, respectively, which has been excluded from the Company’s cash and cash equivalents balances. The Company presented $0.3 million and $1.0 million of the total amount of restricted cash within current assets on the condensed consolidated balance sheets as of September 30, 2022 and December 31, 2021, respectively. The remaining restricted cash balance of $1.1 million and $1.0 million is included in non-current assets on the condensed consolidated balance sheets as of September 30, 2022 and December 31, 2021, respectively.</w:t>
      </w:r>
    </w:p>
    <w:p>
      <w:pPr>
        <w:spacing w:after="0" w:line="1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Reconciliation of cash, cash equivalents and restricted cash as shown in the condensed consolidated statement of cash flows to the respective accounts within the condensed consolidated balance sheet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221,576</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223,588</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consisting of material, direct and indirect labor, and manufacturing overhead,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inventory balance as of September 30, 2022 and December 31, 2021 includes a write down of $2.2 million and $1.7 million, respectively, for obsolete, scrap, or returned inventory. During the three months ended September 30, 2022 and 2021, $0.5 million and $0.7 million of inventory write offs were charged to cost of revenue. During the nine months ended September 30, 2022 and 2021, respectively, $0.9 million and $0.9 million of inventory write offs were charged to cost of revenue. During the three and nine months ended September 30, 2022, $0.3 million of inventory write offs were charged to research and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0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contract manufacturer</w:t>
            </w:r>
          </w:p>
        </w:tc>
        <w:tc>
          <w:tcPr>
            <w:tcW w:w="4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40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prepaid and other current assets</w:t>
            </w:r>
          </w:p>
        </w:tc>
        <w:tc>
          <w:tcPr>
            <w:tcW w:w="4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360" w:type="dxa"/>
            <w:vAlign w:val="bottom"/>
          </w:tcPr>
          <w:p>
            <w:pPr>
              <w:jc w:val="center"/>
              <w:ind w:left="935"/>
              <w:spacing w:after="0"/>
              <w:rPr>
                <w:sz w:val="20"/>
                <w:szCs w:val="20"/>
                <w:color w:val="auto"/>
              </w:rPr>
            </w:pPr>
            <w:r>
              <w:rPr>
                <w:rFonts w:ascii="Arial" w:cs="Arial" w:eastAsia="Arial" w:hAnsi="Arial"/>
                <w:sz w:val="14"/>
                <w:szCs w:val="14"/>
                <w:b w:val="1"/>
                <w:bCs w:val="1"/>
                <w:color w:val="auto"/>
                <w:w w:val="94"/>
              </w:rPr>
              <w:t>Estimated Useful Life</w:t>
            </w: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392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jc w:val="center"/>
              <w:ind w:left="935"/>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360" w:type="dxa"/>
            <w:vAlign w:val="bottom"/>
          </w:tcPr>
          <w:p>
            <w:pPr>
              <w:jc w:val="center"/>
              <w:ind w:left="955"/>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and vehicle hardware</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Software</w:t>
            </w:r>
          </w:p>
        </w:tc>
        <w:tc>
          <w:tcPr>
            <w:tcW w:w="4360" w:type="dxa"/>
            <w:vAlign w:val="bottom"/>
          </w:tcPr>
          <w:p>
            <w:pPr>
              <w:jc w:val="center"/>
              <w:ind w:left="955"/>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91"/>
              </w:rPr>
              <w:t>Shorter of useful life or lease term</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r>
      <w:tr>
        <w:trPr>
          <w:trHeight w:val="223"/>
        </w:trPr>
        <w:tc>
          <w:tcPr>
            <w:tcW w:w="39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20,794</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43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r>
      <w:tr>
        <w:trPr>
          <w:trHeight w:val="21"/>
        </w:trPr>
        <w:tc>
          <w:tcPr>
            <w:tcW w:w="3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expense associated with property and equipment was $3.7 million and $2.3 million in the nine months ended September 30, 2022 and 2021,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 Net</w:t>
      </w:r>
    </w:p>
    <w:p>
      <w:pPr>
        <w:spacing w:after="0" w:line="117"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In the fourth quarter of 2021, the Company completed the acquisition of Sense Photonics Inc. (“Sense”), a privately held lidar technology company for autonomous vehicles. The transaction has been accounted for as a business combination. The Company purchased all of the outstanding shares of the capital stock of Sense and settled all Sense debt for total consideration of $72.8 million. Goodwill represents the excess of the purchase price over the preliminary estimated fair values of the identifiable assets and assumed liabilities acquired and is primarily attributable to the assembled workforce and expected synergies at the time of the acquisition. Goodwill is not deductible for tax purposes.</w:t>
      </w:r>
    </w:p>
    <w:p>
      <w:pPr>
        <w:spacing w:after="0" w:line="20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assesses goodwill for impairment during the fourth quarter of each year or more often if deemed necessary. As of September 30, 2022, the Company with the assistance of third-party valuation specialist performed an interim impairment test of its goodwill as a result of the decline in market conditions and updated outlook as a result of the impact of market uncertainties that prolonged sales cycle. The Company’s reporting unit fair value was determined based on a discounted future cash flow model (income approach). The estimated fair value of the reporting unit exceeded its carrying value by approximately 4% as of September 30, 2022. Accordingly, the Company determined that goodwill was not impaired as of September 30, 2022.</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Given this level of fair value, in the event the financial performance of the Company does not meet management’s current expectations in the future or the Company experiences prolonged market downturns or persistent declines in the Company’s stock price, worsening trends from the COVID-19 pandemic, or there are other negative revisions to key assumptions, the Company may be required to perform additional impairment analyses and could be required to recognize a non-cash goodwill impairment charge. As of September 30, 2022, goodwill was $51.2 million.</w:t>
      </w:r>
    </w:p>
    <w:p>
      <w:pPr>
        <w:spacing w:after="0" w:line="19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Measurement period adjustments recognized during 2022 related primarily to updated estimated fair values for assumed employer withholding tax liabilities, royalty liability and a net working capital adjustment. A reconciliation of preliminary total consideration as of December 31, 2021, and total consideration as of September 30, 2022, are presented below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Measurement Period</w:t>
            </w:r>
          </w:p>
        </w:tc>
        <w:tc>
          <w:tcPr>
            <w:tcW w:w="140" w:type="dxa"/>
            <w:vAlign w:val="bottom"/>
          </w:tcPr>
          <w:p>
            <w:pPr>
              <w:spacing w:after="0"/>
              <w:rPr>
                <w:sz w:val="14"/>
                <w:szCs w:val="14"/>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As Adjusted Value</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common stock issued at closing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59,666</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Fully vested replacement equity awards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 paid at closing to settle Sense pre-existing debt and transaction costs incurred by Sense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Total consideration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72,450</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Measurement Period</w:t>
            </w:r>
          </w:p>
        </w:tc>
        <w:tc>
          <w:tcPr>
            <w:tcW w:w="140" w:type="dxa"/>
            <w:vAlign w:val="bottom"/>
          </w:tcPr>
          <w:p>
            <w:pPr>
              <w:spacing w:after="0"/>
              <w:rPr>
                <w:sz w:val="14"/>
                <w:szCs w:val="14"/>
                <w:color w:val="auto"/>
              </w:rPr>
            </w:pPr>
          </w:p>
        </w:tc>
        <w:tc>
          <w:tcPr>
            <w:tcW w:w="13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As Adjusted Value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assumed: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72,450</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acquired intangible assets, net as of September 30, 2022 and December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Arial" w:cs="Arial" w:eastAsia="Arial" w:hAnsi="Arial"/>
                <w:sz w:val="14"/>
                <w:szCs w:val="14"/>
                <w:b w:val="1"/>
                <w:bCs w:val="1"/>
                <w:color w:val="auto"/>
                <w:w w:val="92"/>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360" w:type="dxa"/>
            <w:vAlign w:val="bottom"/>
          </w:tcPr>
          <w:p>
            <w:pPr>
              <w:jc w:val="center"/>
              <w:ind w:left="977"/>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Arial" w:cs="Arial" w:eastAsia="Arial" w:hAnsi="Arial"/>
                <w:sz w:val="18"/>
                <w:szCs w:val="18"/>
                <w:color w:val="auto"/>
                <w:w w:val="79"/>
              </w:rPr>
              <w:t>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3360" w:type="dxa"/>
            <w:vAlign w:val="bottom"/>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2"/>
        </w:trPr>
        <w:tc>
          <w:tcPr>
            <w:tcW w:w="3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Arial" w:cs="Arial" w:eastAsia="Arial" w:hAnsi="Arial"/>
                <w:sz w:val="14"/>
                <w:szCs w:val="14"/>
                <w:b w:val="1"/>
                <w:bCs w:val="1"/>
                <w:color w:val="auto"/>
                <w:w w:val="92"/>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Arial" w:cs="Arial" w:eastAsia="Arial" w:hAnsi="Arial"/>
                <w:sz w:val="18"/>
                <w:szCs w:val="18"/>
                <w:color w:val="auto"/>
                <w:w w:val="79"/>
              </w:rPr>
              <w:t>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15,569</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3360" w:type="dxa"/>
            <w:vAlign w:val="bottom"/>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$3.4 million in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Years:</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(the remainder of 2022)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Uninvoiced receipts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ESPP contributions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Runway Growth Loan Agreement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was no longer attainable or ceased to fairly reflect the costs of the lender, in which case the applicable interest rate would have been Prime Rate plus 6.0%. In an event of default, annual interest would have been increased by 5.0% above the otherwise applicable rate.</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conjunction with the Runway Loan and Security Agreement, OTI issued a warrant to purchase 35,348 shares of Series A redeemable convertible preferred stock (the “Series A Preferred Stock”) of OTI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OTI amended the warrant issued to Runway Growth to increase the number of shares available to purchase to 53,023 shares of Series A Preferred Stock of OTI. The aggregate value of the warrants increased by $0.1 million after the warrant modification.</w:t>
      </w:r>
    </w:p>
    <w:p>
      <w:pPr>
        <w:spacing w:after="0" w:line="13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warrants were exercised on March 11, 2021 and the warrant liability was remeasured to fair value with the increase recognized as a loss of $0.6 million for the three months ended March 31, 2021 within other income (expense), net in the consolidated statements of operations and comprehensive loss. The warrant liability was remeasured to fair value as of March 31, 2021 and the reduction was recognized as a gain of $0.2 million.</w:t>
      </w:r>
    </w:p>
    <w:p>
      <w:pPr>
        <w:spacing w:after="0" w:line="9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September 30, 2022 and December 31, 2021, the outstanding principal balance of the loan was nil,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7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Company issued a $5 million promissory note in January 2021 to certain current investors of the Company (or their respective affiliates) to help continue to fund the Company’s ongoing operations through the consummation of the Colonnade Merger. The note accrued interest at a rate equal to LIBOR plus 8.5% per annum and was repaid on March 11, 2021 in accordance with its terms in connection with the consummation of the Colonnade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29, 2022, the Company entered into the Loan Agreement with Hercules. The Loan Agreement provides the Company with a term loan of up to $50.0 million, subject to terms and conditions. The Company borrowed the initial tranche of $20.0 million on April 29, 2022. The Company may borrow an additional $20.0 million on or before March 15, 2023, subject satisfying certain conditions. An additional $10.0 million may be drawn on or before June 15, 2023, subject to satisfying certain conditions relating to the achievement of trailing twelve-month revenue and profit milestones.</w:t>
      </w:r>
    </w:p>
    <w:p>
      <w:pPr>
        <w:spacing w:after="0" w:line="19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Advances under the Loan Agreement bear interest at the rate of interest equal to greater of either (i) (x) the prime rate as reported in The Wall Street Journal plus (y) 6.15%, and (ii) 9.40%, subject to compliance with financial covenants and other conditions. The Loan Agreement includes covenants, limitations, and events of default customary for similar facilities. The Loan Agreement matures on May 1, 2026.</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on amounts borrowed under the Loan Agreement is payable on a monthly basis until June 1, 2025. After June 1, 2025, payments consist of equal monthly installments of principal and interest payable until the secured obligations are repaid in full. However, if the Company achieves certain equity proceeds, revenue or profit targets for the twelve-month period ending December 31, 2023, then the interest-only payments will continue and the Company will be obligated to repay the aggregate principal amount on May 1, 2026. The entire principal balance and all accrued but unpaid interest shall be due and payable on May 1, 2026. On the earliest to occur of May 1, 2026, the date on which the obligations under the Loan Agreement are paid and the date on which such obligations become due and payable, the Company is also required to pay Hercules an end of term charge from $1.5 million to $3.7 million, depending on the amount borrowed.</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is 14.3% after giving effect to the debt discount, debt issuance costs and the end of term charge. Amortization expense included in the interest expense related to debt discount and debt issuance costs of the Loan Agreement was not material for the three and nine months ended September 30, 2022.</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may prepay the principal of any advance made pursuant to the terms of the Term Loan Facility at any time subject to a prepayment charge equal to: 2.50%, if such advance is prepaid in any of the first 12 months following the Closing Date, 1.50%, if such advance is prepaid after 12 months but prior to 24 months following the Closing Date, and 1.0%, if such advance is prepaid anytime thereafter.</w:t>
      </w:r>
    </w:p>
    <w:p>
      <w:pPr>
        <w:spacing w:after="0" w:line="19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If the Company failed to maintain an unrestricted cash balance of $60.0 million, it would then be subject to a financial covenant that requires the Company to achieve certain trailing twelve-month revenue targets tested quarterly as set forth in the Loan Agreement and commencing with the quarter ending on June 30, 2023. All obligations under the Loan Agreement are unconditionally guaranteed by the Company’s subsidiary Sense Photonics, Inc. The Term Loan Facility is secured by substantially all of the Company’s and the guarantors’ existing and after-acquired assets, including all intellectual property, all securities in existing and future domestic subsidiaries and 65.0% of the securities in foreign subsidiaries, subject to certain exceptions and exclusions.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Loan Agreement contains customary covenants for transactions of this type and other covenants agreed to by the parties, including, among others, (i) the provision of annual, quarterly and monthly financial statements, management rights and insurance policies and (ii) restrictions on incurring debt, granting liens, making acquisitions, making loans, paying dividends, dissolving, and entering into leases and asset sales. The Loan Agreement also provides for customary events of default, including, among others, payment, bankruptcy, covenant, representation and warranty, change of control, judgment and material adverse effect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summarized below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9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Less: unamortized debt discount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3"/>
        </w:trPr>
        <w:tc>
          <w:tcPr>
            <w:tcW w:w="980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19,181</w:t>
            </w:r>
          </w:p>
        </w:tc>
      </w:tr>
      <w:tr>
        <w:trPr>
          <w:trHeight w:val="21"/>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unamortized debt discount and debt issuance costs are amortized to interest expense over the life of the instrument using the effective interest rate method.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and B Redeemable Convertible Preferred Stock Warrants</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November 27, 2018, in connection with the execution of the prior Loan and Security Agreement (the “Runway Loan and Security Agreement”), OTI issued a warrant to purchase 35,348 shares of Series A Preferred Stock of OTI at an exercise price of $11.3518 per share (the “Runway warrant”). On August 5, 2019, in connection with the second amendment to the Runway Loan and Security Agreement, OTI amended the Runway warrant to increase the number of shares available to purchase to 53,023 shares of Series A Preferred Stock of OTI at an exercise price of $11.3518 per share.</w:t>
      </w:r>
    </w:p>
    <w:p>
      <w:pPr>
        <w:spacing w:after="0" w:line="10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Runway warrants included a cashless exercise provision under which their holders could, in lieu of payment of the exercise price in cash, surrender the Runway warrant and receive a net amount of shares based on the fair market value of OTI’s stock at the time of exercise of the warrants after deduction of the aggregate exercise price. The Runway warrants contained provisions for adjustment of the exercise price and number of shares issuable upon the exercise of the Runway warrants in the event of certain stock dividends, stock splits, reorganizations, reclassifications, and consolidations.</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fair value of the warrants issued was recorded as of the date of initial issuance in the amount of $0.1 million. The subsequent issuance of warrants pursuant to the August 5, 2019 amendment to the Runway Loan and Security Agreement was recorded in the amount of $0.1 million. Immediately prior to the Colonnade Merger, the warrants were exercised in full in accordance with their terms.</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April 3, 2020, in connection with the closing of the Series B redeemable convertible preferred stock, OTI issued a warrant to purchase 4,513,993 shares of Series B redeemable convertible preferred stock of the Company at an exercise price of $0.3323 per share (the “Series B warrants”). The Series B warrants could be exercised prior to the earliest to occur of (i) the 10-year anniversary of the date of issuance, (ii) the consummation of a liquidation transaction, or (iii) the consummation of an initial public offering. The Series B warrants included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the Series B warrants in the event of certain stock dividends, stock splits, reorganizations, reclassifications, and consolidations.</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nine months ended September 30, 2021, classified within other income (expense), net in the consolidated statements of operations and comprehensive loss. Upon exercise, redeemable convertible preferred stock converted into common stock pursuant to the conversion rate effective immediately prior to the Colonnade Merger.</w:t>
      </w:r>
    </w:p>
    <w:p>
      <w:pPr>
        <w:spacing w:after="0" w:line="10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Historically, value was assigned to each class of equity securities using an option pricing model method (“OPM”). In September 2020, OTI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OTI, assuming various outcomes. As the probability of a transaction with a special purpose acquisition company (“SPAC”) increased, the fair value of the redeemable convertible preferred stock warrant liability increased as of the date of the exercise.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redeemable convertible preferred stock warrants were valued using the following assumptions under the Black-Scholes option-pricing model: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Initial Issuance</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Subsequent</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11,</w:t>
            </w: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11,</w:t>
            </w:r>
          </w:p>
        </w:tc>
      </w:tr>
      <w:tr>
        <w:trPr>
          <w:trHeight w:val="192"/>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Issuance Date</w:t>
            </w: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8.44</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2.00</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0.13 %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became exercisable 12 months following the closing of the Company’s IPO, and will expire five years from the completion of the Colonnade Merger, or earlier upon redemption or liquidation. On March 11, 2021, each outstanding Private Placement warrant automatically converted into a warrant to purchase one share of Ouster common stock pursuant to the Warrant Agreement, at an exercise price of $11.50 per share.</w:t>
      </w:r>
    </w:p>
    <w:p>
      <w:pPr>
        <w:spacing w:after="0" w:line="10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private placement warrant liability was remeasured to fair value as of September 30, 2022, resulting in a gain of $0.2 million and $7.4 million for the three and nine months ended September 30, 2022, respectively, classified within other income (expense), net in the condensed consolidated statements of operations and comprehensive loss. The private placement warrant liability was remeasured to fair value as of September 30, 2021 resulting in a loss of $14.5 million and $8.4 million for the three and nine months ended September 30, 2021, respectively, classified within other income (expense), net in the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warrants were valued using the following assumptions under the Black-Scholes option-pricing model: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r>
      <w:tr>
        <w:trPr>
          <w:trHeight w:val="25"/>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0.96</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Exercise price of warrant</w:t>
            </w:r>
          </w:p>
        </w:tc>
        <w:tc>
          <w:tcPr>
            <w:tcW w:w="14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ind w:left="84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Arial" w:cs="Arial" w:eastAsia="Arial" w:hAnsi="Arial"/>
                <w:sz w:val="18"/>
                <w:szCs w:val="18"/>
                <w:color w:val="auto"/>
              </w:rPr>
              <w:t>11.5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3.44</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0" w:type="dxa"/>
            <w:vAlign w:val="bottom"/>
          </w:tcPr>
          <w:p>
            <w:pPr>
              <w:spacing w:after="0"/>
              <w:rPr>
                <w:sz w:val="19"/>
                <w:szCs w:val="19"/>
                <w:color w:val="auto"/>
              </w:rPr>
            </w:pPr>
          </w:p>
        </w:tc>
        <w:tc>
          <w:tcPr>
            <w:tcW w:w="1400" w:type="dxa"/>
            <w:vAlign w:val="bottom"/>
          </w:tcPr>
          <w:p>
            <w:pPr>
              <w:ind w:left="760"/>
              <w:spacing w:after="0"/>
              <w:rPr>
                <w:sz w:val="20"/>
                <w:szCs w:val="20"/>
                <w:color w:val="auto"/>
              </w:rPr>
            </w:pPr>
            <w:r>
              <w:rPr>
                <w:rFonts w:ascii="Arial" w:cs="Arial" w:eastAsia="Arial" w:hAnsi="Arial"/>
                <w:sz w:val="18"/>
                <w:szCs w:val="18"/>
                <w:color w:val="auto"/>
                <w:w w:val="93"/>
              </w:rPr>
              <w:t>46.00 %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ind w:left="760"/>
              <w:spacing w:after="0"/>
              <w:rPr>
                <w:sz w:val="20"/>
                <w:szCs w:val="20"/>
                <w:color w:val="auto"/>
              </w:rPr>
            </w:pPr>
            <w:r>
              <w:rPr>
                <w:rFonts w:ascii="Arial" w:cs="Arial" w:eastAsia="Arial" w:hAnsi="Arial"/>
                <w:sz w:val="18"/>
                <w:szCs w:val="18"/>
                <w:color w:val="auto"/>
                <w:w w:val="90"/>
              </w:rPr>
              <w:t>57.00 %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ind w:left="780"/>
              <w:spacing w:after="0"/>
              <w:rPr>
                <w:sz w:val="20"/>
                <w:szCs w:val="20"/>
                <w:color w:val="auto"/>
              </w:rPr>
            </w:pPr>
            <w:r>
              <w:rPr>
                <w:rFonts w:ascii="Arial" w:cs="Arial" w:eastAsia="Arial" w:hAnsi="Arial"/>
                <w:sz w:val="18"/>
                <w:szCs w:val="18"/>
                <w:color w:val="auto"/>
                <w:w w:val="90"/>
              </w:rPr>
              <w:t>69.24 %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0.90 %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9"/>
              </w:rPr>
              <w:t>1.14 %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4.21 %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CLA, in its IPO in August 2020, issued 20,000,000 units that each consisted of one Class A ordinary share and one-half warrant to purchase a Class A ordinary share, which the Company refers to as CLA warrants before the Colonnade Merger and Public warrants after the Colonnade Merger. These warrants may only be exercised for a whole number of shares, and no fractional warrants were issued or issuable upon separation of the units and only whole warrants will trade. The warrants became exercisable 12 months following the closing of the Company’s IPO, and will expire five years from the completion of the Colonnade Merger, or earlier upon redemption or liquidation. Each Public warrant is exercisable at a price of $11.50 per share. On March 11, 2021, upon the closing of the Colonnade Merger pursuant to the Colonnade Merger Agreement (Note 1), each of the 9,999,996 outstanding warrants, as adjusted for any fractional warrants that were not issued upon separation, was converted automatically into a redeemable Public warrant to purchase one share of the Company’s common stock. The Public warrants were recognized as equity upon the Colonnade Merger in the amount of $17.9 million.</w:t>
      </w:r>
    </w:p>
    <w:p>
      <w:pPr>
        <w:spacing w:after="0" w:line="19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Prior to their expiration, the Company may redeem the Public warrants at a price of $0.01 per warrant, provided that the closing price of the Company’s common stock equals or exceeds $18.00 per share for any 20 trading days within a 30 trading-day period ending on the third trading day prior to the date on which the Company gives proper notice of such redemption to the warrants holders.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certain office leasehold interests in real property located in San Francisco (350 Treat Ave and, 2741 16th Street) and in Paris (5, rue Coq Héron),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September 30, 2022 and December 31, 2021. The outstanding amount of the letters of credit was $1.3 million and $2.0 million as of September 30, 2022 and December 31,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2022, the Company had non-cancelable purchase commitments to a third-party contract manufacturer for approximately $26.0 million and other vendors for approximately $7.5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involved in various legal proceedings arising in the ordinary course of business. The Company accrues a liability when a loss is considered probable and the amount can be reasonably estimated. Legal fees are expensed as incurred.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made no accruals with respect to the following:</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June 10, 2021, the Company received a letter from the SEC notifying us of an investigation and document subpoena. The subpoena seeks documents regarding projected financial information in CLA’s Form S-4 registration statement filed on December 22, 2020. The Company has complied with the SEC’s requests to date; however, the SEC may request additional documents or information.</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14, 2022, Velodyne Lidar USA, Inc. (“Velodyne”) filed a lawsuit against the Company relating to two patents and requested an International Trade Commission proceeding with respect to the same two patents. On July 8, 2022, the Company filed a complaint against Velodyne, alleging multiple claims including intellectual property misappropriation and false advertising. While the cases remain pending, the Company and Velodyne have agreed that no later than seven days after the execution of the merger agreement with Velodyne (the “Velodyne Merger Agreement”), each will cooperate to take certain actions in connection with dismissing these pending litigation matters between the Company and Velodyne and moving to terminate United States International Trade Commission Investigation No. 337-TA-1332. There can be no assurances that such matters will ultimately be dismissed.</w:t>
      </w:r>
    </w:p>
    <w:p>
      <w:pPr>
        <w:spacing w:after="0" w:line="191" w:lineRule="exact"/>
        <w:rPr>
          <w:sz w:val="20"/>
          <w:szCs w:val="20"/>
          <w:color w:val="auto"/>
        </w:rPr>
      </w:pPr>
    </w:p>
    <w:p>
      <w:pPr>
        <w:ind w:right="320"/>
        <w:spacing w:after="0" w:line="438" w:lineRule="auto"/>
        <w:rPr>
          <w:sz w:val="20"/>
          <w:szCs w:val="20"/>
          <w:color w:val="auto"/>
        </w:rPr>
      </w:pPr>
      <w:r>
        <w:rPr>
          <w:rFonts w:ascii="Arial" w:cs="Arial" w:eastAsia="Arial" w:hAnsi="Arial"/>
          <w:sz w:val="18"/>
          <w:szCs w:val="18"/>
          <w:color w:val="auto"/>
        </w:rPr>
        <w:t xml:space="preserve">Other than as set forth above, as of September 30, 2022 and December 31, 2021 there were no material updates and no other material litigation matters. </w:t>
      </w:r>
      <w:r>
        <w:rPr>
          <w:rFonts w:ascii="Arial" w:cs="Arial" w:eastAsia="Arial" w:hAnsi="Arial"/>
          <w:sz w:val="18"/>
          <w:szCs w:val="18"/>
          <w:b w:val="1"/>
          <w:bCs w:val="1"/>
          <w:i w:val="1"/>
          <w:iCs w:val="1"/>
          <w:color w:val="auto"/>
        </w:rPr>
        <w:t>Indemnification</w:t>
      </w:r>
    </w:p>
    <w:p>
      <w:pPr>
        <w:spacing w:after="0" w:line="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19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willful misconduct of the individual. To date, the Company has never incurred costs to defend lawsuits or settle claims related to these indemnity agreements. The unaudited condensed consolidated financial statements do not include a liability for any potential obligations under the indemnification agreements at September 30, 2022 and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and Common Stock</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common stock and warrants trade on the New York Stock Exchange under the symbol “OUST” and “OUSTWS”, respectively. Pursuant to the terms of the Second Amended and Restated Certificate of Incorporation, the Company is authorized to issue the following shares and classes of capital stock, each with a par value of $0.0001 per share: (i) 1,000,000,000 shares of common stock; (ii) 100,000,000 shares of preferred stock. Immediately following the Colonnade Merger, there were 161,449,205 shares of common stock with a par value of $0.0001, and 15,999,996 warrants outstanding. The holder of each share of common stock is entitled to one vote.</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March 11, 2021 to give effect to the exchange ratio established in the Colonnade Merger Agreement to determine the number of shares of common stock into which they were converted.</w:t>
      </w:r>
    </w:p>
    <w:p>
      <w:pPr>
        <w:spacing w:after="0" w:line="11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Immediately prior to the Colonnade Merger, OTI’s certificate of incorporation, as amended, authorized it to issue 342,367,887 shares of $0.00001 par value, with 210,956,516 shares designated as common stock and 131,411,372 shares of redeemable convertible preferred stock.</w:t>
      </w:r>
    </w:p>
    <w:p>
      <w:pPr>
        <w:spacing w:after="0" w:line="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11, 2021, upon the closing of the Transaction pursuant to the Colonnade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September 30, 2022 and December 31, 2021, the Company does not have any redeemable convertible preferred stock outstanding.</w:t>
      </w:r>
    </w:p>
    <w:p>
      <w:pPr>
        <w:spacing w:after="0" w:line="13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29, 2022, the Company entered into an At-Market-Issuance Sales Agreement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1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From the date of the ATM Agreement through September 30, 2022, the Company sold 7,833,709 shares at a weighted-average sales price of $2.08 per share, resulting in cumulative gross proceeds to the Company totaling approximately $16.8 million before deducting offering costs, sales commissions and fees. Cumulative net proceeds to the Company totaled approximately $15.8 million after deducting offering costs, sales commissions and fees. The Company plans to use the net proceeds from this offering for working capital and general corporate purposes.</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September 2022, the Company suspended sales of common stock through its ATM Agreement. The remaining availability under the ATM Agreement as of September 30, 2022 is approximately $133.2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September 30, 2022, the Company has four equity incentive plans, the 2015 Stock Plan (the “2015 Plan”), the Sense 2017 Equity Incentive Plan (the “Sense Plan”), the 2021 Incentive Award Plan (the “2021 Plan”) and 2022 Employee Stock Purchase Plan (the “2022 ESPP” and, collectively with the 2015 Plan, the Sense Plan and the 2021 Plan, together the “Plans”).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Plans provide for the grant of stock options, stock appreciation rights, restricted stock awards (“RSA”), restricted stock units (“RSUs”), performance stock unit awards and other forms of equity compensation (collectively, “equity awards”). In addition, the 2021 Plan provides for the grant of performance bonus awards. All awards under the Plans may be granted to employees, including officers, and awards under the 2015 Plan, Sense Plan and 2021 Plan also may be granted to directors and consultants, in each case, within the limits defined in the Plans.</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 Under the 2022 ESPP, the purchase price of a share under the ESPP equals 85% of the lesser of the fair market value of a share of common stock on either the first or last day of each offering period, but no less than the par value per share of common stock. As of September 30, 2022, 6.9 million shares of our common stock were available for issuance under the 2022 ESPP. The stock-based compensation expense is calculated as of the beginning of the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offering period as the fair value of the 2022 ESPP shares utilizing the Black-Scholes option valuation model and is recognized over the offering period. The</w:t>
      </w:r>
    </w:p>
    <w:p>
      <w:pPr>
        <w:spacing w:after="0" w:line="59"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first offering period under the 2022 ESPP commenced on September 6, 2022. As of September 30, 2022, the maximum number of shares that may be issued under the first offering period was 349,630 shares of our common stock, but no shares were issued under the 2022 ESPP.</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condensed consolidated balance sheets.</w:t>
      </w:r>
    </w:p>
    <w:p>
      <w:pPr>
        <w:spacing w:after="0" w:line="19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October 12, 2020, certain executives and employees issued the Company partial recourse promissory notes with an aggregate principal of $1.1 million. The promissory notes carried a 0.38% annual interest rate and were due on the earliest of the ninth anniversary of the date of issuance of the notes, the termination of employment of the executive/employee, the filing by the Company of a registration statement under the Securities Act of 1933, the promissory notes being prohibited under Section 13(k) of the Securities Exchange Act of 1934 or, the closing of a change in control of the Company. The promissory notes were issued by the executives and employees in satisfaction of the exercise price of vested options to purchase 2,883,672 shares of common stock and unvested options to purchase 4,603,833 shares of common stock. No cash was exchanged as part of the exercises. In March 2021, in connection with the close of the Colonnade Merger, the Company forgave half of the respective obligations under the promissory notes for certain executives and required such noteholders to repay the remaining balance of $0.3 million under their respective notes. Additional compensation expense of $0.3 million was recognized in general and administrative expenses for the nine months ended September 30, 2021 for the value of the loans forgiven. No obligations under the promissory notes for non-executive noteholders were outstanding as of September 30, 2022 and December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nine months ended September 30, 2022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 per Share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24,129,096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100,992</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Arial" w:cs="Arial" w:eastAsia="Arial" w:hAnsi="Arial"/>
                <w:sz w:val="18"/>
                <w:szCs w:val="18"/>
                <w:color w:val="auto"/>
              </w:rPr>
              <w:t>Options 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(1,753,708)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Outstanding—September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21,518,176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21,518,176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8"/>
                <w:szCs w:val="18"/>
                <w:color w:val="auto"/>
              </w:rPr>
              <w:t>Exercisable—September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11,545,615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0" w:type="dxa"/>
            <w:vAlign w:val="bottom"/>
            <w:gridSpan w:val="3"/>
          </w:tcPr>
          <w:p>
            <w:pPr>
              <w:ind w:left="580"/>
              <w:spacing w:after="0"/>
              <w:rPr>
                <w:sz w:val="20"/>
                <w:szCs w:val="20"/>
                <w:color w:val="auto"/>
              </w:rPr>
            </w:pPr>
            <w:r>
              <w:rPr>
                <w:rFonts w:ascii="Arial" w:cs="Arial" w:eastAsia="Arial" w:hAnsi="Arial"/>
                <w:sz w:val="14"/>
                <w:szCs w:val="14"/>
                <w:b w:val="1"/>
                <w:bCs w:val="1"/>
                <w:color w:val="auto"/>
              </w:rPr>
              <w:t>Options Outstanding</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4"/>
          </w:tcPr>
          <w:p>
            <w:pPr>
              <w:jc w:val="right"/>
              <w:ind w:right="77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268"/>
              <w:spacing w:after="0" w:line="13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68"/>
              <w:spacing w:after="0" w:line="145"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Exercise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ind w:left="880"/>
              <w:spacing w:after="0"/>
              <w:rPr>
                <w:sz w:val="20"/>
                <w:szCs w:val="20"/>
                <w:color w:val="auto"/>
              </w:rPr>
            </w:pPr>
            <w:r>
              <w:rPr>
                <w:rFonts w:ascii="Arial" w:cs="Arial" w:eastAsia="Arial" w:hAnsi="Arial"/>
                <w:sz w:val="14"/>
                <w:szCs w:val="14"/>
                <w:b w:val="1"/>
                <w:bCs w:val="1"/>
                <w:color w:val="auto"/>
                <w:w w:val="94"/>
              </w:rPr>
              <w:t>Options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18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7"/>
        </w:trPr>
        <w:tc>
          <w:tcPr>
            <w:tcW w:w="1840" w:type="dxa"/>
            <w:vAlign w:val="bottom"/>
          </w:tcPr>
          <w:p>
            <w:pPr>
              <w:jc w:val="right"/>
              <w:ind w:right="295"/>
              <w:spacing w:after="0"/>
              <w:rPr>
                <w:sz w:val="20"/>
                <w:szCs w:val="20"/>
                <w:color w:val="auto"/>
              </w:rPr>
            </w:pPr>
            <w:r>
              <w:rPr>
                <w:rFonts w:ascii="Arial" w:cs="Arial" w:eastAsia="Arial" w:hAnsi="Arial"/>
                <w:sz w:val="14"/>
                <w:szCs w:val="14"/>
                <w:b w:val="1"/>
                <w:bCs w:val="1"/>
                <w:color w:val="auto"/>
              </w:rPr>
              <w:t>Price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jc w:val="right"/>
              <w:ind w:right="63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10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Life (Years)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tcPr>
          <w:p>
            <w:pPr>
              <w:jc w:val="right"/>
              <w:ind w:right="255"/>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9"/>
        </w:trPr>
        <w:tc>
          <w:tcPr>
            <w:tcW w:w="1840" w:type="dxa"/>
            <w:vAlign w:val="bottom"/>
            <w:tcBorders>
              <w:top w:val="single" w:sz="8" w:color="auto"/>
            </w:tcBorders>
            <w:shd w:val="clear" w:color="auto" w:fill="CCEEFF"/>
          </w:tcPr>
          <w:p>
            <w:pPr>
              <w:jc w:val="right"/>
              <w:ind w:right="1635"/>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4,088,911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3,027,603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1840" w:type="dxa"/>
            <w:vAlign w:val="bottom"/>
          </w:tcPr>
          <w:p>
            <w:pPr>
              <w:jc w:val="right"/>
              <w:ind w:right="1635"/>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8,909,207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7.98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4,415,060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jc w:val="right"/>
              <w:ind w:right="16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7,524,114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3,605,304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1840" w:type="dxa"/>
            <w:vAlign w:val="bottom"/>
          </w:tcPr>
          <w:p>
            <w:pPr>
              <w:jc w:val="right"/>
              <w:ind w:right="1635"/>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34,036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0.18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34,036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jc w:val="right"/>
              <w:ind w:right="16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234,893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tcPr>
          <w:p>
            <w:pPr>
              <w:jc w:val="right"/>
              <w:ind w:right="16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645,797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5"/>
              </w:rPr>
              <w:t>8.60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228,719</w:t>
            </w:r>
          </w:p>
        </w:tc>
        <w:tc>
          <w:tcPr>
            <w:tcW w:w="3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8"/>
        </w:trPr>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21,518,176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2022, there was approximately $15.7 million of unamortized stock-based compensation expense related to unvested stock options that is expected to be recognized over a weighted average period of 1.9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7"/>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7"/>
                <w:szCs w:val="17"/>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9,326,572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 during the year</w:t>
            </w:r>
          </w:p>
        </w:tc>
        <w:tc>
          <w:tcPr>
            <w:tcW w:w="1520" w:type="dxa"/>
            <w:vAlign w:val="bottom"/>
          </w:tcPr>
          <w:p>
            <w:pPr>
              <w:jc w:val="right"/>
              <w:spacing w:after="0"/>
              <w:rPr>
                <w:sz w:val="20"/>
                <w:szCs w:val="20"/>
                <w:color w:val="auto"/>
              </w:rPr>
            </w:pPr>
            <w:r>
              <w:rPr>
                <w:rFonts w:ascii="Arial" w:cs="Arial" w:eastAsia="Arial" w:hAnsi="Arial"/>
                <w:sz w:val="18"/>
                <w:szCs w:val="18"/>
                <w:color w:val="auto"/>
              </w:rPr>
              <w:t>14,701,880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year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 during the year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(2,754,926)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Unvested—September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18,385,921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September 30, 2022, total compensation expense related to unvested RSUs granted to employees, but not yet recognized, was $72.3 million, with a weighted-average remaining vesting period of 2.9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RSUs settle into shares of common stock upon vesting.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Company recognized stock-based compensation expense for all stock options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9,718</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RSAs</w:t>
            </w:r>
          </w:p>
        </w:tc>
        <w:tc>
          <w:tcPr>
            <w:tcW w:w="8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Common Share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attributable to common stockholders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40"/>
              <w:spacing w:after="0" w:line="176" w:lineRule="exact"/>
              <w:rPr>
                <w:sz w:val="20"/>
                <w:szCs w:val="20"/>
                <w:color w:val="auto"/>
              </w:rPr>
            </w:pPr>
            <w:r>
              <w:rPr>
                <w:rFonts w:ascii="Arial" w:cs="Arial" w:eastAsia="Arial" w:hAnsi="Arial"/>
                <w:sz w:val="18"/>
                <w:szCs w:val="18"/>
                <w:color w:val="auto"/>
                <w:w w:val="90"/>
              </w:rPr>
              <w:t>Weighted average shares used to compute basic and diluted net loss</w:t>
            </w: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181,361,354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156,647,259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175,795,093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123,175,390</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24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per common share—basic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shares and net loss per common share, prior to the Colonnade Merger, have been retroactively restated as shares reflecting the exchange ratio of approximately 0.703 shares of the Company per one share of OTI as established in the Colonnade Merger Agreement.</w:t>
      </w:r>
    </w:p>
    <w:p>
      <w:pPr>
        <w:spacing w:after="0" w:line="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 average number of shares used to compute basic and diluted net loss per share excludes unvested early exercised common stock options subject to repurchase.</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1840" w:type="dxa"/>
            <w:vAlign w:val="bottom"/>
            <w:gridSpan w:val="3"/>
          </w:tcPr>
          <w:p>
            <w:pPr>
              <w:ind w:left="94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6"/>
                <w:szCs w:val="16"/>
                <w:color w:val="auto"/>
              </w:rPr>
            </w:pPr>
          </w:p>
        </w:tc>
      </w:tr>
      <w:tr>
        <w:trPr>
          <w:trHeight w:val="26"/>
        </w:trPr>
        <w:tc>
          <w:tcPr>
            <w:tcW w:w="8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8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21,518,176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24,959,807</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Public and private common stock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15,999,900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15,999,996</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18,385,921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4,304,588</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Unvested early exercised common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970,090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2,234,455</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pending issuance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Unvested RSAs</w:t>
            </w: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23,288</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early exercised options subject to nonrecourse notes</w:t>
            </w:r>
          </w:p>
        </w:tc>
        <w:tc>
          <w:tcPr>
            <w:tcW w:w="1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2,172,238</w:t>
            </w:r>
          </w:p>
        </w:tc>
      </w:tr>
      <w:tr>
        <w:trPr>
          <w:trHeight w:val="223"/>
        </w:trPr>
        <w:tc>
          <w:tcPr>
            <w:tcW w:w="8500" w:type="dxa"/>
            <w:vAlign w:val="bottom"/>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57,223,717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49,694,372</w:t>
            </w:r>
          </w:p>
        </w:tc>
      </w:tr>
      <w:tr>
        <w:trPr>
          <w:trHeight w:val="21"/>
        </w:trPr>
        <w:tc>
          <w:tcPr>
            <w:tcW w:w="8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and nine months ended September 30, 2022 and 2021 was not material to the Company’s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w:t>
      </w:r>
    </w:p>
    <w:p>
      <w:pPr>
        <w:spacing w:after="0" w:line="17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Revenue from the sale of lidar sensor kits, which is recognized at a point in time, was $11.2 million and $7.8 million in the three months ended September 30, 2022 and 2021, respectively, and $30.1 million and $21.7 million in the nine months ended September 30, 2022 and 2021,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total revenues by geographic area based on the location products were shipped to and services provided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0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North and South America, excluding United States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and Pacific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Europe, Middle East and Africa</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w:t>
            </w: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for details of promissory notes issued by the Company to certain investors of the Company (or an affiliate thereof).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See Note 9, Stock-based compensation for details of partial recourse promissory notes issued by the Company to certain executives and employees.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Velodyne Merger</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4, 2022, the Company, Velodyne Lidar, Inc., a Delaware corporation (“Velodyne”), Oban Merger Sub, Inc., a Delaware corporation and a direct, wholly owned subsidiary of the Company (“Merger Sub I”) and Oban Merger Sub II LLC, a Delaware limited liability company and a direct, wholly owned subsidiary of the Company (“Merger Sub II”), entered into an Agreement and Plan of Merger (the “Velodyne Merger Agreement”). Pursuant to the Velodyne Merger Agreement, and subject to the satisfaction or waiver of the conditions specified therein, Merger Sub I shall be merged with and into Velodyne (the “Velodyne First Merger”), with Velodyne surviving as a wholly owned subsidiary of the Company (the “Surviving Corporation”) and as soon as practicable following the First Merger, the Surviving Corporation will be merged with and into Merger Sub II with Merger Sub II surviving as a wholly owned subsidiary of the Company (the “Velodyne Second Merger”, and together with the First Merger, the “Velodyne Mergers”).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each of the Company and Velodyne has unanimously approved the Velodyne Merger Agreement and the transactions contemplated thereby. The Velodyne Mergers are subject to customary closing conditions including stockholder approval by both companies. Both companies will continue to operate their businesses independently until the close of the Velodyne Merger. The Velodyne Mergers are expected to be completed in the first half of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effective time of the Velodyne Mergers (the “Effective Time”), (i) each share of common stock, par value $0.0001 per share, of Velodyne (“Velodyne Common Stock”) issued and outstanding immediately prior to the Effective Time (other than the shares that are owned by Velodyne, Ouster, Merger Sub I or Merger Sub II or any wholly owned subsidiary of Velodyne, Ouster, Merger Sub I or Merger Sub II) will be converted into the right to receive 0.8204 (the “Exchange Ratio”) validly issued, fully paid and non-assessable shares of common stock of the Company (such shares the “Velodyne Common Stock Merger Consideration”) and (ii) each share of preferred stock, par value $0.0001 per share, of Velodyne (“Velodyne Preferred Stock”) issued and outstanding immediately prior to the Effective Time (other than the shares that are owned by Velodyne, Ouster, Merger Sub I or Merger Sub II or any wholly owned subsidiary of Velodyne, Ouster, Merger Sub I or Merger Sub II) will be cancelled for no consideration. No fractional shares of the Company’s common stock will be issued in the Velodyne Mergers, and Velodyne stockholders will receive cash in lieu of any fractional shares as part of the Velodyne Common Stock Merger Consideration, as specified in the Velodyne Merger Agreement.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Exchange Ratio will result in Velodyne common stockholders and the Company’s common stockholders owning approximately 50% and 50%, respectively, of the outstanding shares of Ouster Common Stock following the Effective Time, based on shares outstanding as of the date of the Velodyne Merger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execution of the Velodyne Merger Agreement, Velodyne entered into Voting and Support Agreements (the “Velodyne Voting and Support Agreement”) with its directors and officers, and Ouster entered into voting and support agreements with Banyan Venture Holdings and its directors and officers (the “Ouster Voting and Support Agreements”).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Ouster Voting and Support Agreements, Banyan Venture Holdings and Ouster’s directors and officers have agreed, among other things, to vote their respective shares in favor of the adoption of the Velodyne Merger Agreement. Pursuant to the Velodyne Voting and Support Agreements, Velodyne’s directors and officers have agreed, among other things, to vote their respective shares in favor of the adoption of the Velodyne Merger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October 17, the Company drew down $20.0 million available under the Loan and Security Agreement, dated April 29, 2022, by and between Ouster, Sense Photonics, Inc. and Hercules Capital, Inc. (as amended from time to time, the “Hercules Loan Agreement”).</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contemplation of entry into the Velodyne Merger Agreement, on November 1, 2022, the Company entered into the Consent and Second Amendment to Loan and Security Agreement (the “Hercules Amendment”), amending the Hercules Loan Agreement. Pursuant to the terms of the Hercules Amendment, the financial covenant requiring Ouster to achieve certain trailing twelve month revenue thresholds commencing with the quarter ending June 30, 2023 will be eliminated and replaced, contingent upon and effective as of the closing of the Velodyne Mergers, with a minimum liquidity financial covenant whereby the Company must maintain at least $60.0 million of cash in deposit accounts that are subject to an account control agreement in favor of Hercules.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following discussion of the results of operations and financial condition of Ouster, Inc. (“we,” “us,” “our,” the “Company,” “Ouster”) should be read in conjunction with the information set forth in our condensed consolidated financial statements and the notes thereto included elsewhere in this Form 10-Q, as well as our audited consolidated financial statements and the “Management’s Discussion and Analysis of Financial Condition and Results of Operations” included in Ouster’s Annual Report on Form 10-K filed with the Securities and Exchange Commission (“SEC”) on February 28, 2022. This discussion contains forward-looking statements based upon current expectations that involve risks and uncertainties. Ouster’s actual results may differ materially from those anticipated in these forward-looking statements as a result of various factors, including those set forth in the section titled “Risk Factors” in Ouster’s Annual Report on Form 10-K dated and filed with the SEC on February 28, 2022, as may be updated from time to time in the Company’s other filings with the SEC.</w:t>
      </w:r>
    </w:p>
    <w:p>
      <w:pPr>
        <w:spacing w:after="0" w:line="1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On December 21, 2020, Ouster Technologies, Inc. (“OTI”, and prior to the Colonnade Merger defined below, named Ouster, Inc.) entered into an Agreement and Plan of Merger (the “Colonnade Merger Agreement”) with Colonnade Acquisition Corp., a Cayman Islands exempted company (“CLA” with CLA after the transactions pursuant to the Colonnade Merger Agreement being referred to as the “Company”), and Beam Merger Sub, Inc. (“Beam Merger Sub”), a Delaware corporation and subsidiary of CLA. OTI’s and CLA’s board of directors unanimously approved OTI’s entry into the Colonnade Merger Agreement, and on March 11, 2021, the transactions contemplated by the Colonnade Merger Agreement were consummated (all such transactions, the “Colonnade Merger”), as further described below.</w:t>
      </w:r>
    </w:p>
    <w:p>
      <w:pPr>
        <w:spacing w:after="0" w:line="138"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i w:val="1"/>
          <w:iCs w:val="1"/>
          <w:color w:val="auto"/>
        </w:rPr>
        <w:t>Unless the context otherwise requires, references in this subsection to “we”, “our” and “the Company” refer to the business and operations of OTI (formerly known as Ouster, Inc.) and its consolidated subsidiaries prior to the Colonnade Merger and to Ouster, Inc. (formerly known as Colonnade Acquisition Corp.) and its consolidated subsidiaries following the consummation of the Colonnade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a leading provider of high-resolution digital lidar sensors that offer advanced 3D vision to machinery, vehicles, robots, and fixed infrastructure assets, allowing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 We shipped sensors to approximately 680 customers in the twelve months ended September 30, 2022.</w:t>
      </w:r>
    </w:p>
    <w:p>
      <w:pPr>
        <w:spacing w:after="0" w:line="134"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Our digital lidar sensors leverage a simplified architecture based on two semiconductor chips and are backed by a suite of patent-protected technology. We have heavily invested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133"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Our product offering today includes our OS scanning product line and our DF solid-state product line. With our unique digital lidar technology, we offer numerous customization options across our products, all enabled by flexible technology and embedded software. Today, we offer short, medium, and long-range lidar products at varying price points and with tailored capabilities to meet the different needs of our diverse customer base.</w:t>
      </w:r>
    </w:p>
    <w:p>
      <w:pPr>
        <w:spacing w:after="0" w:line="9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believe the simplicity of our digital lidar design gives us a meaningful advantage in costs related to manufacturing, supply chain and production yields. The same digital lidar components underpin our entire product portfolio, which we believe drives economies of scale in our supply chains. With virtually unlimited software-defined products driving low-cost customization, we are able to increase stock keeping units (“SKUs”) for industry-specific applications, expanding our product offering with minimal manufacturing or inventory changes. We currently offer many different software-defined product SKUs, all based on this common architecture and shared core componentry. Additionally, by outsourcing to our manufacturing partner, Benchmark Electronics, Inc. (“Benchmark”), we are able to successfully expand our manufacturing capacity.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12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have won and are actively negotiating several multi-year sales contracts, including certain Strategic Customer Agreements (“SCAs”), which establish a multi-year purchase and supply framework for Ouster and the customer, and include details about customer programs and applications where the customer intends to use Ouster products. SCAs also include multi-year non-binding customer forecasts (typically of three to five years in length) giving Ouster visibility to the customer's long-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term purchasing requirements, mutually agreed upon pricing over the duration of the agreement, and, in certain cases, include multi-year binding purchase commitments.</w:t>
      </w:r>
    </w:p>
    <w:p>
      <w:pPr>
        <w:spacing w:after="0" w:line="11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founded Ouster in 2015 with the invention of our high-performance digital lidar. Since then, we have grown to approximately 290 employees serving approximately 680 customers globally in the twelve months ended September 30, 2022.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Velodyne Lidar, Inc.</w:t>
      </w:r>
    </w:p>
    <w:p>
      <w:pPr>
        <w:spacing w:after="0" w:line="175"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On November 4, 2022, we, Velodyne Lidar, Inc. (“Velodyne”), Oban Merger Sub, Inc., and Oban Merger Sub II LLC entered into an Agreement and Plan of Merger (the “Velodyne Merger Agreement”). Pursuant to the Velodyne Merger Agreement, and subject to the satisfaction or waiver of the conditions specified therein, the parties have agreed that we will merge with Velodyne in an all-stock transaction (the “Velodyne Merger”). Under the terms of the agreement, each Velodyne share of common stock will be exchanged for 0.8204 shares of Ouster common stock at closing. The transaction will result in existing Velodyne and Ouster stockholders each owning approximately 50% of the combined company.</w:t>
      </w:r>
    </w:p>
    <w:p>
      <w:pPr>
        <w:spacing w:after="0" w:line="12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Simultaneously with the execution of the Velodyne Merger Agreement, Velodyne entered into a Voting and Support Agreement (the “Velodyne Voting and Support Agreement”) with its directors and officers, and we entered into a voting and support agreement with Banyan Venture Holdings and our directors and officers (the “Ouster Voting and Support Agreement”).</w:t>
      </w:r>
    </w:p>
    <w:p>
      <w:pPr>
        <w:spacing w:after="0" w:line="13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Pursuant to the Ouster Voting and Support Agreement, Banyan Venture Holdings and our directors and officers have agreed, among other things, to vote their respective shares in favor of the adoption of the Velodyne Merger Agreement. Pursuant to the Velodyne Voting and Support Agreement, Velodyne’s directors and officers have agreed, among other things, to vote their respective shares in favor of the adoption of the Velodyne Merger Agreement.</w:t>
      </w:r>
    </w:p>
    <w:p>
      <w:pPr>
        <w:spacing w:after="0" w:line="133"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Velodyne Merger is subject to customary closing conditions including stockholder approval by both companies. Both companies will continue to operate their businesses independently until the close of the Velodyne Merger. The Velodyne Merger is expected to be completed in the first half of 2023.</w:t>
      </w:r>
    </w:p>
    <w:p>
      <w:pPr>
        <w:spacing w:after="0" w:line="7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For additional information regarding the terms of the Velodyne Merger, see Note 14, Subsequent Events to our unaudited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REV7 Product Launch</w:t>
      </w:r>
    </w:p>
    <w:p>
      <w:pPr>
        <w:spacing w:after="0" w:line="17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October 19,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Colonnade Acquisition Corp. and Beam Merger Sub, Inc.</w:t>
      </w:r>
    </w:p>
    <w:p>
      <w:pPr>
        <w:spacing w:after="0" w:line="17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On December 21, 2020, OTI entered into the Colonnade Merger Agreement with CLA, and Beam Merger Sub, a subsidiary of CLA. OTI’s and CLA’s board of directors unanimously approved OTI’s entry into the Colonnade Merger Agreement, and on March 11, 2021, the transactions contemplated by the Colonnade Merger Agreement were consummated. Pursuant to the terms of the Colonnade Merger Agreement, (i) CLA domesticated as a corporation incorporated under the laws of the State of Delaware (the “Domestication”) and changed its name to “Ouster, Inc.” (with CLA after such domestication and the other transactions pursuant to the Colonnade Merger Agreement being referred to as the “Company”) and (ii) Beam Merger Sub merged with and into OTI (the “Colonnade Merger”), with OTI surviving the Colonnade Merger.</w:t>
      </w:r>
    </w:p>
    <w:p>
      <w:pPr>
        <w:spacing w:after="0" w:line="124"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1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Immediately prior to the effective time of the Colonnade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03"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As a result of and upon the closing of the Colonnade Merger, among other things, all shares of OTI Capital Stock (after giving effect to the OTI Warrant Settlement) outstanding immediately prior to the closing of the Colonnade Merger together with shares of OTI common stock reserved in respect of options to purchase shares of OTI common stock and restricted shares of OTI common stock (together, the “OTI Awards”) outstanding immediately prior to the closing of the Colonnade Merger that were converted into awards based on Ouster common stock, were cancelled in exchange for the right to receive, or the reservation of, an aggregate of $1.5 billion of shares of Ouster common stock (at a deemed value of $10.00 per share), which, in the case of OTI Awards, were shares underlying awards based on Ouster common stock, representing a fully-diluted pre-transaction shares. Upon the closing of the Colonnade Merger, the Company received gross proceeds of $299.9 million from the Colonnade Merger and private offering, offset by $8.5 million of pre-merger costs relating to CLA and transaction costs of $26.6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Sense Acquisition</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October 22, 2021, we completed the acquisition of Sense Photonics, Inc. (“Sense”). Under the terms of the merger agreement, we acquired 100% of Sense and all of its property for approximately 10 million shares of Ouster common stock or approximately $63.0 million in equity value based on the closing price of $6.55 per share as of the day the transaction closed on October 22, 2021, inclusive of 0.8 million shares underlying assumed options, after closing adjustments. This acquisition is expected to help Ouster expand its presence in the automotive vertical by executing on our hiring goals and product roadmap on a faster timeline.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Our suppliers who are located worldwide, including some of our key suppliers, have been affected by the novel coronavirus (“COVID-19”) pandemic, resulting in persistent supply chain disruptions. We have been experiencing unfavorable purchase price variance and situational expedite fees in order to meet production and delivery timelines. While we may experience additional and new pressures on our supply chain that may or may not be related to the pandemic, we have been actively taking steps to mitigate the impact of the materials shortages on our business.</w:t>
      </w:r>
    </w:p>
    <w:p>
      <w:pPr>
        <w:spacing w:after="0" w:line="117"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Some customers have delayed their orders and production schedules. In spite of what appears to be a “return-to-normal” in several regions, the pandemic continues to evolve, and the full extent to which it will directly or indirectly impact our business, results of operations and financial condition, including sales, expenses, reserves and allowances, manufacturing, research and development costs and personnel-related costs, will depend on future developments that are uncertain, including new information that may emerge concerning COVID-19, the impact of new variants and sub-variants and the actions taken to contain, prevent or treat COVID-19, rate and success of vaccination efforts, vaccination reticence, resurgence of the pandemic in areas where we, Benchmark or our suppliers operate, and the economic impact on local, regional, national and international customers and markets.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Because the situation remains uncertain and hard to predict, the COVID-19 pandemic may have a material negative impact on our future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i w:val="1"/>
          <w:iCs w:val="1"/>
          <w:color w:val="auto"/>
        </w:rPr>
        <w:t xml:space="preserve">Supply Chain Continuity. </w:t>
      </w:r>
      <w:r>
        <w:rPr>
          <w:rFonts w:ascii="Arial" w:cs="Arial" w:eastAsia="Arial" w:hAnsi="Arial"/>
          <w:sz w:val="17"/>
          <w:szCs w:val="17"/>
          <w:color w:val="auto"/>
        </w:rPr>
        <w:t>Beginning in 2021, a surge in demand for electronics containing semiconductor chips and stockpiling of chips by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created disruptions in the supply chain, which continue to persist and have resulted in a global chip shortage impacting our industry. Some chip manufacturers continue to estimate that this supply shortage may continue through the end of 2023.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the shortage adversely impacted our gross margins for the year ended December 31, 2021 and the nine months ended September 30, 2022 and may continue to do so. We anticipate fluctuation in our cost of goods sold over the next 12-15 months as a result of ongoing supply chain constraints. These constraints have caused and may in the future cause us to implement certain temporary price surcharges. Over time, we expect our overall average selling prices to decline as our volume increases. If our mitigating efforts are not successful or the shortage continues or worsens in ways we did not anticipate, our ability to supply or improve our current products as well as our development and rollout of future products could also be adversely affected.</w:t>
      </w:r>
    </w:p>
    <w:p>
      <w:pPr>
        <w:spacing w:after="0" w:line="128"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Commercialization of Lidar Applications. </w:t>
      </w:r>
      <w:r>
        <w:rPr>
          <w:rFonts w:ascii="Arial" w:cs="Arial" w:eastAsia="Arial" w:hAnsi="Arial"/>
          <w:sz w:val="16"/>
          <w:szCs w:val="16"/>
          <w:color w:val="auto"/>
        </w:rPr>
        <w:t>We believe that lidar is approaching its inflection point of adoption across our target end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spacing w:after="0" w:line="11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Number of Customers in Production. </w:t>
      </w:r>
      <w:r>
        <w:rPr>
          <w:rFonts w:ascii="Arial" w:cs="Arial" w:eastAsia="Arial" w:hAnsi="Arial"/>
          <w:sz w:val="16"/>
          <w:szCs w:val="16"/>
          <w:color w:val="auto"/>
        </w:rPr>
        <w:t>For certain strategic customers and markets, our products must be integrated into a broader platform, which then</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112"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i w:val="1"/>
          <w:iCs w:val="1"/>
          <w:color w:val="auto"/>
        </w:rPr>
        <w:t xml:space="preserve">Customers’ Sales Volumes. </w:t>
      </w:r>
      <w:r>
        <w:rPr>
          <w:rFonts w:ascii="Arial" w:cs="Arial" w:eastAsia="Arial" w:hAnsi="Arial"/>
          <w:sz w:val="16"/>
          <w:szCs w:val="16"/>
          <w:color w:val="auto"/>
        </w:rPr>
        <w:t>Our customer base is diversified and we intend to penetrate into diverse end markets to increase our sales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spacing w:after="0" w:line="10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i w:val="1"/>
          <w:iCs w:val="1"/>
          <w:color w:val="auto"/>
        </w:rPr>
        <w:t xml:space="preserve">Average Selling Prices (“ASPs”), Product Costs and Margins. </w:t>
      </w:r>
      <w:r>
        <w:rPr>
          <w:rFonts w:ascii="Arial" w:cs="Arial" w:eastAsia="Arial" w:hAnsi="Arial"/>
          <w:sz w:val="17"/>
          <w:szCs w:val="17"/>
          <w:color w:val="auto"/>
        </w:rPr>
        <w:t>Our product costs and gross margins depend largely on the volumes of sensors sold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(including our SCAs) in the near term with multi-year negotiated pricing, as well as the supply chain constraints discussed above.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lead to gross margin improvement as our sales volume increases.</w:t>
      </w:r>
    </w:p>
    <w:p>
      <w:pPr>
        <w:spacing w:after="0" w:line="12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i w:val="1"/>
          <w:iCs w:val="1"/>
          <w:color w:val="auto"/>
        </w:rPr>
        <w:t xml:space="preserve">Competition. </w:t>
      </w:r>
      <w:r>
        <w:rPr>
          <w:rFonts w:ascii="Arial" w:cs="Arial" w:eastAsia="Arial" w:hAnsi="Arial"/>
          <w:sz w:val="17"/>
          <w:szCs w:val="17"/>
          <w:color w:val="auto"/>
        </w:rPr>
        <w:t>Lidar is an emerging market, and there are competitors for the growing market. Competitors may offer lidar products at lower prices</w:t>
      </w:r>
      <w:r>
        <w:rPr>
          <w:rFonts w:ascii="Arial" w:cs="Arial" w:eastAsia="Arial" w:hAnsi="Arial"/>
          <w:sz w:val="17"/>
          <w:szCs w:val="17"/>
          <w:i w:val="1"/>
          <w:iCs w:val="1"/>
          <w:color w:val="auto"/>
        </w:rPr>
        <w:t xml:space="preserve"> </w:t>
      </w:r>
      <w:r>
        <w:rPr>
          <w:rFonts w:ascii="Arial" w:cs="Arial" w:eastAsia="Arial" w:hAnsi="Arial"/>
          <w:sz w:val="17"/>
          <w:szCs w:val="17"/>
          <w:color w:val="auto"/>
        </w:rPr>
        <w:t>than ours, including pricing that may be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enter, and have entered, into commercial relationships with key customers and potential customers and have built relationships and dependencies between themselves and those key customers and potential customers. This has created downward pressure on our ASPs,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particularly in the Asia and Pacific region. We expect this pressure to continue to push our ASPs lower in the coming years. However, we believe that because of our complementary metal-oxide-semiconductor (“CMOS”), digital lidar technology, we are in the position to scale more rapidly than our analog competitors and leverage our scale to deliver positive gross margins.</w:t>
      </w:r>
    </w:p>
    <w:p>
      <w:pPr>
        <w:spacing w:after="0" w:line="130"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i w:val="1"/>
          <w:iCs w:val="1"/>
          <w:color w:val="auto"/>
        </w:rPr>
        <w:t>Continued Investment and Innovation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we are a leading digital lidar provider. Our financial performance is significantly dependent on</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03"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i w:val="1"/>
          <w:iCs w:val="1"/>
          <w:color w:val="auto"/>
        </w:rPr>
        <w:t xml:space="preserve">Market Trends and Uncertainties. </w:t>
      </w:r>
      <w:r>
        <w:rPr>
          <w:rFonts w:ascii="Arial" w:cs="Arial" w:eastAsia="Arial" w:hAnsi="Arial"/>
          <w:sz w:val="17"/>
          <w:szCs w:val="17"/>
          <w:color w:val="auto"/>
        </w:rPr>
        <w:t>We anticipate robust demand for our digital lidar solution. We estimate a multibillion-dollar total addressable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122"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regulatory requirements and international taxes or tariffs related to such technologies. These factors may impact the ultimate market acceptance of our lidar technology.</w:t>
      </w:r>
    </w:p>
    <w:p>
      <w:pPr>
        <w:spacing w:after="0" w:line="12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We view international expansion as an important element of our strategy to increase revenue and achieve profitability.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majority of our revenue comes from the sale of our digital lidar sensors and accessories both directly to end users and through distributors domestically and internationally. We recognize revenue from product sales when the performance obligation of transferring control of the product to the customer has been met, which is generally when the product is shipped. We also recognize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product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11"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Most of our customers are currently in the evaluation or early research and development (“R&amp;D”) stage with our products. Currently, our product revenue consists of both customers ordering small volumes of our products that are in an evaluation 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 move into their respective production phases, we expect the majority of our product revenue to shift to larger volume orders based on predictable production schedules.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Our gross profit equals total revenues less our total cost of revenues, and our gross margin is our gross profit expressed as a percentage of total revenue. Subject to quarterly fluctuations and volatility, we expect unit costs to improve as we manufacture higher unit volumes of sensors and a greater portion of our sensors are produced by our contract manufacturer in Thailand.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R&amp;D activities are primarily conducted at our San Francisco based headquarters and our additional R&amp;D facility in Edinburgh, Scotland and consist of the following activities:</w:t>
      </w:r>
    </w:p>
    <w:p>
      <w:pPr>
        <w:spacing w:after="0" w:line="6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prototyping, and testing of proprietary electrical, optical, and mechanical subsystems for our digital lidar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Robust testing for industrial and autonomous vehicle safety certifications;</w:t>
      </w:r>
    </w:p>
    <w:p>
      <w:pPr>
        <w:spacing w:after="0" w:line="117" w:lineRule="exact"/>
        <w:rPr>
          <w:rFonts w:ascii="Arial" w:cs="Arial" w:eastAsia="Arial" w:hAnsi="Arial"/>
          <w:sz w:val="18"/>
          <w:szCs w:val="18"/>
          <w:color w:val="auto"/>
        </w:rPr>
      </w:pPr>
    </w:p>
    <w:p>
      <w:pPr>
        <w:ind w:left="820" w:right="24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new products and enhancements to existing products in response to customer requirements including firmware development and software development of lidar integration products;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 system-on-a-chip (“SoC”) design for Ouster’s digital lidar products;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custom manufacturing equipment.</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1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R&amp;D costs are expensed as they are incurred. We expect our investment in R&amp;D will continue to grow as we invest in new lidar technology and related software; however, we expect R&amp;D as a percentage of revenue to decrease annually as our business grows.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We expect that our investment in sales and marketing will continue to grow as we continue to expand our sales team globally, and our absolute amount of sales and marketing expenses will grow over time. We expect sales and marketing spend as a percentage of revenue to decrease over time as our business grows.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insurance, and bank fees. We expect our absolute amount of general and administrative expense will grow over time; however, we expect the general and administrative spend as a percentage of revenue to decrease annually as our business grows. Near term increases in general and administrative expenses are expected to be related to hiring more personnel and consultants to support our growing international expansion and compliance with the applicable provisions of U.S. generally accepted accounting principles and other SEC rules and regulations.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measure stock options granted based on the fair value on the date of the grant and recognize compensation expense of those awards, over the requisite service period, which is the vesting period of the respective award. Forfeitures are accounted for as they occur. The fair value of each stock option grant is estimated on the date of grant using the Black-Scholes option pricing model. The grant date fair value of restricted stock unit awards is based on the grant date share price.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7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 Other income (expense), net consists primarily of realized and unrealized gains and losses on foreign currency transactions and balances, the change in fair value of financial instruments, including warrants issued in connection with a debt agreement, and private placement warrants acquired as part of the Colonnade Merger.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its deferred tax assets as it is more likely than not that some, or all, of our deferred tax assets will not be realized. We continue to maintain a full valuation allowance against its net deferred tax assets. Income tax provision for the three and nine months ended September 30, 2022 and 2021, respectively, was not material to the Company’s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condensed consolidated results of operations data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94"/>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thousands)</w:t>
            </w:r>
          </w:p>
        </w:tc>
      </w:tr>
      <w:tr>
        <w:trPr>
          <w:trHeight w:val="2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w:t>
            </w:r>
          </w:p>
        </w:tc>
      </w:tr>
      <w:tr>
        <w:trPr>
          <w:trHeight w:val="230"/>
        </w:trPr>
        <w:tc>
          <w:tcPr>
            <w:tcW w:w="5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product revenue</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14,777</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36,177</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70,530</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(65,016)</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income tax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as a percentage of revenue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2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 30,</w:t>
            </w:r>
          </w:p>
        </w:tc>
        <w:tc>
          <w:tcPr>
            <w:tcW w:w="3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58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9"/>
        </w:trPr>
        <w:tc>
          <w:tcPr>
            <w:tcW w:w="49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2021</w:t>
            </w:r>
          </w:p>
        </w:tc>
      </w:tr>
      <w:tr>
        <w:trPr>
          <w:trHeight w:val="194"/>
        </w:trPr>
        <w:tc>
          <w:tcPr>
            <w:tcW w:w="4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 of total revenue)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3"/>
          </w:tcPr>
          <w:p>
            <w:pPr>
              <w:jc w:val="center"/>
              <w:ind w:left="833"/>
              <w:spacing w:after="0"/>
              <w:rPr>
                <w:sz w:val="20"/>
                <w:szCs w:val="20"/>
                <w:color w:val="auto"/>
              </w:rPr>
            </w:pPr>
            <w:r>
              <w:rPr>
                <w:rFonts w:ascii="Arial" w:cs="Arial" w:eastAsia="Arial" w:hAnsi="Arial"/>
                <w:sz w:val="14"/>
                <w:szCs w:val="14"/>
                <w:b w:val="1"/>
                <w:bCs w:val="1"/>
                <w:color w:val="auto"/>
                <w:w w:val="95"/>
              </w:rPr>
              <w:t>(% of total revenue)</w:t>
            </w:r>
          </w:p>
        </w:tc>
        <w:tc>
          <w:tcPr>
            <w:tcW w:w="920" w:type="dxa"/>
            <w:vAlign w:val="bottom"/>
          </w:tcPr>
          <w:p>
            <w:pPr>
              <w:spacing w:after="0"/>
              <w:rPr>
                <w:sz w:val="16"/>
                <w:szCs w:val="16"/>
                <w:color w:val="auto"/>
              </w:rPr>
            </w:pPr>
          </w:p>
        </w:tc>
      </w:tr>
      <w:tr>
        <w:trPr>
          <w:trHeight w:val="238"/>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Cost of product revenue</w:t>
            </w:r>
            <w:r>
              <w:rPr>
                <w:rFonts w:ascii="Arial" w:cs="Arial" w:eastAsia="Arial" w:hAnsi="Arial"/>
                <w:sz w:val="9"/>
                <w:szCs w:val="9"/>
                <w:color w:val="auto"/>
              </w:rPr>
              <w:t>(1)</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75</w:t>
            </w: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w:t>
            </w: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68</w:t>
            </w: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325</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0"/>
              </w:rPr>
              <w:t>(322)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(299)</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58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0"/>
              </w:rPr>
              <w:t>(321)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(302)</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 expense</w:t>
            </w:r>
          </w:p>
        </w:tc>
        <w:tc>
          <w:tcPr>
            <w:tcW w:w="126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2"/>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p>
      <w:pPr>
        <w:sectPr>
          <w:pgSz w:w="11900" w:h="16838" w:orient="portrait"/>
          <w:cols w:equalWidth="0" w:num="1">
            <w:col w:w="11240"/>
          </w:cols>
          <w:pgMar w:left="320" w:top="125" w:right="339" w:bottom="1440" w:gutter="0" w:footer="0" w:header="0"/>
        </w:sectPr>
      </w:pPr>
    </w:p>
    <w:p>
      <w:pPr>
        <w:spacing w:after="0" w:line="205" w:lineRule="exact"/>
        <w:rPr>
          <w:sz w:val="20"/>
          <w:szCs w:val="20"/>
          <w:color w:val="auto"/>
        </w:rPr>
      </w:pPr>
    </w:p>
    <w:p>
      <w:pPr>
        <w:jc w:val="center"/>
        <w:ind w:left="55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39370</wp:posOffset>
            </wp:positionV>
            <wp:extent cx="18599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7" w:lineRule="exact"/>
        <w:rPr>
          <w:sz w:val="20"/>
          <w:szCs w:val="20"/>
          <w:color w:val="auto"/>
        </w:rPr>
      </w:pPr>
    </w:p>
    <w:p>
      <w:pPr>
        <w:ind w:left="5820"/>
        <w:spacing w:after="0"/>
        <w:tabs>
          <w:tab w:leader="none" w:pos="73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32385</wp:posOffset>
            </wp:positionV>
            <wp:extent cx="1859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39370</wp:posOffset>
            </wp:positionV>
            <wp:extent cx="18770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32385</wp:posOffset>
            </wp:positionV>
            <wp:extent cx="18770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(dollars in thousands)</w:t>
      </w:r>
    </w:p>
    <w:p>
      <w:pPr>
        <w:spacing w:after="0" w:line="31" w:lineRule="exact"/>
        <w:rPr>
          <w:sz w:val="20"/>
          <w:szCs w:val="20"/>
          <w:color w:val="auto"/>
        </w:rPr>
      </w:pPr>
    </w:p>
    <w:p>
      <w:pPr>
        <w:sectPr>
          <w:pgSz w:w="11900" w:h="16838" w:orient="portrait"/>
          <w:cols w:equalWidth="0" w:num="2">
            <w:col w:w="7960" w:space="720"/>
            <w:col w:w="25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11,248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27"/>
        </w:trPr>
        <w:tc>
          <w:tcPr>
            <w:tcW w:w="5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r>
      <w:tr>
        <w:trPr>
          <w:trHeight w:val="248"/>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r>
      <w:tr>
        <w:trPr>
          <w:trHeight w:val="26"/>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57"/>
        </w:trPr>
        <w:tc>
          <w:tcPr>
            <w:tcW w:w="5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by geographic location: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North and South America, excluding United States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w:t>
            </w: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Asia and Pacific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6</w:t>
            </w: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 Middle East and Africa</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207</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1"/>
        </w:trPr>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220" w:firstLine="405"/>
        <w:spacing w:after="0" w:line="301" w:lineRule="auto"/>
        <w:rPr>
          <w:sz w:val="20"/>
          <w:szCs w:val="20"/>
          <w:color w:val="auto"/>
        </w:rPr>
      </w:pPr>
      <w:r>
        <w:rPr>
          <w:rFonts w:ascii="Arial" w:cs="Arial" w:eastAsia="Arial" w:hAnsi="Arial"/>
          <w:sz w:val="16"/>
          <w:szCs w:val="16"/>
          <w:color w:val="auto"/>
        </w:rPr>
        <w:t>Product revenue increased by $3.4 million, or 44%, to $11.2 million for the three months ended September 30, 2022 from $7.8 million for the comparable period in the prior year. The increase in product revenue was driven by a 31% increase in volume which we attribute primarily to the global expansion of our sales team and the increase of high volume, long-term agreements as some of our customers begin to move into a production stage with their autonomous products. Our average selling price increased by 11% when compared to the comparable period in the prior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Revenue increased across the geographic regions of North and South America, excluding the United States; Asia and Pacific; and Europe, Middle East and Africa as compared to the comparable period in the prior year. The revenue increases in those geographic regions was primarily attributable to our continued focus and investment in our global sales team and an expansion in the demand of our existing customers as 13% of our revenue was from new customers during the three months ended September 30, 2022. We specifically saw large growth in the Europe, Middle East and Africa as several of our customers with whom we have strategic customer agreements (SCAs) made production buys in the three months ended September 30, 2022. The United States product revenue remained relatively flat period-over-period.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5"/>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94"/>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7,488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229"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Cost of product revenue increased by $1.6 million, or 27%, to $7.5 million for the three months ended September 30, 2022 from $5.9 million for the comparable period in the prior year. The increase in cost of product revenue was primarily attributable to increases related to volume of $1.1 million in material, manufacturing, and freight costs, $1.7 million general increases per unit in material, manufacturing, and freight costs associated with rising prices from inflation and the ongoing global supply chain shortages. The increases were partially offset by a decrease of $1.2 million in purchase price variance as we invested in securing material in response to the global supply chain shortages in the previous periods.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Product gross margin increased from 24% for the three months ended September 30, 2021 to 33% for the three months ended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product gross margin was due to the 11% increase in average selling price and 3% favorable decrease in cost of product revenue per unit.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26"/>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94"/>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8,822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27</w:t>
            </w:r>
          </w:p>
        </w:tc>
      </w:tr>
      <w:tr>
        <w:trPr>
          <w:trHeight w:val="229"/>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Research and development expenses increased by $8.8 million, or 105%, to $17.2 million for the three months ended September 30, 2022 from $8.4 million for the comparable period in the prior year. The increase was primarily attributable to an increase of $1.4 million in stock-based compensation expense, $3.4 million in payroll-related expenses, $0.6 million in depreciation and amortization expense, $2.7 million increase in contractor, prototype, and equipment costs related to product development, and $0.7 million in other materials and supplies, facilities, professional fees and other miscellaneous costs attributable to research and development functions. The increase in employee-related costs was mainly due to the higher headcount associated with the Sense Photonics, Inc.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Sales and marketing expenses increased by $1.8 million, or 27%, to $8.5 million for the three months ended September 30, 2022 from $6.7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comparable period in the prior year. The increase was primarily attributable to an increase of $1.1 million in payroll and personnel-related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in stock-based compensation expense driven by the addition of sales personnel in all our global regions and $0.5 million in professional, travel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other costs related to sales and marketing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General and administrative expenses decreased by $0.1 million, or 0.5%, to $14.0 million for the three months ended September 30, 2022 from $14.1 million for the comparable period in the prior year. The change was primarily attributable to an increase of $0.5 million in payroll and personnel-related costs, $0.5 million in depreciation expenses and $0.6 million in office, facility and other expenses, $0.6 million in litigation costs, partially offset by a decrease of $0.5 million in stock-based compensation expenses, and $1.8 million in professional services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0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25"/>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(699)</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meaningful</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increase in interest income was primarily attributable to improved cash management activities to earn a higher yield on excess cash and cash equivalent balances.</w:t>
      </w:r>
    </w:p>
    <w:p>
      <w:pPr>
        <w:spacing w:after="0" w:line="116"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Interest expense was $0.7 million for the three months ended September 30, 2022 relating to term loan borrowings and amortization of debt issuance costs and discount under our Loan Agreement (as defined below). There was no interest expense in the three months ended September 30, 2021 as we did not have outstanding debt in that period.</w:t>
      </w:r>
    </w:p>
    <w:p>
      <w:pPr>
        <w:spacing w:after="0" w:line="13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Other income (expense), net was $0.1 million for the three months ended September 30, 2022 compared to $14.5 million for the comparable period in the prior year. During the three months ended September 30, 2022, we recorded a gain of $0.2 million for the fair value change of the private placement warrant liability. During the comparable period in the prior year, we recorded a loss of $14.5 million for the fair value change of the private placement warrant liability.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were subject to income taxes in the United States, California, and miscellaneous foreign jurisdictions for the three months ended September 30, 2022 and 2021. Our income tax expense for three months ended September 30, 2022 and 2021 was not material to our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Change</w:t>
            </w:r>
          </w:p>
        </w:tc>
      </w:tr>
      <w:tr>
        <w:trPr>
          <w:trHeight w:val="26"/>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39 %</w:t>
            </w:r>
          </w:p>
        </w:tc>
      </w:tr>
      <w:tr>
        <w:trPr>
          <w:trHeight w:val="256"/>
        </w:trPr>
        <w:tc>
          <w:tcPr>
            <w:tcW w:w="5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by geographic location: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Arial" w:cs="Arial" w:eastAsia="Arial" w:hAnsi="Arial"/>
                <w:sz w:val="18"/>
                <w:szCs w:val="18"/>
                <w:color w:val="auto"/>
                <w:w w:val="92"/>
              </w:rPr>
              <w:t>16 %</w:t>
            </w: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North and South America, excluding United States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24</w:t>
            </w: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Asia and Pacific</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Arial" w:cs="Arial" w:eastAsia="Arial" w:hAnsi="Arial"/>
                <w:sz w:val="18"/>
                <w:szCs w:val="18"/>
                <w:color w:val="auto"/>
              </w:rPr>
              <w:t>43</w:t>
            </w: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 Middle East and Africa</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61</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2"/>
              </w:rPr>
              <w:t>39 %</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Product revenue increased by $8.4 million, or 39%, to $30.1 million for the nine months ended September 30, 2022 from $21.7 million for the comparable period in the prior year. The increase in product revenue was driven by an increase in volume of 40%, which we attribute primarily to the global expansion of our sales team and the increase of high volume, long-term deals as some of our customers begin to move into a production stage with their autonomous products. Our average selling price declined by 1% when compared to the comparable period in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Revenue increased across the geographic regions of the United States; North and South America, excluding the United States; Asia and Pacific; and Europe, Middle East and Africa by $1.4 million, $0.2 million, $2.1 million, and $4.7 million, respectively, as compared to the comparable period in the prior year. The revenue increases in those geographic regions were a result of our continued focus and investment in our global sales team and an expansion in the demand of our existing customers since only 22% of our revenue was from new customers during the nine months ended September 30,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5"/>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product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21,002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16,212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Cost of product revenue increased by $4.8 million, or 30%, to $21.0 million for the nine months ended September 30, 2022 from $16.2 million for the comparable period in the prior year. The increase in cost of product revenue was primarily due to an increase of $0.9 million in purchase price variance due to the supply chain shortage, increases related to volume of $2.4 million in material costs, $0.2 million in freight costs and $1.8 million in manufacturing overhead costs. The increases were partially offset by a decrease of $0.5 million in per unit costs of materials, labor and overhead and other costs related to product revenue.</w:t>
      </w:r>
    </w:p>
    <w:p>
      <w:pPr>
        <w:spacing w:after="0" w:line="134"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Product gross margin increased from 25% for the nine months ended September 30, 2021 to 30% for the nine months ended September 30, 2022. The increase in product gross margin was primarily due to the 8% decrease in cost per unit partially offset by the 1% decrease in average selling price.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26"/>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49,011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00"/>
              <w:spacing w:after="0"/>
              <w:rPr>
                <w:sz w:val="20"/>
                <w:szCs w:val="20"/>
                <w:color w:val="auto"/>
              </w:rPr>
            </w:pPr>
            <w:r>
              <w:rPr>
                <w:rFonts w:ascii="Arial" w:cs="Arial" w:eastAsia="Arial" w:hAnsi="Arial"/>
                <w:sz w:val="18"/>
                <w:szCs w:val="18"/>
                <w:color w:val="auto"/>
                <w:w w:val="98"/>
              </w:rPr>
              <w:t>19,576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29,435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14,777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57</w:t>
            </w:r>
          </w:p>
        </w:tc>
      </w:tr>
      <w:tr>
        <w:trPr>
          <w:trHeight w:val="230"/>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36,177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11</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70,530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41,981</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Research and development expenses increased by $29.4 million, or 150%, to $49.0 million for the nine months ended September 30, 2022 from $19.6 million for the comparable period in the prior year. The increase was primarily attributable to an increase of $12.3 million in payroll and benefits related costs, $6.5 million in stock-based compensation expense, $6.8 million in contractor, prototype, and equipment costs related to product development, $1.9 million in depreciation and amortization expense, and $1.9 million in other materials and supplies, facilities, professional fees and other miscellaneous costs attributable to research and development functions. The increase in employee-related costs was mainly due to the higher headcount associated with the Sense Photonics, Inc.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Sales and marketing expenses increased by $8.4 million, or 57%, to $23.2 million for the nine months ended September 30, 2022 from $14.8 million for the comparable period in the prior year. The increase was primarily attributable to an increase of $5.1 million in payroll and personnel-related costs, $2.6 million in stock-based compensation expense driven by the addition of sales personnel in all our global regions, as well as a $0.7 million increase in other expenses associated with our marketing and business development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General and administrative expenses increased by $4.1 million, or 11%, to $40.3 million for the nine months ended September 30, 2022 from $36.2 million for the comparable period in the prior year. The increase was primarily due to an increase of $3.1 million in payroll and personnel-related costs, $1.2 million in insurance premiums, $1.6 million in depreciation expenses, $1.2 million in litigation costs and $2.2 million in office, facility and other expenses, partially offset by a decrease of $2.9 million in stock-based compensation expenses and $2.3 million in professional services fees.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5"/>
        </w:trPr>
        <w:tc>
          <w:tcPr>
            <w:tcW w:w="5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51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r>
      <w:tr>
        <w:trPr>
          <w:trHeight w:val="194"/>
        </w:trPr>
        <w:tc>
          <w:tcPr>
            <w:tcW w:w="5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1,231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86"/>
              </w:rPr>
              <w:t>305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304 %</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(1,143)</w:t>
            </w:r>
          </w:p>
        </w:tc>
        <w:tc>
          <w:tcPr>
            <w:tcW w:w="400" w:type="dxa"/>
            <w:vAlign w:val="bottom"/>
          </w:tcPr>
          <w:p>
            <w:pPr>
              <w:spacing w:after="0"/>
              <w:rPr>
                <w:sz w:val="19"/>
                <w:szCs w:val="19"/>
                <w:color w:val="auto"/>
              </w:rPr>
            </w:pPr>
          </w:p>
        </w:tc>
        <w:tc>
          <w:tcPr>
            <w:tcW w:w="1060" w:type="dxa"/>
            <w:vAlign w:val="bottom"/>
          </w:tcPr>
          <w:p>
            <w:pPr>
              <w:jc w:val="center"/>
              <w:ind w:left="537"/>
              <w:spacing w:after="0"/>
              <w:rPr>
                <w:sz w:val="20"/>
                <w:szCs w:val="20"/>
                <w:color w:val="auto"/>
              </w:rPr>
            </w:pPr>
            <w:r>
              <w:rPr>
                <w:rFonts w:ascii="Arial" w:cs="Arial" w:eastAsia="Arial" w:hAnsi="Arial"/>
                <w:sz w:val="18"/>
                <w:szCs w:val="18"/>
                <w:color w:val="auto"/>
                <w:w w:val="95"/>
              </w:rPr>
              <w:t>(504)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127</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7,071</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95"/>
              </w:rPr>
              <w:t>(422)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(1,776)</w:t>
            </w:r>
          </w:p>
        </w:tc>
      </w:tr>
    </w:tbl>
    <w:p>
      <w:pPr>
        <w:spacing w:after="0" w:line="22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Interest income was $1.2 million for the nine months ended September 30, 2022 compared to $0.3 million for the comparable period in the prior year. The increase in interest income was primarily attributable to improved cash management activities to earn a higher yield on excess cash and cash equivalent balances.</w:t>
      </w:r>
    </w:p>
    <w:p>
      <w:pPr>
        <w:spacing w:after="0" w:line="13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Interest expense was $1.1 million for the nine months ended September 30, 2022 compared to $0.5 million for the comparable period in the prior year. We recorded interest expense on our debt and amortization of debt issuance costs and discount in the nine months ended September 30, 2022 relating to term loan borrowings and amortization of debt issuance costs and discount under our Loan and Security Agreement. Interest expense recorded in the nine months ended September 30, 2021 primarily consisted of interest and amortization of debt issuance cost and discount on the loan and security agreement with Runway Growth Credit and Fund Inc., which was terminated on March 26,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Other income (expense), net was $7.1 million of income for the nine months ended September 30, 2022 compared to $(0.4) million in expense for the comparable period in the prior year. During the nine months ended September 30, 2022, we recorded a gain of $7.4 million for the fair value change of private placement warrant liability. During the nine months ended September 30, 2021, we recorded a loss of $8.8 million for the fair value change of redeemable convertible preferred stock warrant liability and a gain of $8.4 million for the fair value change of private placement warrant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We were subject to income taxes in the United States, California, and miscellaneous foreign jurisdictions for the nine months ended September 30, 2022 and 2021. Our income tax expense for nine months ended September 30, 2022 and 2021 was not material to the Company’s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principal sources of liquidity are our cash and cash equivalents, cash generated from product revenues, sales of common stock under our at-the market equity offering program and our Loan Agreement with Hercules Capital, Inc.</w:t>
      </w:r>
    </w:p>
    <w:p>
      <w:pPr>
        <w:spacing w:after="0" w:line="116"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Our primary requirements for liquidity and capital are working capital, inventory management, capital expenditures, public company costs and general corporate needs. We expect these needs to continue as we develop and grow our business. Prior to the Colonnade Merger, we primarily funded our operations from the net proceeds from sales of our preferred convertible stock and convertible notes, borrowing under our loan and security agreement with Runway Growth Credit Fund, Inc. and product revenue. Upon closing of the Colonnade Merger, we received gross proceeds of $299.9 million from the Colonnade Merger and private offering, offset by $8.5 million of pre-merger costs relating to CLA and transactions cost of $26.6 million.</w:t>
      </w:r>
    </w:p>
    <w:p>
      <w:pPr>
        <w:spacing w:after="0" w:line="10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 the market”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its funding. During the nine months ended September 30, 2022, we sold 7,833,709 shares of common stock for net proceeds of $15.8 million under the ATM Agreement. We currently intend to use the net proceeds from the sale of shares pursuant to the ATM Agreement for working capital and general corporate purposes.</w:t>
      </w:r>
    </w:p>
    <w:p>
      <w:pPr>
        <w:spacing w:after="0" w:line="124" w:lineRule="exact"/>
        <w:rPr>
          <w:sz w:val="20"/>
          <w:szCs w:val="20"/>
          <w:color w:val="auto"/>
        </w:rPr>
      </w:pPr>
    </w:p>
    <w:p>
      <w:pPr>
        <w:ind w:right="320" w:firstLine="405"/>
        <w:spacing w:after="0" w:line="311" w:lineRule="auto"/>
        <w:rPr>
          <w:sz w:val="20"/>
          <w:szCs w:val="20"/>
          <w:color w:val="auto"/>
        </w:rPr>
      </w:pPr>
      <w:r>
        <w:rPr>
          <w:rFonts w:ascii="Arial" w:cs="Arial" w:eastAsia="Arial" w:hAnsi="Arial"/>
          <w:sz w:val="16"/>
          <w:szCs w:val="16"/>
          <w:color w:val="auto"/>
        </w:rPr>
        <w:t>On April 29, 2022, we entered into a loan and security agreement (the “Loan Agreement”) with Hercules Capital, Inc. (“Hercules”). The Loan Agreement provides us with a term loan of up to $50.0 million, subject to terms and conditions. $20.0 million was drawn under the Loan Agreement on April 29, 2022 and an additional $20.0 million was drawn on October 17, 2022. For additional information, see “Debt Arrangements” below.</w:t>
      </w:r>
    </w:p>
    <w:p>
      <w:pPr>
        <w:spacing w:after="0" w:line="9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As of September 30, 2022, we had an accumulated deficit of $399.7 million and cash and cash equivalents of $133.2 million. We have experienced recurring losses from operations, and negative cash flows from operations, and we expect to continue operating at a loss and to have negative cash flows from operations for the foreseeable future. Because we are in the growth stage of our business and operate in an 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the widespread COVID-19 pandemic and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described above, on April 29, 2022, we entered into the Loan Agreement with Hercules, which provides us with a term loan facility of up to $50.0 million, subject to terms and conditions (the “Term Loan Facility”). As of September 30, 2022, $20.0 million has been drawn to date under the Loan Agreement, and can be used for general working capital purposes subject to certain terms and conditions. Subsequent to September 30, 2022 we borrowed an additional $20.0 million. An additional $10.0 million may be drawn on or before June 15, 2023, subject to satisfying certain conditions relating to the achievement of trailing twelve-month revenue and profit milestones.</w:t>
      </w:r>
    </w:p>
    <w:p>
      <w:pPr>
        <w:spacing w:after="0" w:line="134" w:lineRule="exact"/>
        <w:rPr>
          <w:sz w:val="20"/>
          <w:szCs w:val="20"/>
          <w:color w:val="auto"/>
        </w:rPr>
      </w:pPr>
    </w:p>
    <w:p>
      <w:pPr>
        <w:ind w:right="240" w:firstLine="405"/>
        <w:spacing w:after="0" w:line="296" w:lineRule="auto"/>
        <w:rPr>
          <w:sz w:val="20"/>
          <w:szCs w:val="20"/>
          <w:color w:val="auto"/>
        </w:rPr>
      </w:pPr>
      <w:r>
        <w:rPr>
          <w:rFonts w:ascii="Arial" w:cs="Arial" w:eastAsia="Arial" w:hAnsi="Arial"/>
          <w:sz w:val="16"/>
          <w:szCs w:val="16"/>
          <w:color w:val="auto"/>
        </w:rPr>
        <w:t>In contemplation of entry into the Velodyne Merger Agreement, on November 1, 2022, we entered into a Consent and Second Amendment to Loan and Security Agreement (the “Hercules Amendment”), amending the Loan Agreement. Pursuant to the terms of the Hercules Amendment, the financial covenant requiring us to achieve certain trailing twelve month revenue thresholds commencing with the quarter ending June 30, 2023 will be eliminated and replaced, contingent upon and effective as of the closing of the Velodyne Mergers, with a minimum liquidity financial covenant whereby we must maintain at least $60 million of cash in deposit accounts that are subject to an account control agreement in favor of Hercules.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information regarding the terms of the Loan Agreement, see Note 5, Debt and Note 14,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7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September 30, 2022, while others are considered future commitments. Our contractual obligations primarily consist of non-cancelable purchase commitments with various parties to purchase goods or services, primarily inventory, entered into in the normal course of business, operating leases and obligations related to the Loan Agreement with Hercules. For information regarding our other contractual obligations, refer to Note 7, Commitments and Contingencies and our Annual Report on Form 10-K as filed with the SEC on February 28, 2022. If the Velodyne Merger is consummated, we will assume certain of Velodyne’s contractual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94"/>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(dollars in thousands)</w:t>
            </w:r>
          </w:p>
        </w:tc>
      </w:tr>
      <w:tr>
        <w:trPr>
          <w:trHeight w:val="238"/>
        </w:trPr>
        <w:tc>
          <w:tcPr>
            <w:tcW w:w="828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0"/>
              </w:rPr>
              <w:t>Net cash provided by (used in):</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80" w:type="dxa"/>
            <w:vAlign w:val="bottom"/>
          </w:tcPr>
          <w:p>
            <w:pPr>
              <w:jc w:val="center"/>
              <w:ind w:right="5850"/>
              <w:spacing w:after="0"/>
              <w:rPr>
                <w:sz w:val="20"/>
                <w:szCs w:val="20"/>
                <w:color w:val="auto"/>
              </w:rPr>
            </w:pPr>
            <w:r>
              <w:rPr>
                <w:rFonts w:ascii="Arial" w:cs="Arial" w:eastAsia="Arial" w:hAnsi="Arial"/>
                <w:sz w:val="18"/>
                <w:szCs w:val="18"/>
                <w:color w:val="auto"/>
                <w:w w:val="92"/>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(83,290)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(45,106)</w:t>
            </w:r>
          </w:p>
        </w:tc>
      </w:tr>
      <w:tr>
        <w:trPr>
          <w:trHeight w:val="230"/>
        </w:trPr>
        <w:tc>
          <w:tcPr>
            <w:tcW w:w="8280" w:type="dxa"/>
            <w:vAlign w:val="bottom"/>
            <w:shd w:val="clear" w:color="auto" w:fill="CCEEFF"/>
          </w:tcPr>
          <w:p>
            <w:pPr>
              <w:jc w:val="center"/>
              <w:ind w:right="5910"/>
              <w:spacing w:after="0"/>
              <w:rPr>
                <w:sz w:val="20"/>
                <w:szCs w:val="20"/>
                <w:color w:val="auto"/>
              </w:rPr>
            </w:pPr>
            <w:r>
              <w:rPr>
                <w:rFonts w:ascii="Arial" w:cs="Arial" w:eastAsia="Arial" w:hAnsi="Arial"/>
                <w:sz w:val="18"/>
                <w:szCs w:val="18"/>
                <w:color w:val="auto"/>
                <w:w w:val="93"/>
              </w:rPr>
              <w:t>Investing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30"/>
        </w:trPr>
        <w:tc>
          <w:tcPr>
            <w:tcW w:w="8280" w:type="dxa"/>
            <w:vAlign w:val="bottom"/>
          </w:tcPr>
          <w:p>
            <w:pPr>
              <w:jc w:val="center"/>
              <w:ind w:right="5850"/>
              <w:spacing w:after="0"/>
              <w:rPr>
                <w:sz w:val="20"/>
                <w:szCs w:val="20"/>
                <w:color w:val="auto"/>
              </w:rPr>
            </w:pPr>
            <w:r>
              <w:rPr>
                <w:rFonts w:ascii="Arial" w:cs="Arial" w:eastAsia="Arial" w:hAnsi="Arial"/>
                <w:sz w:val="18"/>
                <w:szCs w:val="18"/>
                <w:color w:val="auto"/>
                <w:w w:val="93"/>
              </w:rPr>
              <w:t>Financing activities</w:t>
            </w: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35,414</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257,826</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During the nine months ended September 30, 2022, operating activities used $83.3 million in cash. The primary factors affecting our operating cash flows during this period were our net loss of $96.4 million, impacted by our non-cash charges of $28.3 million primarily consisting of stock-based compensation of $25.3 million, a $7.4 million change in fair value of warrant liabilities, depreciation and amortization of $7.1 million, change in right-of-use asset of $2.1 million, interest expense and amortization of debt issuance costs and debt discount of $0.4 million. The changes in our operating assets and liabilities of $15.2 million were primarily due to a decrease in operating lease liability of $2.4 million, an increase in accounts payable of $3.2 million, an increase in accounts receivable of $0.1 million and an increase in accrued and other liabilities of $0.2 million.</w:t>
      </w:r>
    </w:p>
    <w:p>
      <w:pPr>
        <w:spacing w:after="0" w:line="12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During the nine months ended September 30, 2021, operating activities used $45.1 million in cash. The primary factors affecting our operating cash flows during this period were our net loss of $65.6 million, impacted by our non-cash charges of $24.8 million primarily consisting of inventory write down of $0.9 million, interest expense and amortization of debt issuance costs and debt discount of $0.3 million, depreciation and amortization of $3.4 million, change in right-of-use asset of $1.3 million, stock-based compensation of $18.6 million. The changes in our operating assets and liabilities of $4.3 million were primarily due to an increase in accounts receivable of $4.4 million, a decrease of accounts payable of $2.7 million, and an increase in accrued and other current liabilities of $7.1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During the nine months ended September 30, 2022, cash used in investing activities was $2.1 million, which was related to purchases of property, plant and equipment, partially offset by sales of property and equipment.</w:t>
      </w:r>
    </w:p>
    <w:p>
      <w:pPr>
        <w:spacing w:after="0" w:line="11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During the nine months ended September 30, 2021, cash used in investing activities was $1.8 million, which was related to purchases of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During the nine months ended September 30, 2022, cash provided by financing activities was $35.4 million, consisting primarily of $19.1 million of proceeds from borrowings, net of debt discount and issuance costs, $16.3 million of proceeds from the issuance of common stock under the ATM Agreement, net of commissions and fees and proceeds from exercise of stock options of $0.4 million.</w:t>
      </w:r>
    </w:p>
    <w:p>
      <w:pPr>
        <w:spacing w:after="0" w:line="13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During the nine months ended September 30, 2021, cash provided by financing activities was $257.8 million, consisting primarily of $291.5 million of proceeds (net of $8.4 million of pre-Colonnade Merger costs relating to CLA) from the Colonnade Merger and PIPE Investment offset by offerings costs of $27.1 million, and proceeds from exercise of stock options of $0.5 million, partially offset by repayment of debt of $7.0 million. There were promissory notes to related parties of $5.0 million that were issued and repaid during the nine months ended September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 in our Annual Report on Form 10-K for the year ended December 31, 2021. There have been no significant changes to our critical accounting policies since the filing of our Annual Report on Form 10-K for the year ended December 31, 2021 except for the addition of deferred debt financing costs as a significant accounting policy, which is described in Note 2 – Summary of Significant Accounting Policies to our unaudited condensed consolidated financial statements included in this Quarterly Report on Form 10-Q.</w:t>
      </w:r>
    </w:p>
    <w:p>
      <w:pPr>
        <w:spacing w:after="0" w:line="134"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spacing w:after="0" w:line="107"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Goodwill Impairment. As of September 30, 2022, the Company with the assistance of third-party valuation specialist performed an impairment test of goodwill as a result of the decline in market conditions and updated outlook as a result of the impact of market uncertainties that prolonged the sales cycle. The Company’s goodwill valuation was determined based on a discounted future cash flow model (income approach). The Company determined that goodwill was not impaired as of September 30, 2022, however the fair value was not substantially in excess of its carrying value. The estimated fair value of the reporting unit exceeded its carrying value by approximately 4% as of September 30, 2022.</w:t>
      </w:r>
    </w:p>
    <w:p>
      <w:pPr>
        <w:spacing w:after="0" w:line="12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Given this level of fair value, in the event the financial performance of the Company does not meet expectations in the future or the Company experiences future prolonged market downturns or continued declines in our stock price, worsening trends from the COVID-19 pandemic, or there are other negative revisions to key assumptions, the Company may be required to perform additional impairment analyses and could be required to recognize a non-cash goodwill impairment charge. As of September 30, 2022, goodwill was $51.2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Refer to Note 2 in our unaudited condensed consolidated financial statements contained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As of September 30, 2022, we had cash and cash equivalents of approximately $133.2 million, out of which $129.9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w:t>
      </w:r>
    </w:p>
    <w:p>
      <w:pPr>
        <w:spacing w:after="0" w:line="130" w:lineRule="exact"/>
        <w:rPr>
          <w:sz w:val="20"/>
          <w:szCs w:val="20"/>
          <w:color w:val="auto"/>
        </w:rPr>
      </w:pPr>
    </w:p>
    <w:p>
      <w:pPr>
        <w:jc w:val="both"/>
        <w:ind w:right="300" w:firstLine="405"/>
        <w:spacing w:after="0" w:line="287" w:lineRule="auto"/>
        <w:rPr>
          <w:sz w:val="20"/>
          <w:szCs w:val="20"/>
          <w:color w:val="auto"/>
        </w:rPr>
      </w:pPr>
      <w:r>
        <w:rPr>
          <w:rFonts w:ascii="Arial" w:cs="Arial" w:eastAsia="Arial" w:hAnsi="Arial"/>
          <w:sz w:val="16"/>
          <w:szCs w:val="16"/>
          <w:color w:val="auto"/>
        </w:rPr>
        <w:t>In addition, our operating results are subject to risk from interest rate fluctuations on borrowings under our Loan Agreement, which carry variable interest rates. Interest rate risk is the exposure to loss resulting from changes in the level of interest rates and the spread between different interest rates. Because our borrowings under our Loan Agreement bear interest at variable rates, we are exposed to market risks relating to changes in interest rates.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rate risk is highly sensitive due to many factors, including U.S. monetary and tax policies, U.S. and international economic factors and other factors beyond our control. As of September 30, 2022, we had $19.2 million of variable rate debt outstanding under our Loan Agreement. Based upon a sensitivity analysis of our debt levels on September 30, 2022, an increase or decrease of 1% point in the effective interest rate would cause an increase or decrease in interest expense of approximately $0.2 million over the next 12 months. We do not use derivative financial instruments for speculative or trading purposes, but this does not preclude our adoption of specific hedging strategies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September 30, 2022 due to the material weaknesses in our internal control over financial reporting described below.</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and Remediation Plan</w:t>
      </w:r>
    </w:p>
    <w:p>
      <w:pPr>
        <w:spacing w:after="0" w:line="117"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6" w:lineRule="exact"/>
        <w:rPr>
          <w:sz w:val="20"/>
          <w:szCs w:val="20"/>
          <w:color w:val="auto"/>
        </w:rPr>
      </w:pPr>
    </w:p>
    <w:p>
      <w:pPr>
        <w:ind w:right="240" w:firstLine="405"/>
        <w:spacing w:after="0" w:line="311" w:lineRule="auto"/>
        <w:rPr>
          <w:sz w:val="20"/>
          <w:szCs w:val="20"/>
          <w:color w:val="auto"/>
        </w:rPr>
      </w:pPr>
      <w:r>
        <w:rPr>
          <w:rFonts w:ascii="Arial" w:cs="Arial" w:eastAsia="Arial" w:hAnsi="Arial"/>
          <w:sz w:val="16"/>
          <w:szCs w:val="16"/>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41" w:lineRule="exact"/>
        <w:rPr>
          <w:sz w:val="20"/>
          <w:szCs w:val="20"/>
          <w:color w:val="auto"/>
        </w:rPr>
      </w:pPr>
    </w:p>
    <w:p>
      <w:pPr>
        <w:ind w:left="500" w:right="80" w:hanging="330"/>
        <w:spacing w:after="0" w:line="255"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84" w:lineRule="exact"/>
        <w:rPr>
          <w:rFonts w:ascii="Arial" w:cs="Arial" w:eastAsia="Arial" w:hAnsi="Arial"/>
          <w:sz w:val="18"/>
          <w:szCs w:val="18"/>
          <w:color w:val="auto"/>
        </w:rPr>
      </w:pPr>
    </w:p>
    <w:p>
      <w:pPr>
        <w:ind w:left="500" w:right="80" w:hanging="330"/>
        <w:spacing w:after="0" w:line="269" w:lineRule="auto"/>
        <w:tabs>
          <w:tab w:leader="none" w:pos="49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7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taken several measures to remediate the foregoing material weaknesses. To date, our efforts have included the following:</w:t>
      </w:r>
    </w:p>
    <w:p>
      <w:pPr>
        <w:spacing w:after="0" w:line="117" w:lineRule="exact"/>
        <w:rPr>
          <w:sz w:val="20"/>
          <w:szCs w:val="20"/>
          <w:color w:val="auto"/>
        </w:rPr>
      </w:pPr>
    </w:p>
    <w:p>
      <w:pPr>
        <w:ind w:left="500" w:right="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additional personnel with appropriate internal controls and accounting knowledge and experience commensurate with our accounting and reporting requirements, in addition to engaging and utilizing third party consultants and specialists.</w:t>
      </w:r>
    </w:p>
    <w:p>
      <w:pPr>
        <w:spacing w:after="0" w:line="62" w:lineRule="exact"/>
        <w:rPr>
          <w:rFonts w:ascii="Arial" w:cs="Arial" w:eastAsia="Arial" w:hAnsi="Arial"/>
          <w:sz w:val="18"/>
          <w:szCs w:val="18"/>
          <w:color w:val="auto"/>
        </w:rPr>
      </w:pPr>
    </w:p>
    <w:p>
      <w:pPr>
        <w:ind w:left="500" w:right="580" w:hanging="330"/>
        <w:spacing w:after="0" w:line="308"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color w:val="auto"/>
        </w:rPr>
        <w:t>Enhancing entity level controls (ELCs) including increasing Board and Audit Committee oversight, expanding senior management review of financial and business performance, creating an internal audit function and charter, and providing code of conduct trainings.</w:t>
      </w:r>
    </w:p>
    <w:p>
      <w:pPr>
        <w:spacing w:after="0" w:line="38" w:lineRule="exact"/>
        <w:rPr>
          <w:rFonts w:ascii="Arial" w:cs="Arial" w:eastAsia="Arial" w:hAnsi="Arial"/>
          <w:sz w:val="17"/>
          <w:szCs w:val="17"/>
          <w:color w:val="auto"/>
        </w:rPr>
      </w:pPr>
    </w:p>
    <w:p>
      <w:pPr>
        <w:ind w:left="500" w:right="5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Strengthening IT governance and designing IT general controls including restricted user access to our internal systems for financial reporting, change management, program development and computer operations.</w:t>
      </w:r>
    </w:p>
    <w:p>
      <w:pPr>
        <w:spacing w:after="0" w:line="62" w:lineRule="exact"/>
        <w:rPr>
          <w:rFonts w:ascii="Arial" w:cs="Arial" w:eastAsia="Arial" w:hAnsi="Arial"/>
          <w:sz w:val="18"/>
          <w:szCs w:val="18"/>
          <w:color w:val="auto"/>
        </w:rPr>
      </w:pPr>
    </w:p>
    <w:p>
      <w:pPr>
        <w:ind w:left="500" w:right="400" w:hanging="330"/>
        <w:spacing w:after="0" w:line="308"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color w:val="auto"/>
        </w:rPr>
        <w:t>Designing additional controls for financial close and reporting including review of accounting policies, journal entry review controls, review of significant or non-routine transactions, period end close procedures, financial statement preparation, review, and reporting.</w:t>
      </w:r>
    </w:p>
    <w:p>
      <w:pPr>
        <w:spacing w:after="0" w:line="3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Other than execution of the material weakness remediation plan activities described above, there has been no change in our internal control over financial reporting (as that term is defined in Rules 13a-15(f) and 15d-15(f) under the Exchange Act)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0" w:firstLine="405"/>
        <w:spacing w:after="0" w:line="311" w:lineRule="auto"/>
        <w:rPr>
          <w:sz w:val="20"/>
          <w:szCs w:val="20"/>
          <w:color w:val="auto"/>
        </w:rPr>
      </w:pPr>
      <w:r>
        <w:rPr>
          <w:rFonts w:ascii="Arial" w:cs="Arial" w:eastAsia="Arial" w:hAnsi="Arial"/>
          <w:sz w:val="16"/>
          <w:szCs w:val="16"/>
          <w:color w:val="auto"/>
        </w:rPr>
        <w:t>On June 10, 2021, the Company received a letter from the SEC notifying us of an investigation and document subpoena. The subpoena sought documents regarding projected financial information in CLA’s Form S-4 registration statement filed on December 22, 2020. To date, the Company has complied with all SEC requests and produced all requested documents; however, the SEC may request additional documents or information.</w:t>
      </w:r>
    </w:p>
    <w:p>
      <w:pPr>
        <w:spacing w:after="0" w:line="9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June 14, 2022, Velodyne Lidar USA, Inc. (“Velodyne”) filed a lawsuit against the Company relating to two patents and requested an International Trade Commission proceeding with respect to the same two patents. On July 8, 2022, the Company filed a complaint against Velodyne, alleging multiple claims including intellectual property misappropriation and false advertising. While the cases remain pending, the Company and Velodyne have agreed that no later than seven days after the execution of the merger agreement with Velodyne (the “Velodyne Merger Agreement”), each will cooperate to take certain actions in connection with dismissing these pending litigation matters between the Company and Velodyne and moving to terminate United States International Trade Commission Investigation No. 337-TA-1332. There can be no assurances that such matters will ultimately be dismissed.</w:t>
      </w:r>
    </w:p>
    <w:p>
      <w:pPr>
        <w:spacing w:after="0" w:line="110" w:lineRule="exact"/>
        <w:rPr>
          <w:sz w:val="20"/>
          <w:szCs w:val="20"/>
          <w:color w:val="auto"/>
        </w:rPr>
      </w:pPr>
    </w:p>
    <w:p>
      <w:pPr>
        <w:ind w:right="200" w:firstLine="405"/>
        <w:spacing w:after="0" w:line="311" w:lineRule="auto"/>
        <w:rPr>
          <w:sz w:val="20"/>
          <w:szCs w:val="20"/>
          <w:color w:val="auto"/>
        </w:rPr>
      </w:pPr>
      <w:r>
        <w:rPr>
          <w:rFonts w:ascii="Arial" w:cs="Arial" w:eastAsia="Arial" w:hAnsi="Arial"/>
          <w:sz w:val="16"/>
          <w:szCs w:val="16"/>
          <w:color w:val="auto"/>
        </w:rPr>
        <w:t>From time to time, we have been and may again become involved in legal proceedings arising in the ordinary course of our business. There is no material litigation, arbitration or governmental proceeding currently pending or to Ouster’s knowledge, threatened against us or any members of Ouster’s management team in their capacity as such. See Part I, Item 1 “Financial Statements (Unaudited) - Note 7. Commitments and Contingencies”.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There have been no material changes from the risk factors disclosed in the Company’s Annual Report on Form 10-K filed with the SEC on February 28, 2022, as updated in the Company’s Quarterly Report on Form 10-Q filed with the SEC on August 5, 2022, other than the following: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risks related to the proposed merger with Velodyne.</w:t>
      </w:r>
    </w:p>
    <w:p>
      <w:pPr>
        <w:spacing w:after="0" w:line="171"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We have entered into the Velodyne Merger Agreement pursuant to which we have agreed to merge with Velodyne (the “Velodyne Merger”). The risks, contingencies and other uncertainties that could result in the failure of the proposed merger to be completed or, if completed, that could have a material adverse effect on our business, financial condition or results of operations following the proposed transaction, and any anticipated benefits of the proposed merger, include:</w:t>
      </w:r>
    </w:p>
    <w:p>
      <w:pPr>
        <w:spacing w:after="0" w:line="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to obtain necessary stockholder approvals for the share issuance and the adoption of the Velodyne Merger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failure to satisfy required closing conditions, including regulatory approvals, or complete the proposed merger in a timely manner or at all;</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the announcement of the proposed merger on each company’s ability to retain and hire key personnel, maintain business relationships, and on operating results and the businesses generally;</w:t>
      </w: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core business as we work to take all steps necessary to close the transaction and realize expected synergies and cost-savings from a combined company;</w:t>
      </w: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inability to achieve the anticipated synergies and our incurrence of significant transaction-related costs in connection with the proposed merger that are, and will be, incurred regardless of whether the proposed transaction is completed;</w:t>
      </w: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customers, distributors, suppliers, vendors, landlords and other business partners or the termination of existing contracts in response to the proposed transaction;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occurrence of any event giving rise to the right to terminate the Velodyne Merger Agreement.</w:t>
      </w:r>
    </w:p>
    <w:p>
      <w:pPr>
        <w:spacing w:after="0" w:line="15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Moreover, we have incurred and expect to incur a number of non-recurring costs associated with the proposed merger. These costs include financial advisory, legal, accounting, consulting and other advisory fees, severance/employee benefit-related costs, financing-related fees and costs, public company filing fees and other regulatory fees, printing costs and other related costs. Many of these costs are payable by us regardless of whether or not the proposed merger is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proposed merger may negatively impact our share price, the future business and our financial results.</w:t>
      </w:r>
    </w:p>
    <w:p>
      <w:pPr>
        <w:spacing w:after="0" w:line="17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If the proposed merger is not completed on a timely basis, our and Velodyne ongoing businesses may be adversely affected. If the proposed merger is not completed at all, we will be subject to a number of risks, including the following:</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required to pay costs and expenses relating to the merger, such as legal, accounting, financial advisory and printing fees;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 proposed merger could otherwise have been devoted to pursuing other beneficial opportunities.</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proposed merger is not completed, the price of our common stock may decline to the extent that the current market price reflects a market assumption that the proposed merger will be completed and that the related benefits will be realized, or a market perception that the proposed merger was not completed due to an adverse change in our business.</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targets of securities class action and derivative lawsuits which could result in substantial costs and may delay or prevent the Velodyne Merger from being completed.</w:t>
      </w:r>
    </w:p>
    <w:p>
      <w:pPr>
        <w:spacing w:after="0" w:line="11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proposed merger, then that injunction may delay or prevent the proposed transaction from being completed, which may adversely affect our business, financial position and results of operation.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conditions in the industries we target or the global economy more generally could have adverse effects on our results of operations.</w:t>
      </w:r>
    </w:p>
    <w:p>
      <w:pPr>
        <w:spacing w:after="0" w:line="19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spacing w:after="0" w:line="107"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For example, 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be able to comply with the continued listing standards of the New York Stock Exchange (“NYSE”).</w:t>
      </w:r>
    </w:p>
    <w:p>
      <w:pPr>
        <w:spacing w:after="0" w:line="18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If we fail to satisfy the continued listing requirements of NYSE, such as the corporate governance requirements or the minimum share price requirement, NYSE may take steps to delist our securities. Such a delisting would likely have a negative effect on the price of the securities and would impair stockholders’ ability to sell or purchase the securities when they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NYSE minimum share price requirement or prevent future non-compliance with NYSE’s listing requirements. Additionally, if our securities are not listed on, or become delisted from the NYSE, for any reason, and are quoted on the OTC Bulletin Board, an inter-dealer automated quotation system for equity securities that is not a national securities exchange, the liquidity and price of our securities may be more limited than if we were quoted or listed on the NYSE or another national securities exchange. Stockholders may be unable to sell their securities unless a market can be established or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securities during the three months ended September 30, 2022 that were not registered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did not purchase any of our equity securities that are registered under Section 12(b) of the Exchange Act during the three months ended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18"/>
          </w:tcPr>
          <w:p>
            <w:pPr>
              <w:ind w:left="80"/>
              <w:spacing w:after="0"/>
              <w:rPr>
                <w:sz w:val="20"/>
                <w:szCs w:val="20"/>
                <w:color w:val="auto"/>
              </w:rPr>
            </w:pPr>
            <w:r>
              <w:rPr>
                <w:rFonts w:ascii="Arial" w:cs="Arial" w:eastAsia="Arial" w:hAnsi="Arial"/>
                <w:sz w:val="18"/>
                <w:szCs w:val="18"/>
                <w:color w:val="auto"/>
              </w:rPr>
              <w:t>None.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780" w:type="dxa"/>
            <w:vAlign w:val="bottom"/>
            <w:gridSpan w:val="23"/>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40" w:type="dxa"/>
            <w:vAlign w:val="bottom"/>
            <w:gridSpan w:val="6"/>
          </w:tcPr>
          <w:p>
            <w:pPr>
              <w:ind w:left="18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gridSpan w:val="6"/>
          </w:tcPr>
          <w:p>
            <w:pPr>
              <w:ind w:left="1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20" w:type="dxa"/>
            <w:vAlign w:val="bottom"/>
            <w:gridSpan w:val="11"/>
          </w:tcPr>
          <w:p>
            <w:pPr>
              <w:ind w:left="180"/>
              <w:spacing w:after="0"/>
              <w:rPr>
                <w:sz w:val="20"/>
                <w:szCs w:val="20"/>
                <w:color w:val="auto"/>
              </w:rPr>
            </w:pPr>
            <w:r>
              <w:rPr>
                <w:rFonts w:ascii="Arial" w:cs="Arial" w:eastAsia="Arial" w:hAnsi="Arial"/>
                <w:sz w:val="18"/>
                <w:szCs w:val="18"/>
                <w:b w:val="1"/>
                <w:bCs w:val="1"/>
                <w:color w:val="auto"/>
              </w:rPr>
              <w:t>Description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20" w:type="dxa"/>
            <w:vAlign w:val="bottom"/>
            <w:gridSpan w:val="6"/>
          </w:tcPr>
          <w:p>
            <w:pPr>
              <w:ind w:left="70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gridSpan w:val="2"/>
            <w:vMerge w:val="restart"/>
          </w:tcPr>
          <w:p>
            <w:pPr>
              <w:spacing w:after="0"/>
              <w:rPr>
                <w:rFonts w:ascii="Arial" w:cs="Arial" w:eastAsia="Arial" w:hAnsi="Arial"/>
                <w:sz w:val="18"/>
                <w:szCs w:val="18"/>
                <w:color w:val="0000FF"/>
                <w:w w:val="85"/>
              </w:rPr>
            </w:pPr>
            <w:hyperlink r:id="rId69">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Borders>
              <w:bottom w:val="single" w:sz="8" w:color="0000FF"/>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tcBorders>
              <w:bottom w:val="single" w:sz="8" w:color="0000FF"/>
            </w:tcBorders>
            <w:gridSpan w:val="7"/>
          </w:tcPr>
          <w:p>
            <w:pPr>
              <w:spacing w:after="0" w:line="163"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Agreement and Plan of Merger, dated as of December 21,</w:t>
              </w:r>
            </w:hyperlink>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3"/>
              </w:rPr>
              <w:t>S-4/A</w:t>
            </w:r>
          </w:p>
        </w:tc>
        <w:tc>
          <w:tcPr>
            <w:tcW w:w="1160" w:type="dxa"/>
            <w:vAlign w:val="bottom"/>
          </w:tcPr>
          <w:p>
            <w:pPr>
              <w:jc w:val="center"/>
              <w:spacing w:after="0" w:line="169" w:lineRule="exact"/>
              <w:rPr>
                <w:sz w:val="20"/>
                <w:szCs w:val="20"/>
                <w:color w:val="auto"/>
              </w:rPr>
            </w:pPr>
            <w:r>
              <w:rPr>
                <w:rFonts w:ascii="Arial" w:cs="Arial" w:eastAsia="Arial" w:hAnsi="Arial"/>
                <w:sz w:val="18"/>
                <w:szCs w:val="18"/>
                <w:color w:val="auto"/>
                <w:w w:val="91"/>
              </w:rPr>
              <w:t>333-251611</w:t>
            </w:r>
          </w:p>
        </w:tc>
        <w:tc>
          <w:tcPr>
            <w:tcW w:w="100" w:type="dxa"/>
            <w:vAlign w:val="bottom"/>
          </w:tcPr>
          <w:p>
            <w:pPr>
              <w:spacing w:after="0"/>
              <w:rPr>
                <w:sz w:val="16"/>
                <w:szCs w:val="16"/>
                <w:color w:val="auto"/>
              </w:rPr>
            </w:pPr>
          </w:p>
        </w:tc>
        <w:tc>
          <w:tcPr>
            <w:tcW w:w="840" w:type="dxa"/>
            <w:vAlign w:val="bottom"/>
          </w:tcPr>
          <w:p>
            <w:pPr>
              <w:jc w:val="center"/>
              <w:spacing w:after="0" w:line="169"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6"/>
                <w:szCs w:val="16"/>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8"/>
                <w:szCs w:val="18"/>
                <w:color w:val="auto"/>
                <w:w w:val="92"/>
              </w:rPr>
              <w:t>2/10/2021</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15"/>
          </w:tcPr>
          <w:p>
            <w:pPr>
              <w:spacing w:after="0" w:line="189"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2020, by and among the Company, Beam Merger Sub, Inc. and</w:t>
              </w:r>
            </w:hyperlink>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Ouster, Inc.</w:t>
              </w:r>
            </w:hyperlink>
          </w:p>
        </w:tc>
        <w:tc>
          <w:tcPr>
            <w:tcW w:w="3700" w:type="dxa"/>
            <w:vAlign w:val="bottom"/>
            <w:tcBorders>
              <w:top w:val="single" w:sz="8" w:color="0000FF"/>
            </w:tcBorders>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gridSpan w:val="6"/>
          </w:tcPr>
          <w:p>
            <w:pPr>
              <w:spacing w:after="0"/>
              <w:rPr>
                <w:rFonts w:ascii="Arial" w:cs="Arial" w:eastAsia="Arial" w:hAnsi="Arial"/>
                <w:sz w:val="18"/>
                <w:szCs w:val="18"/>
                <w:color w:val="0000FF"/>
              </w:rPr>
            </w:pPr>
            <w:hyperlink r:id="rId70">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4700" w:type="dxa"/>
            <w:vAlign w:val="bottom"/>
            <w:gridSpan w:val="15"/>
          </w:tcPr>
          <w:p>
            <w:pPr>
              <w:spacing w:after="0"/>
              <w:rPr>
                <w:rFonts w:ascii="Arial" w:cs="Arial" w:eastAsia="Arial" w:hAnsi="Arial"/>
                <w:sz w:val="18"/>
                <w:szCs w:val="18"/>
                <w:color w:val="0000FF"/>
                <w:w w:val="96"/>
              </w:rPr>
            </w:pPr>
            <w:hyperlink r:id="rId70">
              <w:r>
                <w:rPr>
                  <w:rFonts w:ascii="Arial" w:cs="Arial" w:eastAsia="Arial" w:hAnsi="Arial"/>
                  <w:sz w:val="18"/>
                  <w:szCs w:val="18"/>
                  <w:color w:val="0000FF"/>
                  <w:w w:val="96"/>
                </w:rPr>
                <w:t>Agreement and Plan of Merger, dated November 4, 2022, by</w:t>
              </w:r>
            </w:hyperlink>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11/7/2022</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top w:val="single" w:sz="8" w:color="0000FF"/>
            </w:tcBorders>
            <w:gridSpan w:val="9"/>
          </w:tcPr>
          <w:p>
            <w:pPr>
              <w:spacing w:after="0" w:line="202"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and among Velodyne Lidar, Inc., Ouster, Inc., Oban Merger</w:t>
              </w:r>
            </w:hyperlink>
          </w:p>
        </w:tc>
        <w:tc>
          <w:tcPr>
            <w:tcW w:w="3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Sub, Inc. and Oban Merger Sub II LLC.</w:t>
              </w:r>
            </w:hyperlink>
          </w:p>
        </w:tc>
        <w:tc>
          <w:tcPr>
            <w:tcW w:w="1400" w:type="dxa"/>
            <w:vAlign w:val="bottom"/>
            <w:tcBorders>
              <w:top w:val="single" w:sz="8" w:color="0000FF"/>
            </w:tcBorders>
            <w:gridSpan w:val="3"/>
          </w:tcPr>
          <w:p>
            <w:pPr>
              <w:spacing w:after="0"/>
              <w:rPr>
                <w:sz w:val="17"/>
                <w:szCs w:val="17"/>
                <w:color w:val="auto"/>
              </w:rPr>
            </w:pPr>
          </w:p>
        </w:tc>
        <w:tc>
          <w:tcPr>
            <w:tcW w:w="4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7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60" w:type="dxa"/>
            <w:vAlign w:val="bottom"/>
            <w:tcBorders>
              <w:bottom w:val="single" w:sz="8" w:color="0000FF"/>
            </w:tcBorders>
            <w:gridSpan w:val="6"/>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Certificate of Incorporation of Ouster, Inc.</w:t>
              </w:r>
            </w:hyperlink>
          </w:p>
        </w:tc>
        <w:tc>
          <w:tcPr>
            <w:tcW w:w="1640" w:type="dxa"/>
            <w:vAlign w:val="bottom"/>
            <w:gridSpan w:val="9"/>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S-4 POS</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333-251611</w:t>
            </w:r>
          </w:p>
        </w:tc>
        <w:tc>
          <w:tcPr>
            <w:tcW w:w="1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3/10/2021</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7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Borders>
              <w:bottom w:val="single" w:sz="8" w:color="0000FF"/>
            </w:tcBorders>
            <w:gridSpan w:val="3"/>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Bylaws of Ouster, Inc.</w:t>
              </w:r>
            </w:hyperlink>
          </w:p>
        </w:tc>
        <w:tc>
          <w:tcPr>
            <w:tcW w:w="3080" w:type="dxa"/>
            <w:vAlign w:val="bottom"/>
            <w:gridSpan w:val="12"/>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S-4 POS</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333-251611</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3/10/2021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gridSpan w:val="5"/>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gridSpan w:val="15"/>
          </w:tcPr>
          <w:p>
            <w:pPr>
              <w:spacing w:after="0"/>
              <w:rPr>
                <w:sz w:val="20"/>
                <w:szCs w:val="20"/>
                <w:color w:val="auto"/>
              </w:rPr>
            </w:pPr>
            <w:r>
              <w:rPr>
                <w:rFonts w:ascii="Arial" w:cs="Arial" w:eastAsia="Arial" w:hAnsi="Arial"/>
                <w:sz w:val="18"/>
                <w:szCs w:val="18"/>
                <w:color w:val="0000FF"/>
                <w:w w:val="96"/>
              </w:rPr>
              <w:t>Offer Letter, by and between Ouster, Inc. and Anna Brunelle,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Borders>
              <w:top w:val="single" w:sz="8" w:color="0000FF"/>
              <w:bottom w:val="single" w:sz="8" w:color="0000FF"/>
            </w:tcBorders>
            <w:gridSpan w:val="4"/>
          </w:tcPr>
          <w:p>
            <w:pPr>
              <w:spacing w:after="0" w:line="189" w:lineRule="exact"/>
              <w:rPr>
                <w:sz w:val="20"/>
                <w:szCs w:val="20"/>
                <w:color w:val="auto"/>
              </w:rPr>
            </w:pPr>
            <w:r>
              <w:rPr>
                <w:rFonts w:ascii="Arial" w:cs="Arial" w:eastAsia="Arial" w:hAnsi="Arial"/>
                <w:sz w:val="18"/>
                <w:szCs w:val="18"/>
                <w:color w:val="0000FF"/>
                <w:w w:val="89"/>
              </w:rPr>
              <w:t>dated August 27, 2020.</w:t>
            </w:r>
          </w:p>
        </w:tc>
        <w:tc>
          <w:tcPr>
            <w:tcW w:w="2720" w:type="dxa"/>
            <w:vAlign w:val="bottom"/>
            <w:tcBorders>
              <w:top w:val="single" w:sz="8" w:color="0000FF"/>
            </w:tcBorders>
            <w:gridSpan w:val="7"/>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3"/>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60" w:type="dxa"/>
            <w:vAlign w:val="bottom"/>
            <w:gridSpan w:val="6"/>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15"/>
          </w:tcPr>
          <w:p>
            <w:pPr>
              <w:spacing w:after="0"/>
              <w:rPr>
                <w:sz w:val="20"/>
                <w:szCs w:val="20"/>
                <w:color w:val="auto"/>
              </w:rPr>
            </w:pPr>
            <w:r>
              <w:rPr>
                <w:rFonts w:ascii="Arial" w:cs="Arial" w:eastAsia="Arial" w:hAnsi="Arial"/>
                <w:sz w:val="18"/>
                <w:szCs w:val="18"/>
                <w:color w:val="0000FF"/>
                <w:w w:val="96"/>
              </w:rPr>
              <w:t>Amendment to Offer Letter, by and between Ouster, Inc. and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Anna Brunelle, dated September 16, 2020.</w:t>
            </w:r>
          </w:p>
        </w:tc>
        <w:tc>
          <w:tcPr>
            <w:tcW w:w="80" w:type="dxa"/>
            <w:vAlign w:val="bottom"/>
            <w:gridSpan w:val="2"/>
          </w:tcPr>
          <w:p>
            <w:pPr>
              <w:spacing w:after="0"/>
              <w:rPr>
                <w:sz w:val="16"/>
                <w:szCs w:val="16"/>
                <w:color w:val="auto"/>
              </w:rPr>
            </w:pPr>
          </w:p>
        </w:tc>
        <w:tc>
          <w:tcPr>
            <w:tcW w:w="240" w:type="dxa"/>
            <w:vAlign w:val="bottom"/>
            <w:gridSpan w:val="3"/>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5"/>
            <w:vMerge w:val="restart"/>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2+</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0" w:type="dxa"/>
            <w:vAlign w:val="bottom"/>
            <w:gridSpan w:val="5"/>
            <w:vMerge w:val="continue"/>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15"/>
          </w:tcPr>
          <w:p>
            <w:pPr>
              <w:spacing w:after="0"/>
              <w:rPr>
                <w:sz w:val="20"/>
                <w:szCs w:val="20"/>
                <w:color w:val="auto"/>
              </w:rPr>
            </w:pPr>
            <w:r>
              <w:rPr>
                <w:rFonts w:ascii="Arial" w:cs="Arial" w:eastAsia="Arial" w:hAnsi="Arial"/>
                <w:sz w:val="18"/>
                <w:szCs w:val="18"/>
                <w:color w:val="0000FF"/>
                <w:w w:val="94"/>
              </w:rPr>
              <w:t>Offer Letter, by and between Ouster, Inc. and Darien Spencer,</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top w:val="single" w:sz="8" w:color="0000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8"/>
              </w:rPr>
              <w:t>dated July 25, 2017.</w:t>
            </w:r>
          </w:p>
        </w:tc>
        <w:tc>
          <w:tcPr>
            <w:tcW w:w="3000" w:type="dxa"/>
            <w:vAlign w:val="bottom"/>
            <w:tcBorders>
              <w:top w:val="single" w:sz="8" w:color="0000FF"/>
            </w:tcBorders>
            <w:gridSpan w:val="10"/>
          </w:tcPr>
          <w:p>
            <w:pPr>
              <w:spacing w:after="0"/>
              <w:rPr>
                <w:sz w:val="16"/>
                <w:szCs w:val="16"/>
                <w:color w:val="auto"/>
              </w:rPr>
            </w:pPr>
          </w:p>
        </w:tc>
        <w:tc>
          <w:tcPr>
            <w:tcW w:w="240" w:type="dxa"/>
            <w:vAlign w:val="bottom"/>
            <w:gridSpan w:val="3"/>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234"/>
        </w:trPr>
        <w:tc>
          <w:tcPr>
            <w:tcW w:w="1060" w:type="dxa"/>
            <w:vAlign w:val="bottom"/>
            <w:gridSpan w:val="3"/>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3+</w:t>
            </w:r>
          </w:p>
        </w:tc>
        <w:tc>
          <w:tcPr>
            <w:tcW w:w="4540" w:type="dxa"/>
            <w:vAlign w:val="bottom"/>
            <w:gridSpan w:val="12"/>
          </w:tcPr>
          <w:p>
            <w:pPr>
              <w:spacing w:after="0"/>
              <w:rPr>
                <w:sz w:val="20"/>
                <w:szCs w:val="20"/>
                <w:color w:val="auto"/>
              </w:rPr>
            </w:pPr>
            <w:r>
              <w:rPr>
                <w:rFonts w:ascii="Arial" w:cs="Arial" w:eastAsia="Arial" w:hAnsi="Arial"/>
                <w:sz w:val="18"/>
                <w:szCs w:val="18"/>
                <w:color w:val="0000FF"/>
                <w:w w:val="97"/>
              </w:rPr>
              <w:t>Employment Agreement, by and between Ouster, Inc. and</w:t>
            </w:r>
          </w:p>
        </w:tc>
      </w:tr>
      <w:tr>
        <w:trPr>
          <w:trHeight w:val="189"/>
        </w:trPr>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40" w:type="dxa"/>
            <w:vAlign w:val="bottom"/>
          </w:tcPr>
          <w:p>
            <w:pPr>
              <w:spacing w:after="0"/>
              <w:rPr>
                <w:sz w:val="16"/>
                <w:szCs w:val="16"/>
                <w:color w:val="auto"/>
              </w:rPr>
            </w:pPr>
          </w:p>
        </w:tc>
        <w:tc>
          <w:tcPr>
            <w:tcW w:w="3080" w:type="dxa"/>
            <w:vAlign w:val="bottom"/>
            <w:tcBorders>
              <w:top w:val="single" w:sz="8" w:color="0000FF"/>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1"/>
              </w:rPr>
              <w:t>Adam Dolinko, dated November 16, 2021.</w:t>
            </w:r>
          </w:p>
        </w:tc>
        <w:tc>
          <w:tcPr>
            <w:tcW w:w="1100" w:type="dxa"/>
            <w:vAlign w:val="bottom"/>
            <w:tcBorders>
              <w:top w:val="single" w:sz="8" w:color="0000FF"/>
            </w:tcBorders>
            <w:gridSpan w:val="4"/>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1060" w:type="dxa"/>
            <w:vAlign w:val="bottom"/>
            <w:gridSpan w:val="3"/>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4+</w:t>
            </w:r>
          </w:p>
        </w:tc>
        <w:tc>
          <w:tcPr>
            <w:tcW w:w="4540" w:type="dxa"/>
            <w:vAlign w:val="bottom"/>
            <w:gridSpan w:val="12"/>
          </w:tcPr>
          <w:p>
            <w:pPr>
              <w:spacing w:after="0"/>
              <w:rPr>
                <w:sz w:val="20"/>
                <w:szCs w:val="20"/>
                <w:color w:val="auto"/>
              </w:rPr>
            </w:pPr>
            <w:r>
              <w:rPr>
                <w:rFonts w:ascii="Arial" w:cs="Arial" w:eastAsia="Arial" w:hAnsi="Arial"/>
                <w:sz w:val="18"/>
                <w:szCs w:val="18"/>
                <w:color w:val="0000FF"/>
                <w:w w:val="97"/>
              </w:rPr>
              <w:t>Employment Agreement, by and between Ouster, Inc. and</w:t>
            </w:r>
          </w:p>
        </w:tc>
      </w:tr>
      <w:tr>
        <w:trPr>
          <w:trHeight w:val="189"/>
        </w:trPr>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40" w:type="dxa"/>
            <w:vAlign w:val="bottom"/>
          </w:tcPr>
          <w:p>
            <w:pPr>
              <w:spacing w:after="0"/>
              <w:rPr>
                <w:sz w:val="16"/>
                <w:szCs w:val="16"/>
                <w:color w:val="auto"/>
              </w:rPr>
            </w:pPr>
          </w:p>
        </w:tc>
        <w:tc>
          <w:tcPr>
            <w:tcW w:w="418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Nathan Dickerman, dated March 1, 2021.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420" w:type="dxa"/>
            <w:vAlign w:val="bottom"/>
            <w:gridSpan w:val="2"/>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5</w:t>
            </w:r>
          </w:p>
        </w:tc>
        <w:tc>
          <w:tcPr>
            <w:tcW w:w="640" w:type="dxa"/>
            <w:vAlign w:val="bottom"/>
          </w:tcPr>
          <w:p>
            <w:pPr>
              <w:spacing w:after="0"/>
              <w:rPr>
                <w:sz w:val="20"/>
                <w:szCs w:val="20"/>
                <w:color w:val="auto"/>
              </w:rPr>
            </w:pPr>
          </w:p>
        </w:tc>
        <w:tc>
          <w:tcPr>
            <w:tcW w:w="4540" w:type="dxa"/>
            <w:vAlign w:val="bottom"/>
            <w:gridSpan w:val="12"/>
          </w:tcPr>
          <w:p>
            <w:pPr>
              <w:spacing w:after="0"/>
              <w:rPr>
                <w:sz w:val="20"/>
                <w:szCs w:val="20"/>
                <w:color w:val="auto"/>
              </w:rPr>
            </w:pPr>
            <w:r>
              <w:rPr>
                <w:rFonts w:ascii="Arial" w:cs="Arial" w:eastAsia="Arial" w:hAnsi="Arial"/>
                <w:sz w:val="18"/>
                <w:szCs w:val="18"/>
                <w:color w:val="0000FF"/>
                <w:w w:val="99"/>
              </w:rPr>
              <w:t>First Amendment to Loan and Security Agreement, dated</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540" w:type="dxa"/>
            <w:vAlign w:val="bottom"/>
            <w:gridSpan w:val="12"/>
          </w:tcPr>
          <w:p>
            <w:pPr>
              <w:spacing w:after="0" w:line="156" w:lineRule="exact"/>
              <w:rPr>
                <w:sz w:val="20"/>
                <w:szCs w:val="20"/>
                <w:color w:val="auto"/>
              </w:rPr>
            </w:pPr>
            <w:r>
              <w:rPr>
                <w:rFonts w:ascii="Arial" w:cs="Arial" w:eastAsia="Arial" w:hAnsi="Arial"/>
                <w:sz w:val="18"/>
                <w:szCs w:val="18"/>
                <w:color w:val="0000FF"/>
                <w:w w:val="89"/>
              </w:rPr>
              <w:t>August 5, 2022, by and between Ouster, Inc., Sense Photonics,</w:t>
            </w: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0"/>
              </w:rPr>
              <w:t>Inc. and Hercules Capital, Inc.</w:t>
            </w:r>
          </w:p>
        </w:tc>
        <w:tc>
          <w:tcPr>
            <w:tcW w:w="23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420" w:type="dxa"/>
            <w:vAlign w:val="bottom"/>
            <w:gridSpan w:val="2"/>
          </w:tcPr>
          <w:p>
            <w:pPr>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640" w:type="dxa"/>
            <w:vAlign w:val="bottom"/>
          </w:tcPr>
          <w:p>
            <w:pPr>
              <w:spacing w:after="0"/>
              <w:rPr>
                <w:sz w:val="19"/>
                <w:szCs w:val="19"/>
                <w:color w:val="auto"/>
              </w:rPr>
            </w:pPr>
          </w:p>
        </w:tc>
        <w:tc>
          <w:tcPr>
            <w:tcW w:w="4540" w:type="dxa"/>
            <w:vAlign w:val="bottom"/>
            <w:gridSpan w:val="12"/>
          </w:tcPr>
          <w:p>
            <w:pPr>
              <w:spacing w:after="0"/>
              <w:rPr>
                <w:rFonts w:ascii="Arial" w:cs="Arial" w:eastAsia="Arial" w:hAnsi="Arial"/>
                <w:sz w:val="18"/>
                <w:szCs w:val="18"/>
                <w:color w:val="0000FF"/>
              </w:rPr>
            </w:pPr>
            <w:hyperlink r:id="rId73">
              <w:r>
                <w:rPr>
                  <w:rFonts w:ascii="Arial" w:cs="Arial" w:eastAsia="Arial" w:hAnsi="Arial"/>
                  <w:sz w:val="18"/>
                  <w:szCs w:val="18"/>
                  <w:color w:val="0000FF"/>
                </w:rPr>
                <w:t>Consent and Second Amendment to Loan and Security</w:t>
              </w:r>
            </w:hyperlink>
          </w:p>
        </w:tc>
      </w:tr>
      <w:tr>
        <w:trPr>
          <w:trHeight w:val="136"/>
        </w:trPr>
        <w:tc>
          <w:tcPr>
            <w:tcW w:w="3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960" w:type="dxa"/>
            <w:vAlign w:val="bottom"/>
            <w:tcBorders>
              <w:top w:val="single" w:sz="8" w:color="0000FF"/>
            </w:tcBorders>
            <w:gridSpan w:val="5"/>
          </w:tcPr>
          <w:p>
            <w:pPr>
              <w:spacing w:after="0" w:line="136" w:lineRule="exact"/>
              <w:rPr>
                <w:rFonts w:ascii="Arial" w:cs="Arial" w:eastAsia="Arial" w:hAnsi="Arial"/>
                <w:sz w:val="15"/>
                <w:szCs w:val="15"/>
                <w:color w:val="0000FF"/>
              </w:rPr>
            </w:pPr>
            <w:hyperlink r:id="rId73">
              <w:r>
                <w:rPr>
                  <w:rFonts w:ascii="Arial" w:cs="Arial" w:eastAsia="Arial" w:hAnsi="Arial"/>
                  <w:sz w:val="15"/>
                  <w:szCs w:val="15"/>
                  <w:color w:val="0000FF"/>
                </w:rPr>
                <w:t>Agreement, dated November 1, 2022, by and between</w:t>
              </w:r>
            </w:hyperlink>
          </w:p>
        </w:tc>
        <w:tc>
          <w:tcPr>
            <w:tcW w:w="580" w:type="dxa"/>
            <w:vAlign w:val="bottom"/>
            <w:gridSpan w:val="7"/>
          </w:tcPr>
          <w:p>
            <w:pPr>
              <w:spacing w:after="0" w:line="136" w:lineRule="exact"/>
              <w:rPr>
                <w:rFonts w:ascii="Arial" w:cs="Arial" w:eastAsia="Arial" w:hAnsi="Arial"/>
                <w:sz w:val="15"/>
                <w:szCs w:val="15"/>
                <w:color w:val="0000FF"/>
              </w:rPr>
            </w:pPr>
            <w:hyperlink r:id="rId73">
              <w:r>
                <w:rPr>
                  <w:rFonts w:ascii="Arial" w:cs="Arial" w:eastAsia="Arial" w:hAnsi="Arial"/>
                  <w:sz w:val="15"/>
                  <w:szCs w:val="15"/>
                  <w:color w:val="0000FF"/>
                </w:rPr>
                <w:t>Ouster,</w:t>
              </w:r>
            </w:hyperlink>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Sense Photonics, Inc. and Hercules Capital, Inc.</w:t>
              </w:r>
            </w:hyperlink>
          </w:p>
        </w:tc>
        <w:tc>
          <w:tcPr>
            <w:tcW w:w="980" w:type="dxa"/>
            <w:vAlign w:val="bottom"/>
            <w:tcBorders>
              <w:top w:val="single" w:sz="8" w:color="0000FF"/>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09"/>
        </w:trPr>
        <w:tc>
          <w:tcPr>
            <w:tcW w:w="420" w:type="dxa"/>
            <w:vAlign w:val="bottom"/>
            <w:gridSpan w:val="2"/>
          </w:tcPr>
          <w:p>
            <w:pPr>
              <w:spacing w:after="0"/>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640" w:type="dxa"/>
            <w:vAlign w:val="bottom"/>
          </w:tcPr>
          <w:p>
            <w:pPr>
              <w:spacing w:after="0"/>
              <w:rPr>
                <w:sz w:val="18"/>
                <w:szCs w:val="18"/>
                <w:color w:val="auto"/>
              </w:rPr>
            </w:pPr>
          </w:p>
        </w:tc>
        <w:tc>
          <w:tcPr>
            <w:tcW w:w="4540" w:type="dxa"/>
            <w:vAlign w:val="bottom"/>
            <w:gridSpan w:val="12"/>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Form of Voting and Support Agreement, dated November 4,</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2022, by and among Ouster, Inc. and the Stockholders party</w:t>
              </w:r>
            </w:hyperlink>
          </w:p>
        </w:tc>
        <w:tc>
          <w:tcPr>
            <w:tcW w:w="40" w:type="dxa"/>
            <w:vAlign w:val="bottom"/>
            <w:tcBorders>
              <w:top w:val="single" w:sz="8" w:color="0000FF"/>
            </w:tcBorders>
          </w:tcPr>
          <w:p>
            <w:pPr>
              <w:spacing w:after="0"/>
              <w:rPr>
                <w:sz w:val="13"/>
                <w:szCs w:val="13"/>
                <w:color w:val="auto"/>
              </w:rPr>
            </w:pPr>
          </w:p>
        </w:tc>
        <w:tc>
          <w:tcPr>
            <w:tcW w:w="180" w:type="dxa"/>
            <w:vAlign w:val="bottom"/>
            <w:gridSpan w:val="3"/>
          </w:tcPr>
          <w:p>
            <w:pPr>
              <w:spacing w:after="0"/>
              <w:rPr>
                <w:sz w:val="13"/>
                <w:szCs w:val="13"/>
                <w:color w:val="auto"/>
              </w:rPr>
            </w:pPr>
          </w:p>
        </w:tc>
      </w:tr>
    </w:tbl>
    <w:p>
      <w:pPr>
        <w:ind w:left="108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thereto.</w:t>
        </w:r>
      </w:hyperlink>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001-39463</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80" w:type="dxa"/>
            <w:vAlign w:val="bottom"/>
          </w:tcPr>
          <w:p>
            <w:pPr>
              <w:jc w:val="right"/>
              <w:spacing w:after="0"/>
              <w:rPr>
                <w:sz w:val="20"/>
                <w:szCs w:val="20"/>
                <w:color w:val="auto"/>
              </w:rPr>
            </w:pPr>
            <w:r>
              <w:rPr>
                <w:rFonts w:ascii="Arial" w:cs="Arial" w:eastAsia="Arial" w:hAnsi="Arial"/>
                <w:sz w:val="18"/>
                <w:szCs w:val="18"/>
                <w:color w:val="auto"/>
              </w:rPr>
              <w:t>11/7/2022</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001-39463</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980" w:type="dxa"/>
            <w:vAlign w:val="bottom"/>
          </w:tcPr>
          <w:p>
            <w:pPr>
              <w:jc w:val="right"/>
              <w:spacing w:after="0"/>
              <w:rPr>
                <w:sz w:val="20"/>
                <w:szCs w:val="20"/>
                <w:color w:val="auto"/>
              </w:rPr>
            </w:pPr>
            <w:r>
              <w:rPr>
                <w:rFonts w:ascii="Arial" w:cs="Arial" w:eastAsia="Arial" w:hAnsi="Arial"/>
                <w:sz w:val="18"/>
                <w:szCs w:val="18"/>
                <w:color w:val="auto"/>
              </w:rPr>
              <w:t>11/7/2022</w:t>
            </w:r>
          </w:p>
        </w:tc>
      </w:tr>
    </w:tbl>
    <w:p>
      <w:pPr>
        <w:spacing w:after="0" w:line="541" w:lineRule="exact"/>
        <w:rPr>
          <w:sz w:val="20"/>
          <w:szCs w:val="20"/>
          <w:color w:val="auto"/>
        </w:rPr>
      </w:pPr>
    </w:p>
    <w:p>
      <w:pPr>
        <w:sectPr>
          <w:pgSz w:w="11900" w:h="16838" w:orient="portrait"/>
          <w:cols w:equalWidth="0" w:num="2">
            <w:col w:w="5600" w:space="500"/>
            <w:col w:w="5140"/>
          </w:cols>
          <w:pgMar w:left="320" w:top="125"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4560" w:type="dxa"/>
            <w:vAlign w:val="bottom"/>
            <w:gridSpan w:val="10"/>
          </w:tcPr>
          <w:p>
            <w:pPr>
              <w:spacing w:after="0"/>
              <w:rPr>
                <w:sz w:val="20"/>
                <w:szCs w:val="20"/>
                <w:color w:val="auto"/>
              </w:rPr>
            </w:pPr>
            <w:r>
              <w:rPr>
                <w:rFonts w:ascii="Arial" w:cs="Arial" w:eastAsia="Arial" w:hAnsi="Arial"/>
                <w:sz w:val="18"/>
                <w:szCs w:val="18"/>
                <w:color w:val="0000FF"/>
                <w:w w:val="92"/>
              </w:rPr>
              <w:t>Certification of Chief Executive Officer pursuant to Rules 13a-</w:t>
            </w:r>
          </w:p>
        </w:tc>
      </w:tr>
      <w:tr>
        <w:trPr>
          <w:trHeight w:val="155"/>
        </w:trPr>
        <w:tc>
          <w:tcPr>
            <w:tcW w:w="3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9"/>
              </w:rPr>
              <w:t>14(a)/15d-14(a) under the Securities Exchange Act of 1934, as</w:t>
            </w: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5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amended</w:t>
            </w:r>
          </w:p>
        </w:tc>
        <w:tc>
          <w:tcPr>
            <w:tcW w:w="40" w:type="dxa"/>
            <w:vAlign w:val="bottom"/>
            <w:gridSpan w:val="2"/>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080" w:type="dxa"/>
            <w:vAlign w:val="bottom"/>
            <w:gridSpan w:val="2"/>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4560" w:type="dxa"/>
            <w:vAlign w:val="bottom"/>
            <w:gridSpan w:val="10"/>
          </w:tcPr>
          <w:p>
            <w:pPr>
              <w:spacing w:after="0"/>
              <w:rPr>
                <w:sz w:val="20"/>
                <w:szCs w:val="20"/>
                <w:color w:val="auto"/>
              </w:rPr>
            </w:pPr>
            <w:r>
              <w:rPr>
                <w:rFonts w:ascii="Arial" w:cs="Arial" w:eastAsia="Arial" w:hAnsi="Arial"/>
                <w:sz w:val="18"/>
                <w:szCs w:val="18"/>
                <w:color w:val="0000FF"/>
                <w:w w:val="93"/>
              </w:rPr>
              <w:t>Certification of Chief Financial Officer pursuant to Rules 13a-</w:t>
            </w:r>
          </w:p>
        </w:tc>
      </w:tr>
      <w:tr>
        <w:trPr>
          <w:trHeight w:val="156"/>
        </w:trPr>
        <w:tc>
          <w:tcPr>
            <w:tcW w:w="3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450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89"/>
              </w:rPr>
              <w:t>14(a)/15d-14(a) under the Securities Exchange Act of 1934, as</w:t>
            </w:r>
          </w:p>
        </w:tc>
        <w:tc>
          <w:tcPr>
            <w:tcW w:w="60" w:type="dxa"/>
            <w:vAlign w:val="bottom"/>
            <w:gridSpan w:val="3"/>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5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amended</w:t>
            </w:r>
          </w:p>
        </w:tc>
        <w:tc>
          <w:tcPr>
            <w:tcW w:w="40" w:type="dxa"/>
            <w:vAlign w:val="bottom"/>
            <w:gridSpan w:val="2"/>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08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4560" w:type="dxa"/>
            <w:vAlign w:val="bottom"/>
            <w:gridSpan w:val="10"/>
          </w:tcPr>
          <w:p>
            <w:pPr>
              <w:spacing w:after="0"/>
              <w:rPr>
                <w:sz w:val="20"/>
                <w:szCs w:val="20"/>
                <w:color w:val="auto"/>
              </w:rPr>
            </w:pPr>
            <w:r>
              <w:rPr>
                <w:rFonts w:ascii="Arial" w:cs="Arial" w:eastAsia="Arial" w:hAnsi="Arial"/>
                <w:sz w:val="18"/>
                <w:szCs w:val="18"/>
                <w:color w:val="0000FF"/>
                <w:w w:val="94"/>
              </w:rPr>
              <w:t>Certification of Chief Executive Officer pursuant to 18 U.S.C.</w:t>
            </w:r>
          </w:p>
        </w:tc>
      </w:tr>
      <w:tr>
        <w:trPr>
          <w:trHeight w:val="155"/>
        </w:trPr>
        <w:tc>
          <w:tcPr>
            <w:tcW w:w="3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8"/>
              </w:rPr>
              <w:t>Section 1350, as adopted pursuant to Section 906 of the</w:t>
            </w:r>
          </w:p>
        </w:tc>
        <w:tc>
          <w:tcPr>
            <w:tcW w:w="80" w:type="dxa"/>
            <w:vAlign w:val="bottom"/>
            <w:gridSpan w:val="4"/>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Sarbanes-Oxley Act of 2002</w:t>
            </w:r>
          </w:p>
        </w:tc>
        <w:tc>
          <w:tcPr>
            <w:tcW w:w="4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09"/>
        </w:trPr>
        <w:tc>
          <w:tcPr>
            <w:tcW w:w="108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4560" w:type="dxa"/>
            <w:vAlign w:val="bottom"/>
            <w:gridSpan w:val="10"/>
          </w:tcPr>
          <w:p>
            <w:pPr>
              <w:spacing w:after="0"/>
              <w:rPr>
                <w:sz w:val="20"/>
                <w:szCs w:val="20"/>
                <w:color w:val="auto"/>
              </w:rPr>
            </w:pPr>
            <w:r>
              <w:rPr>
                <w:rFonts w:ascii="Arial" w:cs="Arial" w:eastAsia="Arial" w:hAnsi="Arial"/>
                <w:sz w:val="18"/>
                <w:szCs w:val="18"/>
                <w:color w:val="0000FF"/>
                <w:w w:val="95"/>
              </w:rPr>
              <w:t>Certification of Chief Financial Officer pursuant to 18 U.S.C.</w:t>
            </w:r>
          </w:p>
        </w:tc>
      </w:tr>
      <w:tr>
        <w:trPr>
          <w:trHeight w:val="156"/>
        </w:trPr>
        <w:tc>
          <w:tcPr>
            <w:tcW w:w="3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7"/>
              </w:rPr>
              <w:t>Section 1350, as adopted pursuant to Section 906 of the</w:t>
            </w:r>
          </w:p>
        </w:tc>
        <w:tc>
          <w:tcPr>
            <w:tcW w:w="140" w:type="dxa"/>
            <w:vAlign w:val="bottom"/>
            <w:gridSpan w:val="5"/>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Sarbanes-Oxley Act of 2002</w:t>
            </w:r>
          </w:p>
        </w:tc>
        <w:tc>
          <w:tcPr>
            <w:tcW w:w="560" w:type="dxa"/>
            <w:vAlign w:val="bottom"/>
            <w:gridSpan w:val="6"/>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4560" w:type="dxa"/>
            <w:vAlign w:val="bottom"/>
            <w:gridSpan w:val="10"/>
          </w:tcPr>
          <w:p>
            <w:pPr>
              <w:spacing w:after="0" w:line="196" w:lineRule="exact"/>
              <w:rPr>
                <w:sz w:val="20"/>
                <w:szCs w:val="20"/>
                <w:color w:val="auto"/>
              </w:rPr>
            </w:pPr>
            <w:r>
              <w:rPr>
                <w:rFonts w:ascii="Arial" w:cs="Arial" w:eastAsia="Arial" w:hAnsi="Arial"/>
                <w:sz w:val="18"/>
                <w:szCs w:val="18"/>
                <w:color w:val="auto"/>
                <w:w w:val="91"/>
              </w:rPr>
              <w:t>Inline XBRL Instance Document - the instance document does</w:t>
            </w:r>
          </w:p>
        </w:tc>
      </w:tr>
      <w:tr>
        <w:trPr>
          <w:trHeight w:val="188"/>
        </w:trPr>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60" w:type="dxa"/>
            <w:vAlign w:val="bottom"/>
            <w:gridSpan w:val="10"/>
          </w:tcPr>
          <w:p>
            <w:pPr>
              <w:spacing w:after="0" w:line="189" w:lineRule="exact"/>
              <w:rPr>
                <w:sz w:val="20"/>
                <w:szCs w:val="20"/>
                <w:color w:val="auto"/>
              </w:rPr>
            </w:pPr>
            <w:r>
              <w:rPr>
                <w:rFonts w:ascii="Arial" w:cs="Arial" w:eastAsia="Arial" w:hAnsi="Arial"/>
                <w:sz w:val="18"/>
                <w:szCs w:val="18"/>
                <w:color w:val="auto"/>
                <w:w w:val="94"/>
              </w:rPr>
              <w:t>not appear in the Interactive Data file because its XBRL tags</w:t>
            </w:r>
          </w:p>
        </w:tc>
      </w:tr>
      <w:tr>
        <w:trPr>
          <w:trHeight w:val="229"/>
        </w:trPr>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56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60" w:type="dxa"/>
            <w:vAlign w:val="bottom"/>
            <w:gridSpan w:val="10"/>
          </w:tcPr>
          <w:p>
            <w:pPr>
              <w:spacing w:after="0"/>
              <w:rPr>
                <w:sz w:val="20"/>
                <w:szCs w:val="20"/>
                <w:color w:val="auto"/>
              </w:rPr>
            </w:pPr>
            <w:r>
              <w:rPr>
                <w:rFonts w:ascii="Arial" w:cs="Arial" w:eastAsia="Arial" w:hAnsi="Arial"/>
                <w:sz w:val="18"/>
                <w:szCs w:val="18"/>
                <w:color w:val="auto"/>
              </w:rPr>
              <w:t>Document</w:t>
            </w:r>
          </w:p>
        </w:tc>
      </w:tr>
      <w:tr>
        <w:trPr>
          <w:trHeight w:val="188"/>
        </w:trPr>
        <w:tc>
          <w:tcPr>
            <w:tcW w:w="1080" w:type="dxa"/>
            <w:vAlign w:val="bottom"/>
            <w:gridSpan w:val="2"/>
          </w:tcPr>
          <w:p>
            <w:pPr>
              <w:spacing w:after="0" w:line="189" w:lineRule="exact"/>
              <w:rPr>
                <w:sz w:val="20"/>
                <w:szCs w:val="20"/>
                <w:color w:val="auto"/>
              </w:rPr>
            </w:pPr>
            <w:r>
              <w:rPr>
                <w:rFonts w:ascii="Arial" w:cs="Arial" w:eastAsia="Arial" w:hAnsi="Arial"/>
                <w:sz w:val="18"/>
                <w:szCs w:val="18"/>
                <w:color w:val="auto"/>
              </w:rPr>
              <w:t>101.DEF</w:t>
            </w:r>
          </w:p>
        </w:tc>
        <w:tc>
          <w:tcPr>
            <w:tcW w:w="456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60" w:type="dxa"/>
            <w:vAlign w:val="bottom"/>
            <w:gridSpan w:val="10"/>
          </w:tcPr>
          <w:p>
            <w:pPr>
              <w:spacing w:after="0"/>
              <w:rPr>
                <w:sz w:val="20"/>
                <w:szCs w:val="20"/>
                <w:color w:val="auto"/>
              </w:rPr>
            </w:pPr>
            <w:r>
              <w:rPr>
                <w:rFonts w:ascii="Arial" w:cs="Arial" w:eastAsia="Arial" w:hAnsi="Arial"/>
                <w:sz w:val="18"/>
                <w:szCs w:val="18"/>
                <w:color w:val="auto"/>
              </w:rPr>
              <w:t>Document</w:t>
            </w:r>
          </w:p>
        </w:tc>
      </w:tr>
      <w:tr>
        <w:trPr>
          <w:trHeight w:val="242"/>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60" w:type="dxa"/>
            <w:vAlign w:val="bottom"/>
            <w:gridSpan w:val="10"/>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60" w:type="dxa"/>
            <w:vAlign w:val="bottom"/>
            <w:gridSpan w:val="10"/>
          </w:tcPr>
          <w:p>
            <w:pPr>
              <w:spacing w:after="0"/>
              <w:rPr>
                <w:sz w:val="20"/>
                <w:szCs w:val="20"/>
                <w:color w:val="auto"/>
              </w:rPr>
            </w:pPr>
            <w:r>
              <w:rPr>
                <w:rFonts w:ascii="Arial" w:cs="Arial" w:eastAsia="Arial" w:hAnsi="Arial"/>
                <w:sz w:val="18"/>
                <w:szCs w:val="18"/>
                <w:color w:val="auto"/>
              </w:rPr>
              <w:t>Document</w:t>
            </w:r>
          </w:p>
        </w:tc>
      </w:tr>
    </w:tbl>
    <w:p>
      <w:pPr>
        <w:spacing w:after="0" w:line="12" w:lineRule="exact"/>
        <w:rPr>
          <w:sz w:val="20"/>
          <w:szCs w:val="20"/>
          <w:color w:val="auto"/>
        </w:rPr>
      </w:pPr>
    </w:p>
    <w:p>
      <w:pPr>
        <w:ind w:left="1100" w:right="4420" w:hanging="1074"/>
        <w:spacing w:after="0" w:line="261"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3" w:lineRule="exact"/>
        <w:rPr>
          <w:sz w:val="20"/>
          <w:szCs w:val="20"/>
          <w:color w:val="auto"/>
        </w:rPr>
      </w:pPr>
    </w:p>
    <w:p>
      <w:pPr>
        <w:ind w:left="560" w:hanging="534"/>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annexes, schedules, and certain exhibits to this Exhibit have been omitted pursuant to Item 601(b)(2) of Regulation S-K.</w:t>
      </w:r>
    </w:p>
    <w:p>
      <w:pPr>
        <w:spacing w:after="0" w:line="72"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compensatory plan, contract or arrangement.</w:t>
      </w:r>
    </w:p>
    <w:p>
      <w:pPr>
        <w:spacing w:after="0" w:line="23"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860" w:space="720"/>
            <w:col w:w="180"/>
          </w:cols>
          <w:pgMar w:left="320" w:top="125" w:right="81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120" w:type="dxa"/>
            <w:vAlign w:val="bottom"/>
          </w:tcPr>
          <w:p>
            <w:pPr>
              <w:spacing w:after="0"/>
              <w:rPr>
                <w:sz w:val="19"/>
                <w:szCs w:val="19"/>
                <w:color w:val="auto"/>
              </w:rPr>
            </w:pPr>
          </w:p>
        </w:tc>
        <w:tc>
          <w:tcPr>
            <w:tcW w:w="8080" w:type="dxa"/>
            <w:vAlign w:val="bottom"/>
            <w:gridSpan w:val="2"/>
          </w:tcPr>
          <w:p>
            <w:pPr>
              <w:ind w:left="1320"/>
              <w:spacing w:after="0"/>
              <w:rPr>
                <w:sz w:val="20"/>
                <w:szCs w:val="20"/>
                <w:color w:val="auto"/>
              </w:rPr>
            </w:pPr>
            <w:r>
              <w:rPr>
                <w:rFonts w:ascii="Arial" w:cs="Arial" w:eastAsia="Arial" w:hAnsi="Arial"/>
                <w:sz w:val="18"/>
                <w:szCs w:val="18"/>
                <w:color w:val="auto"/>
              </w:rPr>
              <w:t>Ouster, Inc.</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November 8, 2022</w:t>
            </w:r>
          </w:p>
        </w:tc>
        <w:tc>
          <w:tcPr>
            <w:tcW w:w="2080" w:type="dxa"/>
            <w:vAlign w:val="bottom"/>
          </w:tcPr>
          <w:p>
            <w:pPr>
              <w:ind w:left="132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Brunelle</w:t>
            </w:r>
          </w:p>
        </w:tc>
      </w:tr>
      <w:tr>
        <w:trPr>
          <w:trHeight w:val="222"/>
        </w:trPr>
        <w:tc>
          <w:tcPr>
            <w:tcW w:w="3120" w:type="dxa"/>
            <w:vAlign w:val="bottom"/>
          </w:tcPr>
          <w:p>
            <w:pPr>
              <w:spacing w:after="0"/>
              <w:rPr>
                <w:sz w:val="19"/>
                <w:szCs w:val="19"/>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Name:</w:t>
            </w:r>
          </w:p>
        </w:tc>
        <w:tc>
          <w:tcPr>
            <w:tcW w:w="6000" w:type="dxa"/>
            <w:vAlign w:val="bottom"/>
          </w:tcPr>
          <w:p>
            <w:pPr>
              <w:ind w:left="20"/>
              <w:spacing w:after="0"/>
              <w:rPr>
                <w:sz w:val="20"/>
                <w:szCs w:val="20"/>
                <w:color w:val="auto"/>
              </w:rPr>
            </w:pPr>
            <w:r>
              <w:rPr>
                <w:rFonts w:ascii="Arial" w:cs="Arial" w:eastAsia="Arial" w:hAnsi="Arial"/>
                <w:sz w:val="18"/>
                <w:szCs w:val="18"/>
                <w:color w:val="auto"/>
              </w:rPr>
              <w:t>Anna Brunelle</w:t>
            </w:r>
          </w:p>
        </w:tc>
      </w:tr>
      <w:tr>
        <w:trPr>
          <w:trHeight w:val="176"/>
        </w:trPr>
        <w:tc>
          <w:tcPr>
            <w:tcW w:w="3120" w:type="dxa"/>
            <w:vAlign w:val="bottom"/>
          </w:tcPr>
          <w:p>
            <w:pPr>
              <w:spacing w:after="0"/>
              <w:rPr>
                <w:sz w:val="15"/>
                <w:szCs w:val="15"/>
                <w:color w:val="auto"/>
              </w:rPr>
            </w:pPr>
          </w:p>
        </w:tc>
        <w:tc>
          <w:tcPr>
            <w:tcW w:w="2080" w:type="dxa"/>
            <w:vAlign w:val="bottom"/>
          </w:tcPr>
          <w:p>
            <w:pPr>
              <w:ind w:left="1320"/>
              <w:spacing w:after="0" w:line="176" w:lineRule="exact"/>
              <w:rPr>
                <w:sz w:val="20"/>
                <w:szCs w:val="20"/>
                <w:color w:val="auto"/>
              </w:rPr>
            </w:pPr>
            <w:r>
              <w:rPr>
                <w:rFonts w:ascii="Arial" w:cs="Arial" w:eastAsia="Arial" w:hAnsi="Arial"/>
                <w:sz w:val="18"/>
                <w:szCs w:val="18"/>
                <w:color w:val="auto"/>
              </w:rPr>
              <w:t>Title:</w:t>
            </w:r>
          </w:p>
        </w:tc>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principal accounting</w:t>
            </w:r>
          </w:p>
        </w:tc>
      </w:tr>
      <w:tr>
        <w:trPr>
          <w:trHeight w:val="230"/>
        </w:trPr>
        <w:tc>
          <w:tcPr>
            <w:tcW w:w="3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917"/>
        </w:trPr>
        <w:tc>
          <w:tcPr>
            <w:tcW w:w="3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20"/>
          </w:cols>
          <w:pgMar w:left="320" w:top="125"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2797175</wp:posOffset>
            </wp:positionH>
            <wp:positionV relativeFrom="page">
              <wp:posOffset>1203325</wp:posOffset>
            </wp:positionV>
            <wp:extent cx="1954530" cy="1045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95453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August 27, 2020</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Anna Brunelle</w:t>
      </w:r>
    </w:p>
    <w:p>
      <w:pPr>
        <w:spacing w:after="0"/>
        <w:rPr>
          <w:sz w:val="20"/>
          <w:szCs w:val="20"/>
          <w:color w:val="auto"/>
        </w:rPr>
      </w:pPr>
      <w:r>
        <w:rPr>
          <w:rFonts w:ascii="Arial" w:cs="Arial" w:eastAsia="Arial" w:hAnsi="Arial"/>
          <w:sz w:val="22"/>
          <w:szCs w:val="22"/>
          <w:color w:val="auto"/>
        </w:rPr>
        <w: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Dear Anna:</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We believe that your skills, experience and personal qualities could make a major contribution to our company’s success. We would love to have you as a member of our team, and would like to make you the following offer of employment:</w:t>
      </w:r>
    </w:p>
    <w:p>
      <w:pPr>
        <w:spacing w:after="0"/>
        <w:rPr>
          <w:sz w:val="20"/>
          <w:szCs w:val="20"/>
          <w:color w:val="auto"/>
        </w:rPr>
      </w:pPr>
      <w:r>
        <w:rPr>
          <w:rFonts w:ascii="Arial" w:cs="Arial" w:eastAsia="Arial" w:hAnsi="Arial"/>
          <w:sz w:val="22"/>
          <w:szCs w:val="22"/>
          <w:i w:val="1"/>
          <w:iCs w:val="1"/>
          <w:u w:val="single" w:color="auto"/>
          <w:color w:val="auto"/>
        </w:rPr>
        <w:t>Position with Ouster</w:t>
      </w:r>
    </w:p>
    <w:p>
      <w:pPr>
        <w:spacing w:after="0" w:line="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Ouster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is pleased to offer you employment in the position of Chief Financial Officer in which you will be responsible for duties as are normally associated with such position. You will be headquartered in our facility located in San Francisco, California and your anticipated start date will be August 31, 2020. You will report directly to the Chief Executive Officer (the “</w:t>
      </w:r>
      <w:r>
        <w:rPr>
          <w:rFonts w:ascii="Arial" w:cs="Arial" w:eastAsia="Arial" w:hAnsi="Arial"/>
          <w:sz w:val="22"/>
          <w:szCs w:val="22"/>
          <w:u w:val="single" w:color="auto"/>
          <w:color w:val="auto"/>
        </w:rPr>
        <w:t>CEO</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Compensation</w:t>
      </w:r>
    </w:p>
    <w:p>
      <w:pPr>
        <w:spacing w:after="0" w:line="5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If you decide to join us, you will be an exempt, salaried employee with a base salary at the annual rate of $320,000.00, less payroll deductions and all required withholdings. Your salary will be payable in accordance with the Company’s standard payroll policies.</w:t>
      </w:r>
    </w:p>
    <w:p>
      <w:pPr>
        <w:spacing w:after="0" w:line="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As an additional incentive to join the Company, subject to approval by the Board of Directors of the Company, you will be granted an early exercisable option to purchase 1,952,494 shares of common stock of the Company pursuant to the Company’s 2015 Amended and Restated Stock Plan, as the same may be amended by the Company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at a per share exercise price equal to the fair market value of the Company’s common stock on the date of grant (the “</w:t>
      </w:r>
      <w:r>
        <w:rPr>
          <w:rFonts w:ascii="Arial" w:cs="Arial" w:eastAsia="Arial" w:hAnsi="Arial"/>
          <w:sz w:val="21"/>
          <w:szCs w:val="21"/>
          <w:u w:val="single" w:color="auto"/>
          <w:color w:val="auto"/>
        </w:rPr>
        <w:t>Option</w:t>
      </w:r>
      <w:r>
        <w:rPr>
          <w:rFonts w:ascii="Arial" w:cs="Arial" w:eastAsia="Arial" w:hAnsi="Arial"/>
          <w:sz w:val="21"/>
          <w:szCs w:val="21"/>
          <w:color w:val="auto"/>
        </w:rPr>
        <w:t xml:space="preserve">”), as </w:t>
      </w:r>
      <w:r>
        <w:rPr>
          <w:rFonts w:ascii="Arial" w:cs="Arial" w:eastAsia="Arial" w:hAnsi="Arial"/>
          <w:sz w:val="21"/>
          <w:szCs w:val="21"/>
          <w:color w:val="292929"/>
        </w:rPr>
        <w:t>determined by the Company’s Board of Directors. Subject to the terms</w:t>
      </w:r>
      <w:r>
        <w:rPr>
          <w:rFonts w:ascii="Arial" w:cs="Arial" w:eastAsia="Arial" w:hAnsi="Arial"/>
          <w:sz w:val="21"/>
          <w:szCs w:val="21"/>
          <w:color w:val="auto"/>
        </w:rPr>
        <w:t xml:space="preserve"> </w:t>
      </w:r>
      <w:r>
        <w:rPr>
          <w:rFonts w:ascii="Arial" w:cs="Arial" w:eastAsia="Arial" w:hAnsi="Arial"/>
          <w:sz w:val="21"/>
          <w:szCs w:val="21"/>
          <w:color w:val="292929"/>
        </w:rPr>
        <w:t>and conditions of the Plan and a Stock Option Agreement entered into by and between you and the Company, twenty-five percent (25%) of the shares subject to the Option shall vest one year after May 18, 2020, which shall be the vesting commencement date (no shares shall vest before such date and no rights to any vesting shall be earned or accrued prior to such date), and 1/48</w:t>
      </w:r>
      <w:r>
        <w:rPr>
          <w:rFonts w:ascii="Arial" w:cs="Arial" w:eastAsia="Arial" w:hAnsi="Arial"/>
          <w:sz w:val="27"/>
          <w:szCs w:val="27"/>
          <w:b w:val="1"/>
          <w:bCs w:val="1"/>
          <w:color w:val="292929"/>
          <w:vertAlign w:val="superscript"/>
        </w:rPr>
        <w:t>th</w:t>
      </w:r>
      <w:r>
        <w:rPr>
          <w:rFonts w:ascii="Arial" w:cs="Arial" w:eastAsia="Arial" w:hAnsi="Arial"/>
          <w:sz w:val="21"/>
          <w:szCs w:val="21"/>
          <w:color w:val="292929"/>
        </w:rPr>
        <w:t xml:space="preserve"> of the shares subject to the Option shall vest in equal monthly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4"/>
          <w:szCs w:val="14"/>
          <w:color w:val="auto"/>
        </w:rPr>
        <w:t>|US-DOCS\136981514.1||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292929"/>
        </w:rPr>
        <w:t>installments for three years thereafter, with such vesting subject to your continuing employment and eligibility. In the event you exercise the Option prior to vesting, the unvested shares (after giving effect to any accelerated vesting) acquired will be subject to repurchase by the Company at the original exercise price thereof upon any termination of your employment.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Merit Bonus Program</w:t>
      </w:r>
    </w:p>
    <w:p>
      <w:pPr>
        <w:spacing w:after="0" w:line="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In addition to the above compensation, you will also be eligible to participate in the Company’s annual merit bonus program. As part of the program, you are eligible to receive an annual bonus targeted to 31.25% of your current annual base salary (each a “</w:t>
      </w:r>
      <w:r>
        <w:rPr>
          <w:rFonts w:ascii="Arial" w:cs="Arial" w:eastAsia="Arial" w:hAnsi="Arial"/>
          <w:sz w:val="22"/>
          <w:szCs w:val="22"/>
          <w:u w:val="single" w:color="auto"/>
          <w:color w:val="auto"/>
        </w:rPr>
        <w:t>Merit Bonus</w:t>
      </w:r>
      <w:r>
        <w:rPr>
          <w:rFonts w:ascii="Arial" w:cs="Arial" w:eastAsia="Arial" w:hAnsi="Arial"/>
          <w:sz w:val="22"/>
          <w:szCs w:val="22"/>
          <w:color w:val="auto"/>
        </w:rPr>
        <w:t>”). Merit Bonuses are awarded based on the quality of your performance in the previous calendar year, in accordance with performance criteria approved by the Company’s Board of Directors and are subject to adjustment by the Company’s Board of Directors. Any Merit Bonus earned by you will be paid by March 15 of the calendar year following the year in which the Merit Bonus is earned.</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Compensation Acknowledgment</w:t>
      </w:r>
    </w:p>
    <w:p>
      <w:pPr>
        <w:spacing w:after="0" w:line="5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All forms of compensation referred to in this letter are subject to the approval of the Company’s Board of Directors as well as reduction to reflect applicable withholding and payroll taxes and all other deductions required by law.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Benefits</w:t>
      </w:r>
    </w:p>
    <w:p>
      <w:pPr>
        <w:spacing w:after="0" w:line="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As an employee, you will be eligible to participate in certain incentive, savings and retirement plans, practices, policies and programs maintained or sponsored by the Company for the benefit of its employees, in accordance with the terms of those plans. You will also be eligible for standard benefits as provided by the Company in accordance with the applicable plans and policies, including, but not limited to, medical, dental and vision insurance, sick leave, vacations, and holidays. Details about these benefits will be provided in an Employee Handbook and in Summary Plan Descriptions, which will be made available to you for your review.</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At-Will Employment</w:t>
      </w:r>
    </w:p>
    <w:p>
      <w:pPr>
        <w:spacing w:after="0" w:line="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The Company is excited about your joining and looks forward to a mutually beneficial relationship. Nevertheless, your employment with the Company is “at will”. This means you may terminate your employment with the Company at any time and for any reason whatsoever simply by notifying the Company. Likewise, the Company may terminate your employment at any time and for any reason whatsoever, with or without cause or advance notice. The at-will nature of our employment relationship cannot be changed, except in a writing signed by the Company’s CEO.</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Change of Control and Severance</w:t>
      </w:r>
    </w:p>
    <w:p>
      <w:pPr>
        <w:spacing w:after="0" w:line="5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In the event you remain continuously employed by the Company through the closing of a Change of Control (as defined in the Plan) of the Company and you deliver to the Company a general release of claims against the Company and its affiliates in a form acceptable to the Company that becomes effective and irrevocable within sixty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|US-DOCS\136981514.1||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7" w:lineRule="exact"/>
        <w:rPr>
          <w:sz w:val="20"/>
          <w:szCs w:val="20"/>
          <w:color w:val="auto"/>
        </w:rPr>
      </w:pPr>
    </w:p>
    <w:p>
      <w:pPr>
        <w:jc w:val="both"/>
        <w:spacing w:after="0" w:line="273" w:lineRule="auto"/>
        <w:rPr>
          <w:sz w:val="20"/>
          <w:szCs w:val="20"/>
          <w:color w:val="auto"/>
        </w:rPr>
      </w:pPr>
      <w:r>
        <w:rPr>
          <w:rFonts w:ascii="Arial" w:cs="Arial" w:eastAsia="Arial" w:hAnsi="Arial"/>
          <w:sz w:val="22"/>
          <w:szCs w:val="22"/>
          <w:color w:val="auto"/>
        </w:rPr>
        <w:t>days following the closing of the Change of Control, then the vesting and exercisability of the Option shall accelerate in respect of 50% of the unvested shares subject thereto as of immediately prior to the closing of the Change of Control.</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In the event your employment with the Company is terminated by the Company without Cause or you resign your employment with the Company for Good Reason (each, as defined below), in each case within the ninety (90) day period immediately before or twelve month period immediately following the closing of a Change of Control (as defined in the Plan) of the Company and you deliver to the Company a general release of claims against the Company and its affiliates in a form acceptable to the Company that becomes effective and irrevocable within sixty</w:t>
      </w:r>
    </w:p>
    <w:p>
      <w:pPr>
        <w:spacing w:after="0" w:line="3" w:lineRule="exact"/>
        <w:rPr>
          <w:sz w:val="20"/>
          <w:szCs w:val="20"/>
          <w:color w:val="auto"/>
        </w:rPr>
      </w:pPr>
    </w:p>
    <w:p>
      <w:pPr>
        <w:jc w:val="both"/>
        <w:ind w:firstLine="8"/>
        <w:spacing w:after="0" w:line="288" w:lineRule="auto"/>
        <w:tabs>
          <w:tab w:leader="none" w:pos="449" w:val="left"/>
        </w:tabs>
        <w:numPr>
          <w:ilvl w:val="0"/>
          <w:numId w:val="14"/>
        </w:numPr>
        <w:rPr>
          <w:rFonts w:ascii="Arial" w:cs="Arial" w:eastAsia="Arial" w:hAnsi="Arial"/>
          <w:sz w:val="21"/>
          <w:szCs w:val="21"/>
          <w:color w:val="auto"/>
        </w:rPr>
      </w:pPr>
      <w:r>
        <w:rPr>
          <w:rFonts w:ascii="Arial" w:cs="Arial" w:eastAsia="Arial" w:hAnsi="Arial"/>
          <w:sz w:val="21"/>
          <w:szCs w:val="21"/>
          <w:color w:val="auto"/>
        </w:rPr>
        <w:t>days following such termination or resignation, then the vesting and exercisability of the Options shall accelerate in respect of 100% of the unvested shares subject thereto as of immediately prior to the closing of the Change of</w:t>
      </w:r>
    </w:p>
    <w:p>
      <w:pPr>
        <w:spacing w:after="0"/>
        <w:rPr>
          <w:rFonts w:ascii="Arial" w:cs="Arial" w:eastAsia="Arial" w:hAnsi="Arial"/>
          <w:sz w:val="21"/>
          <w:szCs w:val="21"/>
          <w:color w:val="auto"/>
        </w:rPr>
      </w:pPr>
      <w:r>
        <w:rPr>
          <w:rFonts w:ascii="Arial" w:cs="Arial" w:eastAsia="Arial" w:hAnsi="Arial"/>
          <w:sz w:val="22"/>
          <w:szCs w:val="22"/>
          <w:color w:val="auto"/>
        </w:rPr>
        <w:t>Control.</w:t>
      </w:r>
    </w:p>
    <w:p>
      <w:pPr>
        <w:spacing w:after="0" w:line="30" w:lineRule="exact"/>
        <w:rPr>
          <w:rFonts w:ascii="Arial" w:cs="Arial" w:eastAsia="Arial" w:hAnsi="Arial"/>
          <w:sz w:val="21"/>
          <w:szCs w:val="21"/>
          <w:color w:val="auto"/>
        </w:rPr>
      </w:pPr>
    </w:p>
    <w:p>
      <w:pPr>
        <w:jc w:val="both"/>
        <w:ind w:firstLine="648"/>
        <w:spacing w:after="0" w:line="286" w:lineRule="auto"/>
        <w:rPr>
          <w:rFonts w:ascii="Arial" w:cs="Arial" w:eastAsia="Arial" w:hAnsi="Arial"/>
          <w:sz w:val="21"/>
          <w:szCs w:val="21"/>
          <w:color w:val="auto"/>
        </w:rPr>
      </w:pPr>
      <w:r>
        <w:rPr>
          <w:rFonts w:ascii="Arial" w:cs="Arial" w:eastAsia="Arial" w:hAnsi="Arial"/>
          <w:sz w:val="21"/>
          <w:szCs w:val="21"/>
          <w:color w:val="auto"/>
        </w:rPr>
        <w:t>In the event your employment with the Company is terminated by the Company without Cause or you resign your employment with the Company for Good Reason (each, as defined below) prior to a Change of Control (as defined in the Plan), then, subject to you delivering to the Company a general release of claims against the Company</w:t>
      </w:r>
    </w:p>
    <w:p>
      <w:pPr>
        <w:jc w:val="both"/>
        <w:spacing w:after="0" w:line="286" w:lineRule="auto"/>
        <w:rPr>
          <w:rFonts w:ascii="Arial" w:cs="Arial" w:eastAsia="Arial" w:hAnsi="Arial"/>
          <w:sz w:val="21"/>
          <w:szCs w:val="21"/>
          <w:color w:val="auto"/>
        </w:rPr>
      </w:pPr>
      <w:r>
        <w:rPr>
          <w:rFonts w:ascii="Arial" w:cs="Arial" w:eastAsia="Arial" w:hAnsi="Arial"/>
          <w:sz w:val="21"/>
          <w:szCs w:val="21"/>
          <w:color w:val="auto"/>
        </w:rPr>
        <w:t>and its affiliates in a form acceptable to the Company that becomes effective and irrevocable within sixty (60) days following such termination or resignation, the Company agrees to provide you a severance payment equal to the sum of: (i) six (6) months of your then current annual salary and (ii) any earned and accrued Merit Bonuses (or any portion</w:t>
      </w:r>
    </w:p>
    <w:p>
      <w:pPr>
        <w:ind w:right="20"/>
        <w:spacing w:after="0" w:line="268" w:lineRule="auto"/>
        <w:rPr>
          <w:rFonts w:ascii="Arial" w:cs="Arial" w:eastAsia="Arial" w:hAnsi="Arial"/>
          <w:sz w:val="21"/>
          <w:szCs w:val="21"/>
          <w:color w:val="auto"/>
        </w:rPr>
      </w:pPr>
      <w:r>
        <w:rPr>
          <w:rFonts w:ascii="Arial" w:cs="Arial" w:eastAsia="Arial" w:hAnsi="Arial"/>
          <w:sz w:val="22"/>
          <w:szCs w:val="22"/>
          <w:color w:val="auto"/>
        </w:rPr>
        <w:t>thereof), such amount to be paid to you on the first payroll date following the date the release of claims becomes effective and irrevocable.</w:t>
      </w:r>
    </w:p>
    <w:p>
      <w:pPr>
        <w:spacing w:after="0" w:line="2" w:lineRule="exact"/>
        <w:rPr>
          <w:rFonts w:ascii="Arial" w:cs="Arial" w:eastAsia="Arial" w:hAnsi="Arial"/>
          <w:sz w:val="21"/>
          <w:szCs w:val="21"/>
          <w:color w:val="auto"/>
        </w:rPr>
      </w:pPr>
    </w:p>
    <w:p>
      <w:pPr>
        <w:jc w:val="both"/>
        <w:ind w:firstLine="648"/>
        <w:spacing w:after="0" w:line="288" w:lineRule="auto"/>
        <w:rPr>
          <w:rFonts w:ascii="Arial" w:cs="Arial" w:eastAsia="Arial" w:hAnsi="Arial"/>
          <w:sz w:val="21"/>
          <w:szCs w:val="21"/>
          <w:color w:val="auto"/>
        </w:rPr>
      </w:pPr>
      <w:r>
        <w:rPr>
          <w:rFonts w:ascii="Arial" w:cs="Arial" w:eastAsia="Arial" w:hAnsi="Arial"/>
          <w:sz w:val="21"/>
          <w:szCs w:val="21"/>
          <w:color w:val="auto"/>
        </w:rPr>
        <w:t>In the event your employment with the Company is terminated by the Company without Cause or you resign your employment with the Company for Good Reason (each, as defined below), in each case within the twelve month</w:t>
      </w:r>
    </w:p>
    <w:p>
      <w:pPr>
        <w:jc w:val="both"/>
        <w:spacing w:after="0" w:line="285" w:lineRule="auto"/>
        <w:rPr>
          <w:rFonts w:ascii="Arial" w:cs="Arial" w:eastAsia="Arial" w:hAnsi="Arial"/>
          <w:sz w:val="21"/>
          <w:szCs w:val="21"/>
          <w:color w:val="auto"/>
        </w:rPr>
      </w:pPr>
      <w:r>
        <w:rPr>
          <w:rFonts w:ascii="Arial" w:cs="Arial" w:eastAsia="Arial" w:hAnsi="Arial"/>
          <w:sz w:val="21"/>
          <w:szCs w:val="21"/>
          <w:color w:val="auto"/>
        </w:rPr>
        <w:t>period immediately following the closing of a Change of Control (as defined in the Plan), then, subject to you delivering to the Company a general release of claims against the Company and its affiliates in a form acceptable to the Company that becomes effective and irrevocable within sixty (60) days following such termination or resignation, the Company agrees to provide you a severance payment equal to the sum of: (i) twelve (12) months of your then</w:t>
      </w:r>
    </w:p>
    <w:p>
      <w:pPr>
        <w:jc w:val="both"/>
        <w:spacing w:after="0" w:line="268" w:lineRule="auto"/>
        <w:rPr>
          <w:rFonts w:ascii="Arial" w:cs="Arial" w:eastAsia="Arial" w:hAnsi="Arial"/>
          <w:sz w:val="21"/>
          <w:szCs w:val="21"/>
          <w:color w:val="auto"/>
        </w:rPr>
      </w:pPr>
      <w:r>
        <w:rPr>
          <w:rFonts w:ascii="Arial" w:cs="Arial" w:eastAsia="Arial" w:hAnsi="Arial"/>
          <w:sz w:val="22"/>
          <w:szCs w:val="22"/>
          <w:color w:val="auto"/>
        </w:rPr>
        <w:t>current annual salary; (ii) any earned and accrued Merit Bonuses (or any portion thereof); and (iii) an amount equal to twelve (12) months of COBRA health insurance premiums, such amount to be paid to you on the first payroll date following the date the release of claims becomes effective and irrevocable.</w:t>
      </w:r>
    </w:p>
    <w:p>
      <w:pPr>
        <w:spacing w:after="0" w:line="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For purposes of this offer letter, “</w:t>
      </w:r>
      <w:r>
        <w:rPr>
          <w:rFonts w:ascii="Arial" w:cs="Arial" w:eastAsia="Arial" w:hAnsi="Arial"/>
          <w:sz w:val="22"/>
          <w:szCs w:val="22"/>
          <w:u w:val="single" w:color="auto"/>
          <w:color w:val="auto"/>
        </w:rPr>
        <w:t>Cause</w:t>
      </w:r>
      <w:r>
        <w:rPr>
          <w:rFonts w:ascii="Arial" w:cs="Arial" w:eastAsia="Arial" w:hAnsi="Arial"/>
          <w:sz w:val="22"/>
          <w:szCs w:val="22"/>
          <w:color w:val="auto"/>
        </w:rPr>
        <w:t>” means: (i) your willful and continued failure to substantially perform</w:t>
      </w:r>
    </w:p>
    <w:p>
      <w:pPr>
        <w:spacing w:after="0" w:line="44" w:lineRule="exact"/>
        <w:rPr>
          <w:rFonts w:ascii="Arial" w:cs="Arial" w:eastAsia="Arial" w:hAnsi="Arial"/>
          <w:sz w:val="21"/>
          <w:szCs w:val="21"/>
          <w:color w:val="auto"/>
        </w:rPr>
      </w:pPr>
    </w:p>
    <w:p>
      <w:pPr>
        <w:jc w:val="both"/>
        <w:spacing w:after="0" w:line="272" w:lineRule="auto"/>
        <w:rPr>
          <w:rFonts w:ascii="Arial" w:cs="Arial" w:eastAsia="Arial" w:hAnsi="Arial"/>
          <w:sz w:val="21"/>
          <w:szCs w:val="21"/>
          <w:color w:val="auto"/>
        </w:rPr>
      </w:pPr>
      <w:r>
        <w:rPr>
          <w:rFonts w:ascii="Arial" w:cs="Arial" w:eastAsia="Arial" w:hAnsi="Arial"/>
          <w:sz w:val="22"/>
          <w:szCs w:val="22"/>
          <w:color w:val="auto"/>
        </w:rPr>
        <w:t>your duties with the Company (other than any such failure resulting from your incapacity due to physical or mental illness), after a written demand for substantial performance is delivered to you by the CEO or Board of Directors of the Company, (ii) your willful and continued failure to substantially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|US-DOCS\136981514.1||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and comply with such specific and lawful directives of the CEO, after a written demand for substantial performance is delivered to you by the CEO, (iii) your commission of an act of fraud or material dishonesty, or (iv) your conviction of, or entry by you of a guilty or no contest plea to, the commission of a felony or any other crime involving moral turpitude.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offer letter and the Amended and Restated 2015 Stock Plan, “</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3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a material reduction in your annual base salary, (ii) a material diminution in your duties or responsibilities, or level</w:t>
      </w:r>
    </w:p>
    <w:p>
      <w:pPr>
        <w:spacing w:after="0" w:line="55" w:lineRule="exact"/>
        <w:rPr>
          <w:rFonts w:ascii="Arial" w:cs="Arial" w:eastAsia="Arial" w:hAnsi="Arial"/>
          <w:sz w:val="21"/>
          <w:szCs w:val="21"/>
          <w:color w:val="auto"/>
        </w:rPr>
      </w:pPr>
    </w:p>
    <w:p>
      <w:pPr>
        <w:jc w:val="both"/>
        <w:spacing w:after="0" w:line="285" w:lineRule="auto"/>
        <w:rPr>
          <w:rFonts w:ascii="Arial" w:cs="Arial" w:eastAsia="Arial" w:hAnsi="Arial"/>
          <w:sz w:val="21"/>
          <w:szCs w:val="21"/>
          <w:color w:val="auto"/>
        </w:rPr>
      </w:pPr>
      <w:r>
        <w:rPr>
          <w:rFonts w:ascii="Arial" w:cs="Arial" w:eastAsia="Arial" w:hAnsi="Arial"/>
          <w:sz w:val="21"/>
          <w:szCs w:val="21"/>
          <w:color w:val="auto"/>
        </w:rPr>
        <w:t>of authority, (including the person or persons to whom you report), (iii) a relocation of your principal place of employment that increases your one-way commute by at least thirty-five (35) miles, or (iv) material breach of this offer letter by the company, including any failure to pay you any compensation or benefits to which you are entitled within fifteen (15) days of the date due. Notwithstanding the foregoing, in no event shall you be deemed to have Good</w:t>
      </w:r>
    </w:p>
    <w:p>
      <w:pPr>
        <w:jc w:val="both"/>
        <w:spacing w:after="0" w:line="268" w:lineRule="auto"/>
        <w:rPr>
          <w:rFonts w:ascii="Arial" w:cs="Arial" w:eastAsia="Arial" w:hAnsi="Arial"/>
          <w:sz w:val="21"/>
          <w:szCs w:val="21"/>
          <w:color w:val="auto"/>
        </w:rPr>
      </w:pPr>
      <w:r>
        <w:rPr>
          <w:rFonts w:ascii="Arial" w:cs="Arial" w:eastAsia="Arial" w:hAnsi="Arial"/>
          <w:sz w:val="22"/>
          <w:szCs w:val="22"/>
          <w:color w:val="auto"/>
        </w:rPr>
        <w:t>Reason unless (a) you provide written notice to the Company of the condition giving rise to Good Reason within thirty (60) days of its initial occurrence, (b) the Company fails to cure such condition within thirty (30) days after the Company receives your written notice of such condition and (c) your resignation is effective within thirty (60) days</w:t>
      </w:r>
    </w:p>
    <w:p>
      <w:pPr>
        <w:spacing w:after="0" w:line="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following the end of such cure period.</w:t>
      </w:r>
    </w:p>
    <w:p>
      <w:pPr>
        <w:spacing w:after="0" w:line="2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i w:val="1"/>
          <w:iCs w:val="1"/>
          <w:u w:val="single" w:color="auto"/>
          <w:color w:val="auto"/>
        </w:rPr>
        <w:t>Eligibility for Employment; Exclusive Employment</w:t>
      </w:r>
    </w:p>
    <w:p>
      <w:pPr>
        <w:spacing w:after="0" w:line="52" w:lineRule="exact"/>
        <w:rPr>
          <w:rFonts w:ascii="Arial" w:cs="Arial" w:eastAsia="Arial" w:hAnsi="Arial"/>
          <w:sz w:val="21"/>
          <w:szCs w:val="21"/>
          <w:color w:val="auto"/>
        </w:rPr>
      </w:pPr>
    </w:p>
    <w:p>
      <w:pPr>
        <w:jc w:val="both"/>
        <w:ind w:firstLine="648"/>
        <w:spacing w:after="0" w:line="288" w:lineRule="auto"/>
        <w:rPr>
          <w:rFonts w:ascii="Arial" w:cs="Arial" w:eastAsia="Arial" w:hAnsi="Arial"/>
          <w:sz w:val="21"/>
          <w:szCs w:val="21"/>
          <w:color w:val="auto"/>
        </w:rPr>
      </w:pPr>
      <w:r>
        <w:rPr>
          <w:rFonts w:ascii="Arial" w:cs="Arial" w:eastAsia="Arial" w:hAnsi="Arial"/>
          <w:sz w:val="21"/>
          <w:szCs w:val="21"/>
          <w:color w:val="auto"/>
        </w:rPr>
        <w:t>For purposes of federal immigration law, you will be required to provide to the Company documentary evidence of your identity and eligibility for employment in the United States. Such documentation must be provided to</w:t>
      </w:r>
    </w:p>
    <w:p>
      <w:pPr>
        <w:jc w:val="both"/>
        <w:spacing w:after="0" w:line="271" w:lineRule="auto"/>
        <w:rPr>
          <w:rFonts w:ascii="Arial" w:cs="Arial" w:eastAsia="Arial" w:hAnsi="Arial"/>
          <w:sz w:val="21"/>
          <w:szCs w:val="21"/>
          <w:color w:val="auto"/>
        </w:rPr>
      </w:pPr>
      <w:r>
        <w:rPr>
          <w:rFonts w:ascii="Arial" w:cs="Arial" w:eastAsia="Arial" w:hAnsi="Arial"/>
          <w:sz w:val="22"/>
          <w:szCs w:val="22"/>
          <w:color w:val="auto"/>
        </w:rPr>
        <w:t>us within three (3) business days of your date of hire, or our employment relationship with you may be terminated. The Company also reserves the right to conduct background investigations and/or reference checks on all of its potential employees. Your job offer is contingent upon clearance of such a background investigation and/or reference check, if any.</w:t>
      </w:r>
    </w:p>
    <w:p>
      <w:pPr>
        <w:spacing w:after="0" w:line="4" w:lineRule="exact"/>
        <w:rPr>
          <w:rFonts w:ascii="Arial" w:cs="Arial" w:eastAsia="Arial" w:hAnsi="Arial"/>
          <w:sz w:val="21"/>
          <w:szCs w:val="21"/>
          <w:color w:val="auto"/>
        </w:rPr>
      </w:pPr>
    </w:p>
    <w:p>
      <w:pPr>
        <w:jc w:val="both"/>
        <w:ind w:firstLine="648"/>
        <w:spacing w:after="0" w:line="285" w:lineRule="auto"/>
        <w:rPr>
          <w:rFonts w:ascii="Arial" w:cs="Arial" w:eastAsia="Arial" w:hAnsi="Arial"/>
          <w:sz w:val="21"/>
          <w:szCs w:val="21"/>
          <w:color w:val="auto"/>
        </w:rPr>
      </w:pPr>
      <w:r>
        <w:rPr>
          <w:rFonts w:ascii="Arial" w:cs="Arial" w:eastAsia="Arial" w:hAnsi="Arial"/>
          <w:sz w:val="21"/>
          <w:szCs w:val="21"/>
          <w:color w:val="auto"/>
        </w:rPr>
        <w:t>If you have not already done so, please disclose to the Company any and all agreements that may affect your eligibility to be employed by the Company or limit the manner in which you may be employed. It is the Company’s understanding that you are not a party to any agreements (including, by way of example, any agreements with any prior employers) that will prevent you from performing the duties of your position with the Company and, by your</w:t>
      </w:r>
    </w:p>
    <w:p>
      <w:pPr>
        <w:jc w:val="both"/>
        <w:spacing w:after="0" w:line="281" w:lineRule="auto"/>
        <w:rPr>
          <w:rFonts w:ascii="Arial" w:cs="Arial" w:eastAsia="Arial" w:hAnsi="Arial"/>
          <w:sz w:val="21"/>
          <w:szCs w:val="21"/>
          <w:color w:val="auto"/>
        </w:rPr>
      </w:pPr>
      <w:r>
        <w:rPr>
          <w:rFonts w:ascii="Arial" w:cs="Arial" w:eastAsia="Arial" w:hAnsi="Arial"/>
          <w:sz w:val="21"/>
          <w:szCs w:val="21"/>
          <w:color w:val="auto"/>
        </w:rPr>
        <w:t>signature below,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w:t>
      </w:r>
    </w:p>
    <w:p>
      <w:pPr>
        <w:spacing w:after="0" w:line="2" w:lineRule="exact"/>
        <w:rPr>
          <w:rFonts w:ascii="Arial" w:cs="Arial" w:eastAsia="Arial" w:hAnsi="Arial"/>
          <w:sz w:val="21"/>
          <w:szCs w:val="21"/>
          <w:color w:val="auto"/>
        </w:rPr>
      </w:pPr>
    </w:p>
    <w:p>
      <w:pPr>
        <w:ind w:right="1200"/>
        <w:spacing w:after="0" w:line="275" w:lineRule="auto"/>
        <w:rPr>
          <w:rFonts w:ascii="Arial" w:cs="Arial" w:eastAsia="Arial" w:hAnsi="Arial"/>
          <w:sz w:val="21"/>
          <w:szCs w:val="21"/>
          <w:color w:val="auto"/>
        </w:rPr>
      </w:pPr>
      <w:r>
        <w:rPr>
          <w:rFonts w:ascii="Arial" w:cs="Arial" w:eastAsia="Arial" w:hAnsi="Arial"/>
          <w:sz w:val="22"/>
          <w:szCs w:val="22"/>
          <w:color w:val="auto"/>
        </w:rPr>
        <w:t xml:space="preserve">employment, nor will you engage in any other activities that conflict with your obligations to the Company. </w:t>
      </w:r>
      <w:r>
        <w:rPr>
          <w:rFonts w:ascii="Arial" w:cs="Arial" w:eastAsia="Arial" w:hAnsi="Arial"/>
          <w:sz w:val="22"/>
          <w:szCs w:val="22"/>
          <w:i w:val="1"/>
          <w:iCs w:val="1"/>
          <w:u w:val="single" w:color="auto"/>
          <w:color w:val="auto"/>
        </w:rPr>
        <w:t>Enclosures; Governing Law; Entire Agreement</w:t>
      </w:r>
    </w:p>
    <w:p>
      <w:pPr>
        <w:ind w:right="20" w:firstLine="648"/>
        <w:spacing w:after="0" w:line="275" w:lineRule="auto"/>
        <w:rPr>
          <w:rFonts w:ascii="Arial" w:cs="Arial" w:eastAsia="Arial" w:hAnsi="Arial"/>
          <w:sz w:val="21"/>
          <w:szCs w:val="21"/>
          <w:color w:val="auto"/>
        </w:rPr>
      </w:pPr>
      <w:r>
        <w:rPr>
          <w:rFonts w:ascii="Arial" w:cs="Arial" w:eastAsia="Arial" w:hAnsi="Arial"/>
          <w:sz w:val="22"/>
          <w:szCs w:val="22"/>
          <w:color w:val="auto"/>
        </w:rPr>
        <w:t>As a condition of employment, you will also be required to sign and comply with a Confidential Information and Invention Assignment Agreement, which is enclosed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|US-DOCS\136981514.1||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 w:lineRule="exact"/>
        <w:rPr>
          <w:sz w:val="20"/>
          <w:szCs w:val="20"/>
          <w:color w:val="auto"/>
        </w:rPr>
      </w:pPr>
    </w:p>
    <w:p>
      <w:pPr>
        <w:jc w:val="both"/>
        <w:spacing w:after="0" w:line="273" w:lineRule="auto"/>
        <w:rPr>
          <w:sz w:val="20"/>
          <w:szCs w:val="20"/>
          <w:color w:val="auto"/>
        </w:rPr>
      </w:pPr>
      <w:r>
        <w:rPr>
          <w:rFonts w:ascii="Arial" w:cs="Arial" w:eastAsia="Arial" w:hAnsi="Arial"/>
          <w:sz w:val="22"/>
          <w:szCs w:val="22"/>
          <w:color w:val="auto"/>
        </w:rPr>
        <w:t>which, among other things, prohibits unauthorized use or disclosure of Company proprietary information. Similarly, you agree not to bring any third-party confidential information to the Company, including that of your former employers, and that in performing your duties for the Company you will not in any way utilize any such information.</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The terms of this letter and the resolution of any dispute as to the meaning, effect, performance or validity of this letter or arising out of, related to, or in any way connected with, this letter, your employment with the Company (or termination thereof) or any other relationship between you and the Company (a “</w:t>
      </w:r>
      <w:r>
        <w:rPr>
          <w:rFonts w:ascii="Arial" w:cs="Arial" w:eastAsia="Arial" w:hAnsi="Arial"/>
          <w:sz w:val="22"/>
          <w:szCs w:val="22"/>
          <w:u w:val="single" w:color="auto"/>
          <w:color w:val="auto"/>
        </w:rPr>
        <w:t>Dispute</w:t>
      </w:r>
      <w:r>
        <w:rPr>
          <w:rFonts w:ascii="Arial" w:cs="Arial" w:eastAsia="Arial" w:hAnsi="Arial"/>
          <w:sz w:val="22"/>
          <w:szCs w:val="22"/>
          <w:color w:val="auto"/>
        </w:rPr>
        <w:t>”) will be governed by the laws of the State of California, without giving effect to the principles of conflict of laws, and any Dispute will be resolved in accordance with the Confidential Employment Arbitration Agreement, which is enclosed herein and must be signed by you as a condition of your employment. To the extent not subject to Confidential Employment Arbitration Agreement, you and the Company consent to the exclusive jurisdiction of, and venue in, the state courts in San Francisco in the State of California (or in the event of exclusive federal jurisdiction, the courts of the Northern District of California in connection with any Dispute or any claim related to any Dispute).</w:t>
      </w:r>
    </w:p>
    <w:p>
      <w:pPr>
        <w:spacing w:after="0" w:line="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If any term of this letter is held to be invalid, void or unenforceable, the remainder of the terms herein will remain in full force and effect and will in no way be affected. This letter, including, but not limited to, its at-will employment provision, may not be modified or amended except by a written agreement signed by the Company’s CEO and you. If you accept this offer, this letter and its enclosures (including, without limitation, the Confidential Information and Invention Assignment Agreement and the Confidential Employment Arbitration Agreement) shall constitute the complete agreement between you and the Company with respect to the terms and conditions of your employment. Any prior or contemporaneous representations (whether oral or written) that may have been made to you, including any representations made during your interviews, are expressly cancelled and superseded by this letter.</w:t>
      </w:r>
    </w:p>
    <w:p>
      <w:pPr>
        <w:spacing w:after="0" w:line="12" w:lineRule="exact"/>
        <w:rPr>
          <w:sz w:val="20"/>
          <w:szCs w:val="20"/>
          <w:color w:val="auto"/>
        </w:rPr>
      </w:pPr>
    </w:p>
    <w:p>
      <w:pPr>
        <w:jc w:val="both"/>
        <w:ind w:firstLine="666"/>
        <w:spacing w:after="0" w:line="275" w:lineRule="auto"/>
        <w:rPr>
          <w:sz w:val="20"/>
          <w:szCs w:val="20"/>
          <w:color w:val="auto"/>
        </w:rPr>
      </w:pPr>
      <w:r>
        <w:rPr>
          <w:rFonts w:ascii="Arial" w:cs="Arial" w:eastAsia="Arial" w:hAnsi="Arial"/>
          <w:sz w:val="22"/>
          <w:szCs w:val="22"/>
          <w:color w:val="auto"/>
        </w:rPr>
        <w:t>Please sign and date this letter and return it to the Company within five (5) calendar days after receiving this letter if you wish to accept employment at the Company under the terms contained in this offer of employment.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|US-DOCS\136981514.1||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416" w:lineRule="auto"/>
        <w:rPr>
          <w:sz w:val="20"/>
          <w:szCs w:val="20"/>
          <w:color w:val="auto"/>
        </w:rPr>
      </w:pPr>
      <w:r>
        <w:rPr>
          <w:rFonts w:ascii="Arial" w:cs="Arial" w:eastAsia="Arial" w:hAnsi="Arial"/>
          <w:sz w:val="22"/>
          <w:szCs w:val="22"/>
          <w:color w:val="auto"/>
        </w:rPr>
        <w:t>All of us at the Company look forward to your favorable reply, and to a productive and enjoyable work relationship. Sincerely,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 Angus Pacala</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Angus Pacala</w:t>
      </w:r>
    </w:p>
    <w:p>
      <w:pPr>
        <w:spacing w:after="0" w:line="204" w:lineRule="auto"/>
        <w:rPr>
          <w:sz w:val="20"/>
          <w:szCs w:val="20"/>
          <w:color w:val="auto"/>
        </w:rPr>
      </w:pPr>
      <w:r>
        <w:rPr>
          <w:rFonts w:ascii="Arial" w:cs="Arial" w:eastAsia="Arial" w:hAnsi="Arial"/>
          <w:sz w:val="22"/>
          <w:szCs w:val="22"/>
          <w:color w:val="auto"/>
        </w:rPr>
        <w:t>Chief Executive Offer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OUSTER,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I accept this offer of employment with Ouster, Inc., and agree to the terms and conditions set forth in this letter.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 Anna Brunelle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Anna Brunelle</w:t>
      </w:r>
    </w:p>
    <w:p>
      <w:pPr>
        <w:spacing w:after="0"/>
        <w:rPr>
          <w:sz w:val="20"/>
          <w:szCs w:val="20"/>
          <w:color w:val="auto"/>
        </w:rPr>
      </w:pPr>
      <w:r>
        <w:rPr>
          <w:rFonts w:ascii="Arial" w:cs="Arial" w:eastAsia="Arial" w:hAnsi="Arial"/>
          <w:sz w:val="22"/>
          <w:szCs w:val="22"/>
          <w:b w:val="1"/>
          <w:bCs w:val="1"/>
          <w:color w:val="auto"/>
        </w:rPr>
        <w:t xml:space="preserve">DATE: </w:t>
      </w:r>
      <w:r>
        <w:rPr>
          <w:rFonts w:ascii="Arial" w:cs="Arial" w:eastAsia="Arial" w:hAnsi="Arial"/>
          <w:sz w:val="22"/>
          <w:szCs w:val="22"/>
          <w:color w:val="auto"/>
        </w:rPr>
        <w:t>08/27/2020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4"/>
          <w:szCs w:val="14"/>
          <w:color w:val="auto"/>
        </w:rPr>
        <w:t>|US-DOCS\136981514.1||</w:t>
      </w:r>
    </w:p>
    <w:p>
      <w:pPr>
        <w:sectPr>
          <w:pgSz w:w="11900" w:h="16838" w:orient="portrait"/>
          <w:cols w:equalWidth="0" w:num="1">
            <w:col w:w="10880"/>
          </w:cols>
          <w:pgMar w:left="320" w:top="1416" w:right="69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88900</wp:posOffset>
            </wp:positionV>
            <wp:extent cx="1825625" cy="11315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82562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Anna Brunelle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September 16, 2020</w:t>
      </w:r>
    </w:p>
    <w:p>
      <w:pPr>
        <w:spacing w:after="0"/>
        <w:tabs>
          <w:tab w:leader="none" w:pos="500" w:val="left"/>
        </w:tabs>
        <w:rPr>
          <w:sz w:val="20"/>
          <w:szCs w:val="20"/>
          <w:color w:val="auto"/>
        </w:rPr>
      </w:pPr>
      <w:r>
        <w:rPr>
          <w:rFonts w:ascii="Arial" w:cs="Arial" w:eastAsia="Arial" w:hAnsi="Arial"/>
          <w:sz w:val="20"/>
          <w:szCs w:val="20"/>
          <w:color w:val="auto"/>
        </w:rPr>
        <w:t>Re:</w:t>
        <w:tab/>
        <w:t>Amendment of Offer Letter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Dear Anna,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As you know, you entered into an offer letter agreement with Ouster, Inc. (the “</w:t>
      </w:r>
      <w:r>
        <w:rPr>
          <w:rFonts w:ascii="Arial" w:cs="Arial" w:eastAsia="Arial" w:hAnsi="Arial"/>
          <w:sz w:val="20"/>
          <w:szCs w:val="20"/>
          <w:u w:val="single" w:color="auto"/>
          <w:color w:val="auto"/>
        </w:rPr>
        <w:t>Company</w:t>
      </w:r>
      <w:r>
        <w:rPr>
          <w:rFonts w:ascii="Arial" w:cs="Arial" w:eastAsia="Arial" w:hAnsi="Arial"/>
          <w:sz w:val="20"/>
          <w:szCs w:val="20"/>
          <w:color w:val="auto"/>
        </w:rPr>
        <w:t>”) dated as of August 26, 2020 (the</w:t>
      </w:r>
    </w:p>
    <w:p>
      <w:pPr>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 Letter</w:t>
      </w:r>
      <w:r>
        <w:rPr>
          <w:rFonts w:ascii="Arial" w:cs="Arial" w:eastAsia="Arial" w:hAnsi="Arial"/>
          <w:sz w:val="20"/>
          <w:szCs w:val="20"/>
          <w:color w:val="auto"/>
        </w:rPr>
        <w:t>”). The purpose of this letter (the “</w:t>
      </w:r>
      <w:r>
        <w:rPr>
          <w:rFonts w:ascii="Arial" w:cs="Arial" w:eastAsia="Arial" w:hAnsi="Arial"/>
          <w:sz w:val="20"/>
          <w:szCs w:val="20"/>
          <w:u w:val="single" w:color="auto"/>
          <w:color w:val="auto"/>
        </w:rPr>
        <w:t>Letter Amendment</w:t>
      </w:r>
      <w:r>
        <w:rPr>
          <w:rFonts w:ascii="Arial" w:cs="Arial" w:eastAsia="Arial" w:hAnsi="Arial"/>
          <w:sz w:val="20"/>
          <w:szCs w:val="20"/>
          <w:color w:val="auto"/>
        </w:rPr>
        <w:t>”) is to amend the Offer Letter to modify your Merit Bonus Program and revise the definition of Good Reason.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Accordingly, upon the execution of this Letter Amendment by you and the Company, the Offer Letter will be amended as follows:</w:t>
      </w:r>
    </w:p>
    <w:p>
      <w:pPr>
        <w:spacing w:after="0" w:line="200" w:lineRule="exact"/>
        <w:rPr>
          <w:sz w:val="20"/>
          <w:szCs w:val="20"/>
          <w:color w:val="auto"/>
        </w:rPr>
      </w:pPr>
    </w:p>
    <w:p>
      <w:pPr>
        <w:jc w:val="both"/>
        <w:ind w:left="1300" w:hanging="644"/>
        <w:spacing w:after="0" w:line="220" w:lineRule="auto"/>
        <w:tabs>
          <w:tab w:leader="none" w:pos="1289"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Merit Bonus Program</w:t>
      </w:r>
      <w:r>
        <w:rPr>
          <w:rFonts w:ascii="Arial" w:cs="Arial" w:eastAsia="Arial" w:hAnsi="Arial"/>
          <w:sz w:val="19"/>
          <w:szCs w:val="19"/>
          <w:color w:val="auto"/>
        </w:rPr>
        <w:t>” section of the Offer Letter is hereby deleted in its entirety and replaced with the following: “</w:t>
      </w:r>
      <w:r>
        <w:rPr>
          <w:rFonts w:ascii="Arial" w:cs="Arial" w:eastAsia="Arial" w:hAnsi="Arial"/>
          <w:sz w:val="19"/>
          <w:szCs w:val="19"/>
          <w:u w:val="single" w:color="auto"/>
          <w:color w:val="auto"/>
        </w:rPr>
        <w:t>Merit Bonus Program</w:t>
      </w:r>
      <w:r>
        <w:rPr>
          <w:rFonts w:ascii="Arial" w:cs="Arial" w:eastAsia="Arial" w:hAnsi="Arial"/>
          <w:sz w:val="19"/>
          <w:szCs w:val="19"/>
          <w:color w:val="auto"/>
        </w:rPr>
        <w:t>. In addition to the above compensation, you will also be eligible to earn a merit bonus of $150,000.00, in the event that, on or before June 31, 2021, the Company closes either: (a) an equity financing, or series of equity financings, that results in gross proceeds to the Company of not less than $50,000,000.00; or (b) a Change of Control (as defined in the Plan) (the “</w:t>
      </w:r>
      <w:r>
        <w:rPr>
          <w:rFonts w:ascii="Arial" w:cs="Arial" w:eastAsia="Arial" w:hAnsi="Arial"/>
          <w:sz w:val="19"/>
          <w:szCs w:val="19"/>
          <w:u w:val="single" w:color="auto"/>
          <w:color w:val="auto"/>
        </w:rPr>
        <w:t>Initial Merit Bonus</w:t>
      </w:r>
      <w:r>
        <w:rPr>
          <w:rFonts w:ascii="Arial" w:cs="Arial" w:eastAsia="Arial" w:hAnsi="Arial"/>
          <w:sz w:val="19"/>
          <w:szCs w:val="19"/>
          <w:color w:val="auto"/>
        </w:rPr>
        <w:t>”). For the avoidance of doubt, you will only be entitled to earn the Initial Merit Bonus once. Starting on January 1, 2021, you will also be eligible to receive annual merit bonuses targeted to 31.25% of your current annual base salary (each an “</w:t>
      </w:r>
      <w:r>
        <w:rPr>
          <w:rFonts w:ascii="Arial" w:cs="Arial" w:eastAsia="Arial" w:hAnsi="Arial"/>
          <w:sz w:val="19"/>
          <w:szCs w:val="19"/>
          <w:u w:val="single" w:color="auto"/>
          <w:color w:val="auto"/>
        </w:rPr>
        <w:t>Annual Merit Bonus</w:t>
      </w:r>
      <w:r>
        <w:rPr>
          <w:rFonts w:ascii="Arial" w:cs="Arial" w:eastAsia="Arial" w:hAnsi="Arial"/>
          <w:sz w:val="19"/>
          <w:szCs w:val="19"/>
          <w:color w:val="auto"/>
        </w:rPr>
        <w:t>” and collectively with the Initial Merit Bonus, “</w:t>
      </w:r>
      <w:r>
        <w:rPr>
          <w:rFonts w:ascii="Arial" w:cs="Arial" w:eastAsia="Arial" w:hAnsi="Arial"/>
          <w:sz w:val="19"/>
          <w:szCs w:val="19"/>
          <w:u w:val="single" w:color="auto"/>
          <w:color w:val="auto"/>
        </w:rPr>
        <w:t>Merit Bonuses</w:t>
      </w:r>
      <w:r>
        <w:rPr>
          <w:rFonts w:ascii="Arial" w:cs="Arial" w:eastAsia="Arial" w:hAnsi="Arial"/>
          <w:sz w:val="19"/>
          <w:szCs w:val="19"/>
          <w:color w:val="auto"/>
        </w:rPr>
        <w:t>”). Annual Merit Bonuses are awarded based on the quality of your performance in the previous calendar year, in accordance with performance criteria approved by the Company’s Board of Directors and are subject to adjustment by the Company’s Board of Directors. The Company will use reasonable efforts to pay any Merit Bonuses earned by you within thirty (30) days following the date on which the Merit Bonus is earned, but in no event will any Merit Bonus earned by you be paid later than March 15 of the calendar year following the year in which the Merit Bonus is earned.”</w:t>
      </w:r>
    </w:p>
    <w:p>
      <w:pPr>
        <w:spacing w:after="0" w:line="177" w:lineRule="exact"/>
        <w:rPr>
          <w:rFonts w:ascii="Arial" w:cs="Arial" w:eastAsia="Arial" w:hAnsi="Arial"/>
          <w:sz w:val="19"/>
          <w:szCs w:val="19"/>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Good Reason</w:t>
      </w:r>
      <w:r>
        <w:rPr>
          <w:rFonts w:ascii="Arial" w:cs="Arial" w:eastAsia="Arial" w:hAnsi="Arial"/>
          <w:sz w:val="20"/>
          <w:szCs w:val="20"/>
          <w:color w:val="auto"/>
        </w:rPr>
        <w:t>” included in the Offer Letter is hereby amended as follows:</w:t>
      </w:r>
    </w:p>
    <w:p>
      <w:pPr>
        <w:spacing w:after="0" w:line="188" w:lineRule="exact"/>
        <w:rPr>
          <w:rFonts w:ascii="Arial" w:cs="Arial" w:eastAsia="Arial" w:hAnsi="Arial"/>
          <w:sz w:val="20"/>
          <w:szCs w:val="20"/>
          <w:color w:val="auto"/>
        </w:rPr>
      </w:pPr>
    </w:p>
    <w:p>
      <w:pPr>
        <w:ind w:left="1960" w:hanging="656"/>
        <w:spacing w:after="0" w:line="229" w:lineRule="auto"/>
        <w:tabs>
          <w:tab w:leader="none" w:pos="1951" w:val="left"/>
        </w:tabs>
        <w:numPr>
          <w:ilvl w:val="1"/>
          <w:numId w:val="16"/>
        </w:numPr>
        <w:rPr>
          <w:rFonts w:ascii="Arial" w:cs="Arial" w:eastAsia="Arial" w:hAnsi="Arial"/>
          <w:sz w:val="20"/>
          <w:szCs w:val="20"/>
          <w:color w:val="auto"/>
        </w:rPr>
      </w:pPr>
      <w:r>
        <w:rPr>
          <w:rFonts w:ascii="Arial" w:cs="Arial" w:eastAsia="Arial" w:hAnsi="Arial"/>
          <w:sz w:val="20"/>
          <w:szCs w:val="20"/>
          <w:color w:val="auto"/>
        </w:rPr>
        <w:t>In romanette (ii) “(including the person or persons to whom you report)” is deleted in its entirety and replaced with “(including reporting to any Company official other than the Chief Executive Officer)”; and</w:t>
      </w:r>
    </w:p>
    <w:p>
      <w:pPr>
        <w:spacing w:after="0" w:line="168" w:lineRule="exact"/>
        <w:rPr>
          <w:rFonts w:ascii="Arial" w:cs="Arial" w:eastAsia="Arial" w:hAnsi="Arial"/>
          <w:sz w:val="20"/>
          <w:szCs w:val="20"/>
          <w:color w:val="auto"/>
        </w:rPr>
      </w:pPr>
    </w:p>
    <w:p>
      <w:pPr>
        <w:ind w:left="1940" w:hanging="636"/>
        <w:spacing w:after="0"/>
        <w:tabs>
          <w:tab w:leader="none" w:pos="1940" w:val="left"/>
        </w:tabs>
        <w:numPr>
          <w:ilvl w:val="1"/>
          <w:numId w:val="16"/>
        </w:numPr>
        <w:rPr>
          <w:rFonts w:ascii="Arial" w:cs="Arial" w:eastAsia="Arial" w:hAnsi="Arial"/>
          <w:sz w:val="20"/>
          <w:szCs w:val="20"/>
          <w:color w:val="auto"/>
        </w:rPr>
      </w:pPr>
      <w:r>
        <w:rPr>
          <w:rFonts w:ascii="Arial" w:cs="Arial" w:eastAsia="Arial" w:hAnsi="Arial"/>
          <w:sz w:val="20"/>
          <w:szCs w:val="20"/>
          <w:color w:val="auto"/>
        </w:rPr>
        <w:t>In clause (c), “(60)” will be deleted in its entirety and replaced with “(30)”.</w:t>
      </w:r>
    </w:p>
    <w:p>
      <w:pPr>
        <w:spacing w:after="0" w:line="189"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As of the date of the last signature below, the terms and conditions set forth in this Letter Amendment shall be deemed a part of, and to have amended, the Offer Letter for all purposes. This Letter Amendment may be executed in several counterparts, all of</w:t>
      </w:r>
    </w:p>
    <w:p>
      <w:pPr>
        <w:spacing w:after="0"/>
        <w:rPr>
          <w:sz w:val="20"/>
          <w:szCs w:val="20"/>
          <w:color w:val="auto"/>
        </w:rPr>
      </w:pPr>
      <w:r>
        <w:rPr>
          <w:rFonts w:ascii="Arial" w:cs="Arial" w:eastAsia="Arial" w:hAnsi="Arial"/>
          <w:sz w:val="20"/>
          <w:szCs w:val="20"/>
          <w:color w:val="auto"/>
        </w:rPr>
        <w:t>which taken together shall constitute one single agreement between the parties. In the event of a conflict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 of #NUM_PAGES#</w:t>
      </w:r>
    </w:p>
    <w:p>
      <w:pPr>
        <w:spacing w:after="0"/>
        <w:rPr>
          <w:sz w:val="20"/>
          <w:szCs w:val="20"/>
          <w:color w:val="auto"/>
        </w:rPr>
      </w:pPr>
      <w:r>
        <w:rPr>
          <w:rFonts w:ascii="Arial" w:cs="Arial" w:eastAsia="Arial" w:hAnsi="Arial"/>
          <w:sz w:val="14"/>
          <w:szCs w:val="14"/>
          <w:color w:val="auto"/>
        </w:rPr>
        <w:t>|US-DOCS\137075626.1||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inconsistency between the terms and conditions set forth in this Letter Amendment and those set forth in the Offer Letter, the terms and conditions of this Letter Amendment shall control. Except as amended and supplemented hereby, all of the terms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conditions of the Offer Letter shall remain and continue in full force and effect and apply hereto. The parties acknowledge that this Letter Amendment and all the terms and conditions contained herein have been fully reviewed and negotiated by the</w:t>
      </w:r>
    </w:p>
    <w:p>
      <w:pPr>
        <w:spacing w:after="0" w:line="223" w:lineRule="auto"/>
        <w:rPr>
          <w:sz w:val="20"/>
          <w:szCs w:val="20"/>
          <w:color w:val="auto"/>
        </w:rPr>
      </w:pPr>
      <w:r>
        <w:rPr>
          <w:rFonts w:ascii="Arial" w:cs="Arial" w:eastAsia="Arial" w:hAnsi="Arial"/>
          <w:sz w:val="19"/>
          <w:szCs w:val="19"/>
          <w:color w:val="auto"/>
        </w:rPr>
        <w:t>parties. Having acknowledged the foregoing, the parties agree that any principle of construction or rule of law that provides that,</w:t>
      </w:r>
    </w:p>
    <w:p>
      <w:pPr>
        <w:spacing w:after="0" w:line="215" w:lineRule="auto"/>
        <w:rPr>
          <w:sz w:val="20"/>
          <w:szCs w:val="20"/>
          <w:color w:val="auto"/>
        </w:rPr>
      </w:pPr>
      <w:r>
        <w:rPr>
          <w:rFonts w:ascii="Arial" w:cs="Arial" w:eastAsia="Arial" w:hAnsi="Arial"/>
          <w:sz w:val="19"/>
          <w:szCs w:val="19"/>
          <w:color w:val="auto"/>
        </w:rPr>
        <w:t>in the event of any inconsistency or ambiguity, an agreement shall be construed against the drafter of the agreement shall have no application to the terms and conditions of this Letter Amendment. This Letter Amendment, when read in conjunction with the</w:t>
      </w:r>
    </w:p>
    <w:p>
      <w:pPr>
        <w:spacing w:after="0" w:line="211" w:lineRule="auto"/>
        <w:rPr>
          <w:sz w:val="20"/>
          <w:szCs w:val="20"/>
          <w:color w:val="auto"/>
        </w:rPr>
      </w:pPr>
      <w:r>
        <w:rPr>
          <w:rFonts w:ascii="Arial" w:cs="Arial" w:eastAsia="Arial" w:hAnsi="Arial"/>
          <w:sz w:val="20"/>
          <w:szCs w:val="20"/>
          <w:color w:val="auto"/>
        </w:rPr>
        <w:t>Offer Letter (including, without limitation, all exhibits, attachments, and schedules thereto) constitutes the entire agreement</w:t>
      </w:r>
    </w:p>
    <w:p>
      <w:pPr>
        <w:spacing w:after="0" w:line="204" w:lineRule="auto"/>
        <w:rPr>
          <w:sz w:val="20"/>
          <w:szCs w:val="20"/>
          <w:color w:val="auto"/>
        </w:rPr>
      </w:pPr>
      <w:r>
        <w:rPr>
          <w:rFonts w:ascii="Arial" w:cs="Arial" w:eastAsia="Arial" w:hAnsi="Arial"/>
          <w:sz w:val="20"/>
          <w:szCs w:val="20"/>
          <w:color w:val="auto"/>
        </w:rPr>
        <w:t>between the parties with respect to the subject matter of this Letter Amendment and pursuant to the terms of this Letter Amendment supersedes all prior agreements, whether written or oral, with respect to the subject matter of this Letter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Amendment.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2 of #NUM_PAGES#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|US-DOCS\137075626.1||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this Letter Amendment is agreed to and accepted as of the date of the last signature below:</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Ouster,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Signature: /s/ Angus Pacala</w:t>
      </w:r>
    </w:p>
    <w:p>
      <w:pPr>
        <w:spacing w:after="0" w:line="211" w:lineRule="auto"/>
        <w:rPr>
          <w:sz w:val="20"/>
          <w:szCs w:val="20"/>
          <w:color w:val="auto"/>
        </w:rPr>
      </w:pPr>
      <w:r>
        <w:rPr>
          <w:rFonts w:ascii="Arial" w:cs="Arial" w:eastAsia="Arial" w:hAnsi="Arial"/>
          <w:sz w:val="20"/>
          <w:szCs w:val="20"/>
          <w:color w:val="auto"/>
        </w:rPr>
        <w:t>Name: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-125730</wp:posOffset>
            </wp:positionV>
            <wp:extent cx="10826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08267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-5715</wp:posOffset>
            </wp:positionV>
            <wp:extent cx="915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-22860</wp:posOffset>
            </wp:positionV>
            <wp:extent cx="4121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41211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Anna Brunelle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Signature: /s/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-5715</wp:posOffset>
            </wp:positionV>
            <wp:extent cx="1096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-22860</wp:posOffset>
            </wp:positionV>
            <wp:extent cx="9290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Page 3 of #NUM_PAGES#</w:t>
      </w:r>
    </w:p>
    <w:p>
      <w:pPr>
        <w:spacing w:after="0"/>
        <w:rPr>
          <w:sz w:val="20"/>
          <w:szCs w:val="20"/>
          <w:color w:val="auto"/>
        </w:rPr>
      </w:pPr>
      <w:r>
        <w:rPr>
          <w:rFonts w:ascii="Arial" w:cs="Arial" w:eastAsia="Arial" w:hAnsi="Arial"/>
          <w:sz w:val="14"/>
          <w:szCs w:val="14"/>
          <w:color w:val="auto"/>
        </w:rPr>
        <w:t>|US-DOCS\137075626.1||</w:t>
      </w:r>
    </w:p>
    <w:p>
      <w:pPr>
        <w:sectPr>
          <w:pgSz w:w="11900" w:h="16838" w:orient="portrait"/>
          <w:cols w:equalWidth="0" w:num="1">
            <w:col w:w="10300"/>
          </w:cols>
          <w:pgMar w:left="320" w:top="1440" w:right="1279" w:bottom="1440" w:gutter="0" w:footer="0" w:header="0"/>
        </w:sectPr>
      </w:pPr>
    </w:p>
    <w:bookmarkStart w:id="62" w:name="page63"/>
    <w:bookmarkEnd w:id="62"/>
    <w:p>
      <w:pPr>
        <w:ind w:left="5080"/>
        <w:spacing w:after="0"/>
        <w:rPr>
          <w:sz w:val="20"/>
          <w:szCs w:val="20"/>
          <w:color w:val="auto"/>
        </w:rPr>
      </w:pPr>
      <w:r>
        <w:rPr>
          <w:rFonts w:ascii="Arial" w:cs="Arial" w:eastAsia="Arial" w:hAnsi="Arial"/>
          <w:sz w:val="22"/>
          <w:szCs w:val="22"/>
          <w:b w:val="1"/>
          <w:bCs w:val="1"/>
          <w:color w:val="auto"/>
        </w:rPr>
        <w:t>Ouster, Inc.</w:t>
      </w:r>
    </w:p>
    <w:p>
      <w:pPr>
        <w:spacing w:after="0" w:line="185"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July 25, 2017</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2D2228"/>
        </w:rPr>
        <w:t>Darien Spencer</w:t>
      </w:r>
    </w:p>
    <w:p>
      <w:pPr>
        <w:spacing w:after="0"/>
        <w:rPr>
          <w:sz w:val="20"/>
          <w:szCs w:val="20"/>
          <w:color w:val="auto"/>
        </w:rPr>
      </w:pPr>
      <w:r>
        <w:rPr>
          <w:rFonts w:ascii="Arial" w:cs="Arial" w:eastAsia="Arial" w:hAnsi="Arial"/>
          <w:sz w:val="22"/>
          <w:szCs w:val="22"/>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By email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Dear Darien Spencer: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Ouster, Inc., (the “</w:t>
      </w:r>
      <w:r>
        <w:rPr>
          <w:rFonts w:ascii="Arial" w:cs="Arial" w:eastAsia="Arial" w:hAnsi="Arial"/>
          <w:sz w:val="19"/>
          <w:szCs w:val="19"/>
          <w:u w:val="single" w:color="auto"/>
          <w:color w:val="auto"/>
        </w:rPr>
        <w:t>Company</w:t>
      </w:r>
      <w:r>
        <w:rPr>
          <w:rFonts w:ascii="Arial" w:cs="Arial" w:eastAsia="Arial" w:hAnsi="Arial"/>
          <w:sz w:val="19"/>
          <w:szCs w:val="19"/>
          <w:color w:val="auto"/>
        </w:rPr>
        <w:t>”), is pleased to offer you employment with the Company on the terms described below.</w:t>
      </w:r>
    </w:p>
    <w:p>
      <w:pPr>
        <w:spacing w:after="0" w:line="208" w:lineRule="exact"/>
        <w:rPr>
          <w:sz w:val="20"/>
          <w:szCs w:val="20"/>
          <w:color w:val="auto"/>
        </w:rPr>
      </w:pPr>
    </w:p>
    <w:p>
      <w:pPr>
        <w:jc w:val="both"/>
        <w:ind w:firstLine="656"/>
        <w:spacing w:after="0" w:line="236" w:lineRule="auto"/>
        <w:tabs>
          <w:tab w:leader="none" w:pos="1296"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Position</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start in</w:t>
      </w:r>
      <w:r>
        <w:rPr>
          <w:rFonts w:ascii="Arial" w:cs="Arial" w:eastAsia="Arial" w:hAnsi="Arial"/>
          <w:sz w:val="21"/>
          <w:szCs w:val="21"/>
          <w:b w:val="1"/>
          <w:bCs w:val="1"/>
          <w:color w:val="auto"/>
        </w:rPr>
        <w:t xml:space="preserve"> </w:t>
      </w:r>
      <w:r>
        <w:rPr>
          <w:rFonts w:ascii="Arial" w:cs="Arial" w:eastAsia="Arial" w:hAnsi="Arial"/>
          <w:sz w:val="21"/>
          <w:szCs w:val="21"/>
          <w:color w:val="4A454F"/>
        </w:rPr>
        <w:t>a</w:t>
      </w:r>
      <w:r>
        <w:rPr>
          <w:rFonts w:ascii="Arial" w:cs="Arial" w:eastAsia="Arial" w:hAnsi="Arial"/>
          <w:sz w:val="21"/>
          <w:szCs w:val="21"/>
          <w:b w:val="1"/>
          <w:bCs w:val="1"/>
          <w:color w:val="auto"/>
        </w:rPr>
        <w:t xml:space="preserve"> </w:t>
      </w:r>
      <w:r>
        <w:rPr>
          <w:rFonts w:ascii="Arial" w:cs="Arial" w:eastAsia="Arial" w:hAnsi="Arial"/>
          <w:sz w:val="21"/>
          <w:szCs w:val="21"/>
          <w:color w:val="auto"/>
        </w:rPr>
        <w:t>full-time position as Vice President of</w:t>
      </w:r>
      <w:r>
        <w:rPr>
          <w:rFonts w:ascii="Arial" w:cs="Arial" w:eastAsia="Arial" w:hAnsi="Arial"/>
          <w:sz w:val="21"/>
          <w:szCs w:val="21"/>
          <w:b w:val="1"/>
          <w:bCs w:val="1"/>
          <w:color w:val="auto"/>
        </w:rPr>
        <w:t xml:space="preserve"> </w:t>
      </w:r>
      <w:r>
        <w:rPr>
          <w:rFonts w:ascii="Arial" w:cs="Arial" w:eastAsia="Arial" w:hAnsi="Arial"/>
          <w:sz w:val="21"/>
          <w:szCs w:val="21"/>
          <w:color w:val="2D2228"/>
        </w:rPr>
        <w:t>Operations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initially report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Company’s Chief Executive Officer. By signing </w:t>
      </w:r>
      <w:r>
        <w:rPr>
          <w:rFonts w:ascii="Arial" w:cs="Arial" w:eastAsia="Arial" w:hAnsi="Arial"/>
          <w:sz w:val="21"/>
          <w:szCs w:val="21"/>
          <w:color w:val="2D2228"/>
        </w:rPr>
        <w:t>this letter,</w:t>
      </w:r>
      <w:r>
        <w:rPr>
          <w:rFonts w:ascii="Arial" w:cs="Arial" w:eastAsia="Arial" w:hAnsi="Arial"/>
          <w:sz w:val="21"/>
          <w:szCs w:val="21"/>
          <w:color w:val="auto"/>
        </w:rPr>
        <w:t xml:space="preserve"> </w:t>
      </w:r>
      <w:r>
        <w:rPr>
          <w:rFonts w:ascii="Arial" w:cs="Arial" w:eastAsia="Arial" w:hAnsi="Arial"/>
          <w:sz w:val="21"/>
          <w:szCs w:val="21"/>
          <w:color w:val="4A454F"/>
        </w:rPr>
        <w:t>you</w:t>
      </w:r>
      <w:r>
        <w:rPr>
          <w:rFonts w:ascii="Arial" w:cs="Arial" w:eastAsia="Arial" w:hAnsi="Arial"/>
          <w:sz w:val="21"/>
          <w:szCs w:val="21"/>
          <w:color w:val="auto"/>
        </w:rPr>
        <w:t xml:space="preserve"> confirm with the Company that you are under no contractual or other </w:t>
      </w:r>
      <w:r>
        <w:rPr>
          <w:rFonts w:ascii="Arial" w:cs="Arial" w:eastAsia="Arial" w:hAnsi="Arial"/>
          <w:sz w:val="21"/>
          <w:szCs w:val="21"/>
          <w:color w:val="2D2228"/>
        </w:rPr>
        <w:t>legal obligations that</w:t>
      </w:r>
      <w:r>
        <w:rPr>
          <w:rFonts w:ascii="Arial" w:cs="Arial" w:eastAsia="Arial" w:hAnsi="Arial"/>
          <w:sz w:val="21"/>
          <w:szCs w:val="21"/>
          <w:color w:val="auto"/>
        </w:rPr>
        <w:t xml:space="preserve"> would prohibit you from performing your duties with the Company.</w:t>
      </w:r>
    </w:p>
    <w:p>
      <w:pPr>
        <w:spacing w:after="0" w:line="151" w:lineRule="exact"/>
        <w:rPr>
          <w:rFonts w:ascii="Arial" w:cs="Arial" w:eastAsia="Arial" w:hAnsi="Arial"/>
          <w:sz w:val="21"/>
          <w:szCs w:val="21"/>
          <w:color w:val="auto"/>
        </w:rPr>
      </w:pPr>
    </w:p>
    <w:p>
      <w:pPr>
        <w:jc w:val="both"/>
        <w:ind w:firstLine="656"/>
        <w:spacing w:after="0" w:line="271" w:lineRule="auto"/>
        <w:tabs>
          <w:tab w:leader="none" w:pos="1296"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be paid a starting salary at the rate of $120,000 per year, which will be paid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Company’s standard payroll policies and subject to applicable withholdings and other required deductions. The salary will increase to $265,000 upon closing a Series A financing round of greater than or equal to $10 million.</w:t>
      </w:r>
    </w:p>
    <w:p>
      <w:pPr>
        <w:spacing w:after="0" w:line="123" w:lineRule="exact"/>
        <w:rPr>
          <w:rFonts w:ascii="Arial" w:cs="Arial" w:eastAsia="Arial" w:hAnsi="Arial"/>
          <w:sz w:val="19"/>
          <w:szCs w:val="19"/>
          <w:color w:val="auto"/>
        </w:rPr>
      </w:pPr>
    </w:p>
    <w:p>
      <w:pPr>
        <w:jc w:val="both"/>
        <w:ind w:firstLine="656"/>
        <w:spacing w:after="0" w:line="230" w:lineRule="auto"/>
        <w:tabs>
          <w:tab w:leader="none" w:pos="1296"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D2228"/>
        </w:rPr>
        <w:t>will grant you an early</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option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135,000 shares of the Company’s Common Stock as of the date hereof (the “</w:t>
      </w:r>
      <w:r>
        <w:rPr>
          <w:rFonts w:ascii="Arial" w:cs="Arial" w:eastAsia="Arial" w:hAnsi="Arial"/>
          <w:sz w:val="19"/>
          <w:szCs w:val="19"/>
          <w:u w:val="single" w:color="auto"/>
          <w:color w:val="auto"/>
        </w:rPr>
        <w:t>Equity</w:t>
      </w:r>
      <w:r>
        <w:rPr>
          <w:rFonts w:ascii="Arial" w:cs="Arial" w:eastAsia="Arial" w:hAnsi="Arial"/>
          <w:sz w:val="19"/>
          <w:szCs w:val="19"/>
          <w:color w:val="auto"/>
        </w:rPr>
        <w:t>”). 12/48</w:t>
      </w:r>
      <w:r>
        <w:rPr>
          <w:rFonts w:ascii="Arial" w:cs="Arial" w:eastAsia="Arial" w:hAnsi="Arial"/>
          <w:sz w:val="25"/>
          <w:szCs w:val="25"/>
          <w:color w:val="auto"/>
          <w:vertAlign w:val="superscript"/>
        </w:rPr>
        <w:t>ths</w:t>
      </w:r>
      <w:r>
        <w:rPr>
          <w:rFonts w:ascii="Arial" w:cs="Arial" w:eastAsia="Arial" w:hAnsi="Arial"/>
          <w:sz w:val="19"/>
          <w:szCs w:val="19"/>
          <w:color w:val="auto"/>
        </w:rPr>
        <w:t xml:space="preserve"> of the Equity will vest on the 1 year anniversary of your start with the Company and l/48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Equity will vest on each monthly anniversary thereafter, subject to your continuous service with the Company through each vesting date; upon a change of control or sale of the Company, in the event that you are terminated without cause in connection with such change of control or sale of the Company 100% of the then-unvested Equity will vest immediately. The purchase or exercise price per share of the Equity will be equal to the fair market value per share of the Company’s Common Stock on the date the Equity is granted, as determined by the Board in good faith. There is no guarantee that the Internal Revenue Service will agree with this value. You should consult with your own tax advisor concerning the tax consequences associated with accepting the Equity. The Equity will be subject to the terms and conditions set forth in the Company’s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the Company’s standard forms of agreements under the Plan. The Company reserves the right to award the Equity as a stock option or as a stock purchase right.</w:t>
      </w:r>
    </w:p>
    <w:p>
      <w:pPr>
        <w:spacing w:after="0" w:line="156" w:lineRule="exact"/>
        <w:rPr>
          <w:rFonts w:ascii="Arial" w:cs="Arial" w:eastAsia="Arial" w:hAnsi="Arial"/>
          <w:sz w:val="19"/>
          <w:szCs w:val="19"/>
          <w:color w:val="auto"/>
        </w:rPr>
      </w:pPr>
    </w:p>
    <w:p>
      <w:pPr>
        <w:jc w:val="both"/>
        <w:ind w:firstLine="656"/>
        <w:spacing w:after="0" w:line="254" w:lineRule="auto"/>
        <w:tabs>
          <w:tab w:leader="none" w:pos="1296" w:val="left"/>
        </w:tabs>
        <w:numPr>
          <w:ilvl w:val="0"/>
          <w:numId w:val="17"/>
        </w:numPr>
        <w:rPr>
          <w:rFonts w:ascii="Arial" w:cs="Arial" w:eastAsia="Arial" w:hAnsi="Arial"/>
          <w:sz w:val="19"/>
          <w:szCs w:val="19"/>
          <w:color w:val="2D2228"/>
        </w:rPr>
      </w:pPr>
      <w:r>
        <w:rPr>
          <w:rFonts w:ascii="Arial" w:cs="Arial" w:eastAsia="Arial" w:hAnsi="Arial"/>
          <w:sz w:val="19"/>
          <w:szCs w:val="19"/>
          <w:b w:val="1"/>
          <w:bCs w:val="1"/>
          <w:u w:val="single" w:color="auto"/>
          <w:color w:val="auto"/>
        </w:rPr>
        <w:t>Employee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As a regular employee of the Company, you will be eligible to participate in 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benefit plans, if any, currently and hereafter maintained by the Company and generally available to similarly situated employees of the Company, subject in each case to the terms and conditions of the plan in question, including any eligibility requirements set forth therein, and the determination of any person or committee administering </w:t>
      </w:r>
      <w:r>
        <w:rPr>
          <w:rFonts w:ascii="Arial" w:cs="Arial" w:eastAsia="Arial" w:hAnsi="Arial"/>
          <w:sz w:val="19"/>
          <w:szCs w:val="19"/>
          <w:color w:val="2D2228"/>
        </w:rPr>
        <w:t>the plan. You should note that the Company</w:t>
      </w:r>
      <w:r>
        <w:rPr>
          <w:rFonts w:ascii="Arial" w:cs="Arial" w:eastAsia="Arial" w:hAnsi="Arial"/>
          <w:sz w:val="19"/>
          <w:szCs w:val="19"/>
          <w:color w:val="auto"/>
        </w:rPr>
        <w:t xml:space="preserve"> </w:t>
      </w:r>
      <w:r>
        <w:rPr>
          <w:rFonts w:ascii="Arial" w:cs="Arial" w:eastAsia="Arial" w:hAnsi="Arial"/>
          <w:sz w:val="19"/>
          <w:szCs w:val="19"/>
          <w:color w:val="2D2228"/>
        </w:rPr>
        <w:t>may modify job titles and salaries and modify or terminate benefits from time to time as it deems necessary or appropriate.</w:t>
      </w:r>
    </w:p>
    <w:p>
      <w:pPr>
        <w:spacing w:after="0" w:line="139" w:lineRule="exact"/>
        <w:rPr>
          <w:rFonts w:ascii="Arial" w:cs="Arial" w:eastAsia="Arial" w:hAnsi="Arial"/>
          <w:sz w:val="19"/>
          <w:szCs w:val="19"/>
          <w:color w:val="2D2228"/>
        </w:rPr>
      </w:pPr>
    </w:p>
    <w:p>
      <w:pPr>
        <w:jc w:val="both"/>
        <w:ind w:firstLine="656"/>
        <w:spacing w:after="0" w:line="225" w:lineRule="auto"/>
        <w:tabs>
          <w:tab w:leader="none" w:pos="1296" w:val="left"/>
        </w:tabs>
        <w:numPr>
          <w:ilvl w:val="0"/>
          <w:numId w:val="17"/>
        </w:numPr>
        <w:rPr>
          <w:rFonts w:ascii="Arial" w:cs="Arial" w:eastAsia="Arial" w:hAnsi="Arial"/>
          <w:sz w:val="22"/>
          <w:szCs w:val="22"/>
          <w:color w:val="2D2228"/>
        </w:rPr>
      </w:pPr>
      <w:r>
        <w:rPr>
          <w:rFonts w:ascii="Arial" w:cs="Arial" w:eastAsia="Arial" w:hAnsi="Arial"/>
          <w:sz w:val="22"/>
          <w:szCs w:val="22"/>
          <w:b w:val="1"/>
          <w:bCs w:val="1"/>
          <w:u w:val="single" w:color="auto"/>
          <w:color w:val="auto"/>
        </w:rPr>
        <w:t>Confidential Information and Invention Assignment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Like all</w:t>
      </w:r>
      <w:r>
        <w:rPr>
          <w:rFonts w:ascii="Arial" w:cs="Arial" w:eastAsia="Arial" w:hAnsi="Arial"/>
          <w:sz w:val="22"/>
          <w:szCs w:val="22"/>
          <w:b w:val="1"/>
          <w:bCs w:val="1"/>
          <w:color w:val="auto"/>
        </w:rPr>
        <w:t xml:space="preserve"> </w:t>
      </w:r>
      <w:r>
        <w:rPr>
          <w:rFonts w:ascii="Arial" w:cs="Arial" w:eastAsia="Arial" w:hAnsi="Arial"/>
          <w:sz w:val="22"/>
          <w:szCs w:val="22"/>
          <w:color w:val="2D2228"/>
        </w:rPr>
        <w:t>Company employees, you will be</w:t>
      </w:r>
      <w:r>
        <w:rPr>
          <w:rFonts w:ascii="Arial" w:cs="Arial" w:eastAsia="Arial" w:hAnsi="Arial"/>
          <w:sz w:val="22"/>
          <w:szCs w:val="22"/>
          <w:b w:val="1"/>
          <w:bCs w:val="1"/>
          <w:color w:val="auto"/>
        </w:rPr>
        <w:t xml:space="preserve"> </w:t>
      </w:r>
      <w:r>
        <w:rPr>
          <w:rFonts w:ascii="Arial" w:cs="Arial" w:eastAsia="Arial" w:hAnsi="Arial"/>
          <w:sz w:val="22"/>
          <w:szCs w:val="22"/>
          <w:color w:val="2D2228"/>
        </w:rPr>
        <w:t>required, as a condition of your employment with the Company, to sign the Company’s enclosed standard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197" w:lineRule="auto"/>
        <w:rPr>
          <w:sz w:val="20"/>
          <w:szCs w:val="20"/>
          <w:color w:val="auto"/>
        </w:rPr>
      </w:pPr>
      <w:r>
        <w:rPr>
          <w:rFonts w:ascii="Arial" w:cs="Arial" w:eastAsia="Arial" w:hAnsi="Arial"/>
          <w:sz w:val="16"/>
          <w:szCs w:val="16"/>
          <w:color w:val="auto"/>
        </w:rPr>
        <w:t>OHSUSA: 758936721.1</w:t>
      </w:r>
    </w:p>
    <w:p>
      <w:pPr>
        <w:spacing w:after="0"/>
        <w:rPr>
          <w:sz w:val="20"/>
          <w:szCs w:val="20"/>
          <w:color w:val="auto"/>
        </w:rPr>
      </w:pPr>
      <w:r>
        <w:rPr>
          <w:rFonts w:ascii="Arial" w:cs="Arial" w:eastAsia="Arial" w:hAnsi="Arial"/>
          <w:sz w:val="14"/>
          <w:szCs w:val="14"/>
          <w:color w:val="auto"/>
        </w:rPr>
        <w:t>|US-DOCS\136981325.1||</w:t>
      </w:r>
    </w:p>
    <w:p>
      <w:pPr>
        <w:sectPr>
          <w:pgSz w:w="11900" w:h="16838" w:orient="portrait"/>
          <w:cols w:equalWidth="0" w:num="1">
            <w:col w:w="11240"/>
          </w:cols>
          <w:pgMar w:left="320" w:top="1395" w:right="339" w:bottom="1440" w:gutter="0" w:footer="0" w:header="0"/>
        </w:sectPr>
      </w:pPr>
    </w:p>
    <w:bookmarkStart w:id="63" w:name="page64"/>
    <w:bookmarkEnd w:id="63"/>
    <w:p>
      <w:pPr>
        <w:jc w:val="both"/>
        <w:ind w:firstLine="656"/>
        <w:spacing w:after="0" w:line="223" w:lineRule="auto"/>
        <w:tabs>
          <w:tab w:leader="none" w:pos="1296"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Employment Relationship</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is for no specific period of time. Your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will be “at will,” meaning that either you or the Company may terminate your employment at any time and for any reason, with or without cause or notice.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57" w:lineRule="exact"/>
        <w:rPr>
          <w:rFonts w:ascii="Arial" w:cs="Arial" w:eastAsia="Arial" w:hAnsi="Arial"/>
          <w:sz w:val="21"/>
          <w:szCs w:val="21"/>
          <w:color w:val="auto"/>
        </w:rPr>
      </w:pPr>
    </w:p>
    <w:p>
      <w:pPr>
        <w:jc w:val="both"/>
        <w:ind w:firstLine="656"/>
        <w:spacing w:after="0" w:line="220"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Outside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While you render services to the Company, you agree that you will not engage in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and Required Deductions</w:t>
      </w:r>
      <w:r>
        <w:rPr>
          <w:rFonts w:ascii="Arial" w:cs="Arial" w:eastAsia="Arial" w:hAnsi="Arial"/>
          <w:sz w:val="22"/>
          <w:szCs w:val="22"/>
          <w:b w:val="1"/>
          <w:bCs w:val="1"/>
          <w:color w:val="auto"/>
        </w:rPr>
        <w:t xml:space="preserve">. </w:t>
      </w:r>
      <w:r>
        <w:rPr>
          <w:rFonts w:ascii="Arial" w:cs="Arial" w:eastAsia="Arial" w:hAnsi="Arial"/>
          <w:sz w:val="22"/>
          <w:szCs w:val="22"/>
          <w:color w:val="auto"/>
        </w:rPr>
        <w:t>All forms of compensation referred to in this letter are subject to all</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and any other deductions required by applicable law.</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and 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letter supersedes and replaces any prior or contemporaneous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understandings or agreements, whether oral, written or implied between you and the Company regarding the matters described in this letter. This letter will be interpreted in accordance with the laws of the State of California without giving effect to provisions governing the choice of law.</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18"/>
        </w:numPr>
        <w:rPr>
          <w:rFonts w:ascii="Arial" w:cs="Arial" w:eastAsia="Arial" w:hAnsi="Arial"/>
          <w:sz w:val="22"/>
          <w:szCs w:val="22"/>
          <w:color w:val="2D2228"/>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letter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shall constitute one and the same instrument. Execution of a facsimile or scanned image will have the same force and effect as execution of an original, and a facsimile signature or scanned image will be deemed an original and valid signature.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197" w:lineRule="auto"/>
        <w:rPr>
          <w:sz w:val="20"/>
          <w:szCs w:val="20"/>
          <w:color w:val="auto"/>
        </w:rPr>
      </w:pPr>
      <w:r>
        <w:rPr>
          <w:rFonts w:ascii="Arial" w:cs="Arial" w:eastAsia="Arial" w:hAnsi="Arial"/>
          <w:sz w:val="16"/>
          <w:szCs w:val="16"/>
          <w:color w:val="auto"/>
        </w:rPr>
        <w:t>OHSUSA: 758936721.1</w:t>
      </w:r>
    </w:p>
    <w:p>
      <w:pPr>
        <w:spacing w:after="0"/>
        <w:rPr>
          <w:sz w:val="20"/>
          <w:szCs w:val="20"/>
          <w:color w:val="auto"/>
        </w:rPr>
      </w:pPr>
      <w:r>
        <w:rPr>
          <w:rFonts w:ascii="Arial" w:cs="Arial" w:eastAsia="Arial" w:hAnsi="Arial"/>
          <w:sz w:val="14"/>
          <w:szCs w:val="14"/>
          <w:color w:val="auto"/>
        </w:rPr>
        <w:t>|US-DOCS\136981325.1||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0" w:lineRule="exact"/>
        <w:rPr>
          <w:sz w:val="20"/>
          <w:szCs w:val="20"/>
          <w:color w:val="auto"/>
        </w:rPr>
      </w:pP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If you wish to accept this offer, please sign and date the enclosed duplicate original of this letter and the enclosed Confidential Information and Invention Assignment Agreement and return them to me. As required by law, your employment with the Company is also contingent upon your providing legal proof of your identity and authorization to work in the United States. In addition, the Company reserves the right to conduct background investigations and/or reference checks on all of its potential employees. Your job offer, therefore, is contingent upon a clearance of such a background investigation and/or reference check, if any. This offer, if not accepted, will expire at the close of business on July 27, 2017.</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look forward to your favorable reply and to working with you at Ouster.</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3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OUSTER, INC.</w:t>
      </w:r>
    </w:p>
    <w:p>
      <w:pPr>
        <w:spacing w:after="0" w:line="3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051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Angus Pacala, Chief Executive Officer</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2D2228"/>
        </w:rPr>
        <w:t>/s/ Darien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1499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2D2228"/>
        </w:rPr>
        <w:t>(Signature)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2D2228"/>
        </w:rPr>
        <w:t>07/26/17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248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2D2228"/>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pacing w:after="0" w:line="197" w:lineRule="auto"/>
        <w:rPr>
          <w:sz w:val="20"/>
          <w:szCs w:val="20"/>
          <w:color w:val="auto"/>
        </w:rPr>
      </w:pPr>
      <w:r>
        <w:rPr>
          <w:rFonts w:ascii="Arial" w:cs="Arial" w:eastAsia="Arial" w:hAnsi="Arial"/>
          <w:sz w:val="16"/>
          <w:szCs w:val="16"/>
          <w:color w:val="auto"/>
        </w:rPr>
        <w:t>OHSUSA: 758936721.1</w:t>
      </w:r>
    </w:p>
    <w:p>
      <w:pPr>
        <w:spacing w:after="0"/>
        <w:rPr>
          <w:sz w:val="20"/>
          <w:szCs w:val="20"/>
          <w:color w:val="auto"/>
        </w:rPr>
      </w:pPr>
      <w:r>
        <w:rPr>
          <w:rFonts w:ascii="Arial" w:cs="Arial" w:eastAsia="Arial" w:hAnsi="Arial"/>
          <w:sz w:val="14"/>
          <w:szCs w:val="14"/>
          <w:color w:val="auto"/>
        </w:rPr>
        <w:t>|US-DOCS\136981325.1||</w:t>
      </w:r>
    </w:p>
    <w:p>
      <w:pPr>
        <w:sectPr>
          <w:pgSz w:w="11900" w:h="16838" w:orient="portrait"/>
          <w:cols w:equalWidth="0" w:num="1">
            <w:col w:w="11240"/>
          </w:cols>
          <w:pgMar w:left="320" w:top="144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OUSTER, INC. EMPLOYMENT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This Employment Agreement (the “</w:t>
      </w:r>
      <w:r>
        <w:rPr>
          <w:rFonts w:ascii="Arial" w:cs="Arial" w:eastAsia="Arial" w:hAnsi="Arial"/>
          <w:sz w:val="21"/>
          <w:szCs w:val="21"/>
          <w:b w:val="1"/>
          <w:bCs w:val="1"/>
          <w:color w:val="auto"/>
        </w:rPr>
        <w:t>Agreement</w:t>
      </w:r>
      <w:r>
        <w:rPr>
          <w:rFonts w:ascii="Arial" w:cs="Arial" w:eastAsia="Arial" w:hAnsi="Arial"/>
          <w:sz w:val="21"/>
          <w:szCs w:val="21"/>
          <w:color w:val="auto"/>
        </w:rPr>
        <w:t>”), entered into effective as of November 16, 2021 (the “</w:t>
      </w:r>
      <w:r>
        <w:rPr>
          <w:rFonts w:ascii="Arial" w:cs="Arial" w:eastAsia="Arial" w:hAnsi="Arial"/>
          <w:sz w:val="21"/>
          <w:szCs w:val="21"/>
          <w:b w:val="1"/>
          <w:bCs w:val="1"/>
          <w:color w:val="auto"/>
        </w:rPr>
        <w:t>Effective Date</w:t>
      </w:r>
      <w:r>
        <w:rPr>
          <w:rFonts w:ascii="Arial" w:cs="Arial" w:eastAsia="Arial" w:hAnsi="Arial"/>
          <w:sz w:val="21"/>
          <w:szCs w:val="21"/>
          <w:color w:val="auto"/>
        </w:rPr>
        <w:t>”), is between Ouster,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Adam Dolinko (“</w:t>
      </w:r>
      <w:r>
        <w:rPr>
          <w:rFonts w:ascii="Arial" w:cs="Arial" w:eastAsia="Arial" w:hAnsi="Arial"/>
          <w:sz w:val="21"/>
          <w:szCs w:val="21"/>
          <w:b w:val="1"/>
          <w:bCs w:val="1"/>
          <w:color w:val="auto"/>
        </w:rPr>
        <w:t>Executive</w:t>
      </w:r>
      <w:r>
        <w:rPr>
          <w:rFonts w:ascii="Arial" w:cs="Arial" w:eastAsia="Arial" w:hAnsi="Arial"/>
          <w:sz w:val="21"/>
          <w:szCs w:val="21"/>
          <w:color w:val="auto"/>
        </w:rPr>
        <w:t>” and, together with the Company, the “</w:t>
      </w:r>
      <w:r>
        <w:rPr>
          <w:rFonts w:ascii="Arial" w:cs="Arial" w:eastAsia="Arial" w:hAnsi="Arial"/>
          <w:sz w:val="21"/>
          <w:szCs w:val="21"/>
          <w:b w:val="1"/>
          <w:bCs w:val="1"/>
          <w:color w:val="auto"/>
        </w:rPr>
        <w:t>Parties</w:t>
      </w:r>
      <w:r>
        <w:rPr>
          <w:rFonts w:ascii="Arial" w:cs="Arial" w:eastAsia="Arial" w:hAnsi="Arial"/>
          <w:sz w:val="21"/>
          <w:szCs w:val="21"/>
          <w:color w:val="auto"/>
        </w:rPr>
        <w:t>”). This Agreement shall constitute a valid and binding agreement between the Parties effective as of the Effective Date, but the operative provisions hereof shall not become effective until the date Executive commences employment with the Company, which is currently anticipated to be November 29, 2021 (the date Executive actually commences employment with the Company, the “</w:t>
      </w:r>
      <w:r>
        <w:rPr>
          <w:rFonts w:ascii="Arial" w:cs="Arial" w:eastAsia="Arial" w:hAnsi="Arial"/>
          <w:sz w:val="21"/>
          <w:szCs w:val="21"/>
          <w:b w:val="1"/>
          <w:bCs w:val="1"/>
          <w:color w:val="auto"/>
        </w:rPr>
        <w:t>Commencement Date</w:t>
      </w:r>
      <w:r>
        <w:rPr>
          <w:rFonts w:ascii="Arial" w:cs="Arial" w:eastAsia="Arial" w:hAnsi="Arial"/>
          <w:sz w:val="21"/>
          <w:szCs w:val="21"/>
          <w:color w:val="auto"/>
        </w:rPr>
        <w:t>”).</w:t>
      </w:r>
    </w:p>
    <w:p>
      <w:pPr>
        <w:spacing w:after="0" w:line="15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assure itself of the services of Executive by engaging Executive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as an employee of the Company under the terms hereof; and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desires to provide services to the Company on the terms herein provided.</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for other good and valuable consideration,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covenants and agreements set forth below, the receipt and sufficiency of which are hereby acknowledged, the Parties hereto agree as follows:</w:t>
      </w:r>
    </w:p>
    <w:p>
      <w:pPr>
        <w:spacing w:after="0" w:line="153" w:lineRule="exact"/>
        <w:rPr>
          <w:sz w:val="20"/>
          <w:szCs w:val="20"/>
          <w:color w:val="auto"/>
        </w:rPr>
      </w:pPr>
    </w:p>
    <w:p>
      <w:pPr>
        <w:ind w:left="1300" w:hanging="644"/>
        <w:spacing w:after="0"/>
        <w:tabs>
          <w:tab w:leader="none" w:pos="1300" w:val="left"/>
        </w:tabs>
        <w:numPr>
          <w:ilvl w:val="1"/>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firstLine="1304"/>
        <w:spacing w:after="0" w:line="232" w:lineRule="auto"/>
        <w:tabs>
          <w:tab w:leader="none" w:pos="1941" w:val="left"/>
        </w:tabs>
        <w:numPr>
          <w:ilvl w:val="2"/>
          <w:numId w:val="19"/>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Company shall employ Executive upon the terms and conditions provided herein effective as of the Commencement Date.</w:t>
      </w:r>
    </w:p>
    <w:p>
      <w:pPr>
        <w:spacing w:after="0" w:line="158" w:lineRule="exact"/>
        <w:rPr>
          <w:rFonts w:ascii="Arial" w:cs="Arial" w:eastAsia="Arial" w:hAnsi="Arial"/>
          <w:sz w:val="22"/>
          <w:szCs w:val="22"/>
          <w:color w:val="auto"/>
        </w:rPr>
      </w:pPr>
    </w:p>
    <w:p>
      <w:pPr>
        <w:jc w:val="both"/>
        <w:ind w:firstLine="1304"/>
        <w:spacing w:after="0" w:line="244" w:lineRule="auto"/>
        <w:tabs>
          <w:tab w:leader="none" w:pos="1939" w:val="left"/>
        </w:tabs>
        <w:numPr>
          <w:ilvl w:val="2"/>
          <w:numId w:val="19"/>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Effective as of the Commencement Date, Executive: (i) shall serve as the Company’s General Counsel and Secretary, with responsibilities, duties, and authority usual and customary for such position, subject to direction by the Chief Executive Officer of the Company (the “</w:t>
      </w:r>
      <w:r>
        <w:rPr>
          <w:rFonts w:ascii="Arial" w:cs="Arial" w:eastAsia="Arial" w:hAnsi="Arial"/>
          <w:sz w:val="19"/>
          <w:szCs w:val="19"/>
          <w:b w:val="1"/>
          <w:bCs w:val="1"/>
          <w:color w:val="auto"/>
        </w:rPr>
        <w:t>CEO</w:t>
      </w:r>
      <w:r>
        <w:rPr>
          <w:rFonts w:ascii="Arial" w:cs="Arial" w:eastAsia="Arial" w:hAnsi="Arial"/>
          <w:sz w:val="19"/>
          <w:szCs w:val="19"/>
          <w:color w:val="auto"/>
        </w:rPr>
        <w:t>”); (ii) shall report directly to the CEO; and (iii) agrees promptly and faithfully to comply with all present and future policies, requirements, rules and regulations, and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General Counsel and Secretary. In the event that Executive serves in any one or more of such additional capacities, Executive’s compensation shall not automatically be increased on account of such additional service.</w:t>
      </w:r>
    </w:p>
    <w:p>
      <w:pPr>
        <w:spacing w:after="0" w:line="160" w:lineRule="exact"/>
        <w:rPr>
          <w:rFonts w:ascii="Arial" w:cs="Arial" w:eastAsia="Arial" w:hAnsi="Arial"/>
          <w:sz w:val="19"/>
          <w:szCs w:val="19"/>
          <w:color w:val="auto"/>
        </w:rPr>
      </w:pPr>
    </w:p>
    <w:p>
      <w:pPr>
        <w:jc w:val="both"/>
        <w:ind w:firstLine="1304"/>
        <w:spacing w:after="0" w:line="218" w:lineRule="auto"/>
        <w:tabs>
          <w:tab w:leader="none" w:pos="1941" w:val="left"/>
        </w:tabs>
        <w:numPr>
          <w:ilvl w:val="2"/>
          <w:numId w:val="19"/>
        </w:numPr>
        <w:rPr>
          <w:rFonts w:ascii="Arial" w:cs="Arial" w:eastAsia="Arial" w:hAnsi="Arial"/>
          <w:sz w:val="22"/>
          <w:szCs w:val="22"/>
          <w:color w:val="auto"/>
        </w:rPr>
      </w:pPr>
      <w:r>
        <w:rPr>
          <w:rFonts w:ascii="Arial" w:cs="Arial" w:eastAsia="Arial" w:hAnsi="Arial"/>
          <w:sz w:val="22"/>
          <w:szCs w:val="22"/>
          <w:u w:val="single" w:color="auto"/>
          <w:color w:val="auto"/>
        </w:rPr>
        <w:t>Principal Office</w:t>
      </w:r>
      <w:r>
        <w:rPr>
          <w:rFonts w:ascii="Arial" w:cs="Arial" w:eastAsia="Arial" w:hAnsi="Arial"/>
          <w:sz w:val="22"/>
          <w:szCs w:val="22"/>
          <w:color w:val="auto"/>
        </w:rPr>
        <w:t>. Executive shall perform services for the Company at the Company’s offices located in San Francisco, California, or, with the Company’s consent, at any other place in connection with the fulfillment of Executive’s role with the Company; provided, however, that the Company may from time to time require Executive to travel temporarily to other locations in connection with the Company’s business.</w:t>
      </w:r>
    </w:p>
    <w:p>
      <w:pPr>
        <w:spacing w:after="0" w:line="160" w:lineRule="exact"/>
        <w:rPr>
          <w:rFonts w:ascii="Arial" w:cs="Arial" w:eastAsia="Arial" w:hAnsi="Arial"/>
          <w:sz w:val="22"/>
          <w:szCs w:val="22"/>
          <w:color w:val="auto"/>
        </w:rPr>
      </w:pPr>
    </w:p>
    <w:p>
      <w:pPr>
        <w:jc w:val="both"/>
        <w:ind w:firstLine="1304"/>
        <w:spacing w:after="0" w:line="241" w:lineRule="auto"/>
        <w:tabs>
          <w:tab w:leader="none" w:pos="1939" w:val="left"/>
        </w:tabs>
        <w:numPr>
          <w:ilvl w:val="2"/>
          <w:numId w:val="19"/>
        </w:numPr>
        <w:rPr>
          <w:rFonts w:ascii="Arial" w:cs="Arial" w:eastAsia="Arial" w:hAnsi="Arial"/>
          <w:sz w:val="19"/>
          <w:szCs w:val="19"/>
          <w:color w:val="auto"/>
        </w:rPr>
      </w:pPr>
      <w:r>
        <w:rPr>
          <w:rFonts w:ascii="Arial" w:cs="Arial" w:eastAsia="Arial" w:hAnsi="Arial"/>
          <w:sz w:val="19"/>
          <w:szCs w:val="19"/>
          <w:u w:val="single" w:color="auto"/>
          <w:color w:val="auto"/>
        </w:rPr>
        <w:t>Exclusivity</w:t>
      </w:r>
      <w:r>
        <w:rPr>
          <w:rFonts w:ascii="Arial" w:cs="Arial" w:eastAsia="Arial" w:hAnsi="Arial"/>
          <w:sz w:val="19"/>
          <w:szCs w:val="19"/>
          <w:color w:val="auto"/>
        </w:rPr>
        <w:t>. Except with the prior written approval of the CEO (which the CEO may grant or withhold in the CEO’s sole and absolute discretion), Executive shall devote 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engage in charitable and civic activities; or (iii) engage in other personal passive investment activities,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395" w:right="339" w:bottom="1440" w:gutter="0" w:footer="0" w:header="0"/>
        </w:sectPr>
      </w:pPr>
    </w:p>
    <w:bookmarkStart w:id="66" w:name="page67"/>
    <w:bookmarkEnd w:id="66"/>
    <w:p>
      <w:pPr>
        <w:jc w:val="both"/>
        <w:spacing w:after="0" w:line="244" w:lineRule="auto"/>
        <w:rPr>
          <w:sz w:val="20"/>
          <w:szCs w:val="20"/>
          <w:color w:val="auto"/>
        </w:rPr>
      </w:pPr>
      <w:r>
        <w:rPr>
          <w:rFonts w:ascii="Arial" w:cs="Arial" w:eastAsia="Arial" w:hAnsi="Arial"/>
          <w:sz w:val="19"/>
          <w:szCs w:val="19"/>
          <w:color w:val="auto"/>
        </w:rPr>
        <w:t xml:space="preserve">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CEO; and (iii) such activities do not individually or in the aggregate interfere with the performance of Executive’s duties under this Agreement, violate the Company’s standards of conduct then in effect, or raise a conflict under the Company’s conflict of interest policies. For the avoidance of doubt, the CEO has approved Executive’s continued service with those organizations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such approval to continue until the earlier to occur of: (a) the CEO’s revocation of such approval in the CEO’s sole and absolute discretion, or (b) such time as such service interferes with the performance of Executive’s duties under this Agreement, violates the Company’s standards of conflict or raises a conflict under the Company’s conflict of interest policies.</w:t>
      </w:r>
    </w:p>
    <w:p>
      <w:pPr>
        <w:spacing w:after="0" w:line="155" w:lineRule="exact"/>
        <w:rPr>
          <w:sz w:val="20"/>
          <w:szCs w:val="20"/>
          <w:color w:val="auto"/>
        </w:rPr>
      </w:pPr>
    </w:p>
    <w:p>
      <w:pPr>
        <w:jc w:val="both"/>
        <w:ind w:firstLine="1304"/>
        <w:spacing w:after="0" w:line="234" w:lineRule="auto"/>
        <w:tabs>
          <w:tab w:leader="none" w:pos="1941"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xml:space="preserve">. Executive will be entitled to enter into an indemnification agreement with the Company in substantially the same form entered into with other executive officers of the Company, the current version of which can be found at: </w:t>
      </w:r>
      <w:r>
        <w:rPr>
          <w:rFonts w:ascii="Arial" w:cs="Arial" w:eastAsia="Arial" w:hAnsi="Arial"/>
          <w:sz w:val="21"/>
          <w:szCs w:val="21"/>
          <w:u w:val="single" w:color="auto"/>
          <w:color w:val="0000FF"/>
        </w:rPr>
        <w:t>https://www.sec.gov/Archives/edgar/data/1816581/000119312521080038/d122652dex101.htm</w:t>
      </w:r>
    </w:p>
    <w:p>
      <w:pPr>
        <w:spacing w:after="0" w:line="151" w:lineRule="exact"/>
        <w:rPr>
          <w:rFonts w:ascii="Arial" w:cs="Arial" w:eastAsia="Arial" w:hAnsi="Arial"/>
          <w:sz w:val="21"/>
          <w:szCs w:val="21"/>
          <w:color w:val="auto"/>
        </w:rPr>
      </w:pPr>
    </w:p>
    <w:p>
      <w:pPr>
        <w:jc w:val="both"/>
        <w:ind w:right="20" w:firstLine="656"/>
        <w:spacing w:after="0" w:line="271" w:lineRule="auto"/>
        <w:tabs>
          <w:tab w:leader="none" w:pos="1296"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The period of Executive’s employment under this Agreement shall commence on the Commencement Date</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continue until Executive’s employment with the Company is terminated pursuant to Section 5. The phrase “</w:t>
      </w:r>
      <w:r>
        <w:rPr>
          <w:rFonts w:ascii="Arial" w:cs="Arial" w:eastAsia="Arial" w:hAnsi="Arial"/>
          <w:sz w:val="19"/>
          <w:szCs w:val="19"/>
          <w:b w:val="1"/>
          <w:bCs w:val="1"/>
          <w:color w:val="auto"/>
        </w:rPr>
        <w:t>Term</w:t>
      </w:r>
      <w:r>
        <w:rPr>
          <w:rFonts w:ascii="Arial" w:cs="Arial" w:eastAsia="Arial" w:hAnsi="Arial"/>
          <w:sz w:val="19"/>
          <w:szCs w:val="19"/>
          <w:color w:val="auto"/>
        </w:rPr>
        <w:t>” as used in this Agreement shall refer to the entire period of employment of Executive by the Company.</w:t>
      </w:r>
    </w:p>
    <w:p>
      <w:pPr>
        <w:spacing w:after="0" w:line="123"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Related Matters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26" w:lineRule="auto"/>
        <w:tabs>
          <w:tab w:leader="none" w:pos="1944"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Annual Base Salary</w:t>
      </w:r>
      <w:r>
        <w:rPr>
          <w:rFonts w:ascii="Arial" w:cs="Arial" w:eastAsia="Arial" w:hAnsi="Arial"/>
          <w:sz w:val="21"/>
          <w:szCs w:val="21"/>
          <w:color w:val="auto"/>
        </w:rPr>
        <w:t>. During the Term, Executive shall receive a base salary at the rate of $325,000 per year (as may be increased from time to time, the “</w:t>
      </w:r>
      <w:r>
        <w:rPr>
          <w:rFonts w:ascii="Arial" w:cs="Arial" w:eastAsia="Arial" w:hAnsi="Arial"/>
          <w:sz w:val="21"/>
          <w:szCs w:val="21"/>
          <w:b w:val="1"/>
          <w:bCs w:val="1"/>
          <w:color w:val="auto"/>
        </w:rPr>
        <w:t>Annual Base Salary</w:t>
      </w:r>
      <w:r>
        <w:rPr>
          <w:rFonts w:ascii="Arial" w:cs="Arial" w:eastAsia="Arial" w:hAnsi="Arial"/>
          <w:sz w:val="21"/>
          <w:szCs w:val="21"/>
          <w:color w:val="auto"/>
        </w:rPr>
        <w:t>”). The Annual Base Salary shall be subject to withholdings and deductions and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 and/or the Compensation Committee of the Board, not less than annually.</w:t>
      </w:r>
    </w:p>
    <w:p>
      <w:pPr>
        <w:spacing w:after="0" w:line="159" w:lineRule="exact"/>
        <w:rPr>
          <w:rFonts w:ascii="Arial" w:cs="Arial" w:eastAsia="Arial" w:hAnsi="Arial"/>
          <w:sz w:val="21"/>
          <w:szCs w:val="21"/>
          <w:color w:val="auto"/>
        </w:rPr>
      </w:pPr>
    </w:p>
    <w:p>
      <w:pPr>
        <w:jc w:val="both"/>
        <w:ind w:firstLine="1304"/>
        <w:spacing w:after="0" w:line="214"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Merit Bonus</w:t>
      </w:r>
      <w:r>
        <w:rPr>
          <w:rFonts w:ascii="Arial" w:cs="Arial" w:eastAsia="Arial" w:hAnsi="Arial"/>
          <w:sz w:val="22"/>
          <w:szCs w:val="22"/>
          <w:color w:val="auto"/>
        </w:rPr>
        <w:t>. Commencing in 2022, Executive shall be eligible to receive a discretionary annual merit bonus based on Executive’s achievement of performance objectives established by the CEO, Board and/or its Compensation Committee, such bonus to be targeted at 30% of the Annual Base Salary (the “</w:t>
      </w:r>
      <w:r>
        <w:rPr>
          <w:rFonts w:ascii="Arial" w:cs="Arial" w:eastAsia="Arial" w:hAnsi="Arial"/>
          <w:sz w:val="22"/>
          <w:szCs w:val="22"/>
          <w:b w:val="1"/>
          <w:bCs w:val="1"/>
          <w:color w:val="auto"/>
        </w:rPr>
        <w:t>Merit Bonus</w:t>
      </w:r>
      <w:r>
        <w:rPr>
          <w:rFonts w:ascii="Arial" w:cs="Arial" w:eastAsia="Arial" w:hAnsi="Arial"/>
          <w:sz w:val="22"/>
          <w:szCs w:val="22"/>
          <w:color w:val="auto"/>
        </w:rPr>
        <w:t>”). Any Merit Bonus approved by the CEO, Board and/or the Compensation Committee of the Board and/or the CEO shall be paid at the same time annual merit bonuses are paid to other executives of the Company generally and, in any event, by March 15 of the year following the year to which such Merit Bonus relates.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932"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401" w:right="339" w:bottom="1440" w:gutter="0" w:footer="0" w:header="0"/>
        </w:sectPr>
      </w:pPr>
    </w:p>
    <w:bookmarkStart w:id="67" w:name="page68"/>
    <w:bookmarkEnd w:id="67"/>
    <w:p>
      <w:pPr>
        <w:ind w:firstLine="1304"/>
        <w:spacing w:after="0" w:line="232" w:lineRule="auto"/>
        <w:tabs>
          <w:tab w:leader="none" w:pos="1932"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will be entitled to paid vacation in accordance with the Company’s vacation policy, as in effect from time to time.</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Equity Awards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14" w:lineRule="auto"/>
        <w:tabs>
          <w:tab w:leader="none" w:pos="1939"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Initial Equity Award</w:t>
      </w:r>
      <w:r>
        <w:rPr>
          <w:rFonts w:ascii="Arial" w:cs="Arial" w:eastAsia="Arial" w:hAnsi="Arial"/>
          <w:sz w:val="21"/>
          <w:szCs w:val="21"/>
          <w:color w:val="auto"/>
        </w:rPr>
        <w:t>. The Company shall recommend to the Board or Compensation Committee of the Board that the Company grant to Executive under the Company’s 2021 Incentive Award Plan (the “</w:t>
      </w:r>
      <w:r>
        <w:rPr>
          <w:rFonts w:ascii="Arial" w:cs="Arial" w:eastAsia="Arial" w:hAnsi="Arial"/>
          <w:sz w:val="21"/>
          <w:szCs w:val="21"/>
          <w:b w:val="1"/>
          <w:bCs w:val="1"/>
          <w:color w:val="auto"/>
        </w:rPr>
        <w:t>Plan</w:t>
      </w:r>
      <w:r>
        <w:rPr>
          <w:rFonts w:ascii="Arial" w:cs="Arial" w:eastAsia="Arial" w:hAnsi="Arial"/>
          <w:sz w:val="21"/>
          <w:szCs w:val="21"/>
          <w:color w:val="auto"/>
        </w:rPr>
        <w:t>”) an award of 608,696 restricted stock units (“</w:t>
      </w:r>
      <w:r>
        <w:rPr>
          <w:rFonts w:ascii="Arial" w:cs="Arial" w:eastAsia="Arial" w:hAnsi="Arial"/>
          <w:sz w:val="21"/>
          <w:szCs w:val="21"/>
          <w:b w:val="1"/>
          <w:bCs w:val="1"/>
          <w:color w:val="auto"/>
        </w:rPr>
        <w:t>RSUs</w:t>
      </w:r>
      <w:r>
        <w:rPr>
          <w:rFonts w:ascii="Arial" w:cs="Arial" w:eastAsia="Arial" w:hAnsi="Arial"/>
          <w:sz w:val="21"/>
          <w:szCs w:val="21"/>
          <w:color w:val="auto"/>
        </w:rPr>
        <w:t>”). Each RSU constitutes the right to receive one share of Company common stock upon vesting. The award of RSUs shall vest as to 25% of the total number of RSUs initially underlying the award as of the first anniversary of the standard quarterly vesting date nearest the Commencement Date (the “</w:t>
      </w:r>
      <w:r>
        <w:rPr>
          <w:rFonts w:ascii="Arial" w:cs="Arial" w:eastAsia="Arial" w:hAnsi="Arial"/>
          <w:sz w:val="21"/>
          <w:szCs w:val="21"/>
          <w:b w:val="1"/>
          <w:bCs w:val="1"/>
          <w:color w:val="auto"/>
        </w:rPr>
        <w:t>Vesting Commencement Date</w:t>
      </w:r>
      <w:r>
        <w:rPr>
          <w:rFonts w:ascii="Arial" w:cs="Arial" w:eastAsia="Arial" w:hAnsi="Arial"/>
          <w:sz w:val="21"/>
          <w:szCs w:val="21"/>
          <w:color w:val="auto"/>
        </w:rPr>
        <w:t>”) and as to 1/16</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total number of RSUs initially underlying the award as of each quarterly anniversary of the Vesting Commencement Date thereafter, subject to Executive’s continued service to the Company through the applicable vesting date. The RSUs shall otherwise be subject to the provisions of the Plan and an RSU agreement approved for use under the Plan to be entered into between Executive and the Company. For the purposes hereof, standard quarterly dates are March 11, June 11, September 11, and December 11.</w:t>
      </w:r>
    </w:p>
    <w:p>
      <w:pPr>
        <w:spacing w:after="0" w:line="161" w:lineRule="exact"/>
        <w:rPr>
          <w:rFonts w:ascii="Arial" w:cs="Arial" w:eastAsia="Arial" w:hAnsi="Arial"/>
          <w:sz w:val="21"/>
          <w:szCs w:val="21"/>
          <w:color w:val="auto"/>
        </w:rPr>
      </w:pPr>
    </w:p>
    <w:p>
      <w:pPr>
        <w:jc w:val="both"/>
        <w:ind w:firstLine="1304"/>
        <w:spacing w:after="0" w:line="229" w:lineRule="auto"/>
        <w:tabs>
          <w:tab w:leader="none" w:pos="1932"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During the term of Executive’s employment with the Company, Executive shall be eligible for the discretionary grant of restricted stock units and other equity awards as may be determined by the Board or its Compensation Committee. Additionally, the CEO, in the CEO’s sole discretion, may consider proposing other equity grants to the Board or its Compensation Committee as the CEO may determine reasonable and appropriate.</w:t>
      </w:r>
    </w:p>
    <w:p>
      <w:pPr>
        <w:spacing w:after="0" w:line="152" w:lineRule="exact"/>
        <w:rPr>
          <w:rFonts w:ascii="Arial" w:cs="Arial" w:eastAsia="Arial" w:hAnsi="Arial"/>
          <w:sz w:val="21"/>
          <w:szCs w:val="21"/>
          <w:color w:val="auto"/>
        </w:rPr>
      </w:pPr>
    </w:p>
    <w:p>
      <w:pPr>
        <w:ind w:left="1300" w:hanging="644"/>
        <w:spacing w:after="0"/>
        <w:tabs>
          <w:tab w:leader="none" w:pos="130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19" w:lineRule="auto"/>
        <w:tabs>
          <w:tab w:leader="none" w:pos="1932"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w:t>
      </w:r>
    </w:p>
    <w:p>
      <w:pPr>
        <w:spacing w:after="0" w:line="168" w:lineRule="exact"/>
        <w:rPr>
          <w:rFonts w:ascii="Arial" w:cs="Arial" w:eastAsia="Arial" w:hAnsi="Arial"/>
          <w:sz w:val="21"/>
          <w:szCs w:val="21"/>
          <w:color w:val="auto"/>
        </w:rPr>
      </w:pPr>
    </w:p>
    <w:p>
      <w:pPr>
        <w:jc w:val="both"/>
        <w:ind w:firstLine="1304"/>
        <w:spacing w:after="0" w:line="221" w:lineRule="auto"/>
        <w:tabs>
          <w:tab w:leader="none" w:pos="1939"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During the Term, any termination of Executive’s employment by the Company or by Executive (other than by reason of death) shall be communicated by written notice (a “</w:t>
      </w:r>
      <w:r>
        <w:rPr>
          <w:rFonts w:ascii="Arial" w:cs="Arial" w:eastAsia="Arial" w:hAnsi="Arial"/>
          <w:sz w:val="21"/>
          <w:szCs w:val="21"/>
          <w:b w:val="1"/>
          <w:bCs w:val="1"/>
          <w:color w:val="auto"/>
        </w:rPr>
        <w:t>Notice of Termination</w:t>
      </w:r>
      <w:r>
        <w:rPr>
          <w:rFonts w:ascii="Arial" w:cs="Arial" w:eastAsia="Arial" w:hAnsi="Arial"/>
          <w:sz w:val="21"/>
          <w:szCs w:val="21"/>
          <w:color w:val="auto"/>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401" w:right="339" w:bottom="1440" w:gutter="0" w:footer="0" w:header="0"/>
        </w:sectPr>
      </w:pPr>
    </w:p>
    <w:bookmarkStart w:id="68" w:name="page69"/>
    <w:bookmarkEnd w:id="68"/>
    <w:p>
      <w:pPr>
        <w:ind w:firstLine="1304"/>
        <w:spacing w:after="0" w:line="235" w:lineRule="auto"/>
        <w:tabs>
          <w:tab w:leader="none" w:pos="1939"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Date of Termination</w:t>
      </w:r>
      <w:r>
        <w:rPr>
          <w:rFonts w:ascii="Arial" w:cs="Arial" w:eastAsia="Arial" w:hAnsi="Arial"/>
          <w:sz w:val="22"/>
          <w:szCs w:val="22"/>
          <w:color w:val="auto"/>
        </w:rPr>
        <w:t>” shall mean the date of the termination of Executive’s employment with the Company specified in a Notice of Termination.</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9"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Deemed Resignation</w:t>
      </w:r>
      <w:r>
        <w:rPr>
          <w:rFonts w:ascii="Arial" w:cs="Arial" w:eastAsia="Arial" w:hAnsi="Arial"/>
          <w:sz w:val="19"/>
          <w:szCs w:val="19"/>
          <w:color w:val="auto"/>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26" w:lineRule="exact"/>
        <w:rPr>
          <w:rFonts w:ascii="Arial" w:cs="Arial" w:eastAsia="Arial" w:hAnsi="Arial"/>
          <w:sz w:val="19"/>
          <w:szCs w:val="19"/>
          <w:color w:val="auto"/>
        </w:rPr>
      </w:pPr>
    </w:p>
    <w:p>
      <w:pPr>
        <w:ind w:left="1300" w:hanging="644"/>
        <w:spacing w:after="0"/>
        <w:tabs>
          <w:tab w:leader="none" w:pos="13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Consequences of Termination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20" w:lineRule="auto"/>
        <w:tabs>
          <w:tab w:leader="none" w:pos="1939"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Payments of Accrued Obligations upon all Terminations of Employment</w:t>
      </w:r>
      <w:r>
        <w:rPr>
          <w:rFonts w:ascii="Arial" w:cs="Arial" w:eastAsia="Arial" w:hAnsi="Arial"/>
          <w:sz w:val="21"/>
          <w:szCs w:val="21"/>
          <w:color w:val="auto"/>
        </w:rPr>
        <w:t>. Upon a termination of Executive’s employment for any reason, Executive (or Executive’s estate or legal representative, as applicable) shall be entitled to receive, within thirty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time-off owed to Executive, (iv) any Merit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 6(b), the payments and benefits described in this Section 6(a) shall be the only payments and benefits payable in the event of Executive’s termination of employment for any reason.</w:t>
      </w:r>
    </w:p>
    <w:p>
      <w:pPr>
        <w:spacing w:after="0" w:line="162" w:lineRule="exact"/>
        <w:rPr>
          <w:rFonts w:ascii="Arial" w:cs="Arial" w:eastAsia="Arial" w:hAnsi="Arial"/>
          <w:sz w:val="21"/>
          <w:szCs w:val="21"/>
          <w:color w:val="auto"/>
        </w:rPr>
      </w:pPr>
    </w:p>
    <w:p>
      <w:pPr>
        <w:jc w:val="both"/>
        <w:ind w:firstLine="1304"/>
        <w:spacing w:after="0" w:line="221" w:lineRule="auto"/>
        <w:tabs>
          <w:tab w:leader="none" w:pos="1944"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Double Trigger Acceleration</w:t>
      </w:r>
      <w:r>
        <w:rPr>
          <w:rFonts w:ascii="Arial" w:cs="Arial" w:eastAsia="Arial" w:hAnsi="Arial"/>
          <w:sz w:val="21"/>
          <w:szCs w:val="21"/>
          <w:color w:val="auto"/>
        </w:rPr>
        <w:t xml:space="preserve">. If, during the Term, Executive experiences a Covered Termination during a Change of Control Period, then, subject to Executive’s delivery to the Company of a waiver and release of claims agreement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(but updated to the extent deemed by the Company to be necessary to reflect any changes in applicable law) (the “</w:t>
      </w:r>
      <w:r>
        <w:rPr>
          <w:rFonts w:ascii="Arial" w:cs="Arial" w:eastAsia="Arial" w:hAnsi="Arial"/>
          <w:sz w:val="21"/>
          <w:szCs w:val="21"/>
          <w:b w:val="1"/>
          <w:bCs w:val="1"/>
          <w:color w:val="auto"/>
        </w:rPr>
        <w:t>Release</w:t>
      </w:r>
      <w:r>
        <w:rPr>
          <w:rFonts w:ascii="Arial" w:cs="Arial" w:eastAsia="Arial" w:hAnsi="Arial"/>
          <w:sz w:val="21"/>
          <w:szCs w:val="21"/>
          <w:color w:val="auto"/>
        </w:rPr>
        <w:t>”) that becomes effective and irrevocable in accordance with Section 10(d), the Company shall cause any unvested equity awards, including any stock options, restricted stock awards and any such awards subject to performance-based vesting, held by Executive as of the Date of Termination, to become fully vested and, if applicable, exercisable, and cause all restrictions and rights of repurchase on such awards to lapse with respect to all of the shares of the Company’s Common Stock subject thereto.</w:t>
      </w:r>
    </w:p>
    <w:p>
      <w:pPr>
        <w:spacing w:after="0" w:line="165" w:lineRule="exact"/>
        <w:rPr>
          <w:rFonts w:ascii="Arial" w:cs="Arial" w:eastAsia="Arial" w:hAnsi="Arial"/>
          <w:sz w:val="21"/>
          <w:szCs w:val="21"/>
          <w:color w:val="auto"/>
        </w:rPr>
      </w:pPr>
    </w:p>
    <w:p>
      <w:pPr>
        <w:jc w:val="both"/>
        <w:ind w:firstLine="1304"/>
        <w:spacing w:after="0" w:line="223" w:lineRule="auto"/>
        <w:tabs>
          <w:tab w:leader="none" w:pos="1942"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No Other Severance</w:t>
      </w:r>
      <w:r>
        <w:rPr>
          <w:rFonts w:ascii="Arial" w:cs="Arial" w:eastAsia="Arial" w:hAnsi="Arial"/>
          <w:sz w:val="22"/>
          <w:szCs w:val="22"/>
          <w:color w:val="auto"/>
        </w:rPr>
        <w:t>. Except as otherwise approved by the Board, the provisions of this Section 6 shall supersede in their entirety any severance payment provisions in any severance plan, policy, program, or other arrangement maintained by the Company.</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No Requirement to Mitigate; Survival</w:t>
      </w:r>
      <w:r>
        <w:rPr>
          <w:rFonts w:ascii="Arial" w:cs="Arial" w:eastAsia="Arial" w:hAnsi="Arial"/>
          <w:sz w:val="19"/>
          <w:szCs w:val="19"/>
          <w:color w:val="auto"/>
        </w:rPr>
        <w:t>. Executive shall not be required to mitigate the amount of any benefit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26" w:lineRule="exact"/>
        <w:rPr>
          <w:rFonts w:ascii="Arial" w:cs="Arial" w:eastAsia="Arial" w:hAnsi="Arial"/>
          <w:sz w:val="19"/>
          <w:szCs w:val="19"/>
          <w:color w:val="auto"/>
        </w:rPr>
      </w:pPr>
    </w:p>
    <w:p>
      <w:pPr>
        <w:jc w:val="both"/>
        <w:ind w:firstLine="1304"/>
        <w:spacing w:after="0" w:line="215" w:lineRule="auto"/>
        <w:tabs>
          <w:tab w:leader="none" w:pos="1939"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Definition of Cause</w:t>
      </w:r>
      <w:r>
        <w:rPr>
          <w:rFonts w:ascii="Arial" w:cs="Arial" w:eastAsia="Arial" w:hAnsi="Arial"/>
          <w:sz w:val="22"/>
          <w:szCs w:val="22"/>
          <w:color w:val="auto"/>
        </w:rPr>
        <w:t>. For purposes hereof, “</w:t>
      </w:r>
      <w:r>
        <w:rPr>
          <w:rFonts w:ascii="Arial" w:cs="Arial" w:eastAsia="Arial" w:hAnsi="Arial"/>
          <w:sz w:val="22"/>
          <w:szCs w:val="22"/>
          <w:b w:val="1"/>
          <w:bCs w:val="1"/>
          <w:color w:val="auto"/>
        </w:rPr>
        <w:t>Cause</w:t>
      </w:r>
      <w:r>
        <w:rPr>
          <w:rFonts w:ascii="Arial" w:cs="Arial" w:eastAsia="Arial" w:hAnsi="Arial"/>
          <w:sz w:val="22"/>
          <w:szCs w:val="22"/>
          <w:color w:val="auto"/>
        </w:rPr>
        <w:t>” shall mean any one of the following: (i) Executive’s willful and continued failure to substantially perform Executive’s duties with the Company (other than any such failure resulting from Executive’s incapacity due to physical or mental illness), after a written demand for substantial performance is delivered to you by the CEO or Board, (ii) Executive’s willful and continued failure to substantially follow and comply with such specific and lawful directives of the CEO or Board, after a written demand for substantial performance is delivered to Executive by the Company, (iii)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395" w:right="339" w:bottom="1440" w:gutter="0" w:footer="0" w:header="0"/>
        </w:sectPr>
      </w:pPr>
    </w:p>
    <w:bookmarkStart w:id="69" w:name="page70"/>
    <w:bookmarkEnd w:id="69"/>
    <w:p>
      <w:pPr>
        <w:spacing w:after="0" w:line="232" w:lineRule="auto"/>
        <w:rPr>
          <w:sz w:val="20"/>
          <w:szCs w:val="20"/>
          <w:color w:val="auto"/>
        </w:rPr>
      </w:pPr>
      <w:r>
        <w:rPr>
          <w:rFonts w:ascii="Arial" w:cs="Arial" w:eastAsia="Arial" w:hAnsi="Arial"/>
          <w:sz w:val="22"/>
          <w:szCs w:val="22"/>
          <w:color w:val="auto"/>
        </w:rPr>
        <w:t>commission of an act of fraud or material dishonesty, or (iv) Executive’s conviction of, or entry by Executive of a guilty or no contest plea to, the commission of a felony or any other crime involving moral turpitude.</w:t>
      </w:r>
    </w:p>
    <w:p>
      <w:pPr>
        <w:spacing w:after="0" w:line="153" w:lineRule="exact"/>
        <w:rPr>
          <w:sz w:val="20"/>
          <w:szCs w:val="20"/>
          <w:color w:val="auto"/>
        </w:rPr>
      </w:pPr>
    </w:p>
    <w:p>
      <w:pPr>
        <w:ind w:firstLine="1304"/>
        <w:spacing w:after="0" w:line="305" w:lineRule="auto"/>
        <w:tabs>
          <w:tab w:leader="none" w:pos="1939"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Definition of Change of Control Period</w:t>
      </w:r>
      <w:r>
        <w:rPr>
          <w:rFonts w:ascii="Arial" w:cs="Arial" w:eastAsia="Arial" w:hAnsi="Arial"/>
          <w:sz w:val="19"/>
          <w:szCs w:val="19"/>
          <w:color w:val="auto"/>
        </w:rPr>
        <w:t>. For purposes hereof, “</w:t>
      </w:r>
      <w:r>
        <w:rPr>
          <w:rFonts w:ascii="Arial" w:cs="Arial" w:eastAsia="Arial" w:hAnsi="Arial"/>
          <w:sz w:val="19"/>
          <w:szCs w:val="19"/>
          <w:b w:val="1"/>
          <w:bCs w:val="1"/>
          <w:color w:val="auto"/>
        </w:rPr>
        <w:t>Change of Control Period</w:t>
      </w:r>
      <w:r>
        <w:rPr>
          <w:rFonts w:ascii="Arial" w:cs="Arial" w:eastAsia="Arial" w:hAnsi="Arial"/>
          <w:sz w:val="19"/>
          <w:szCs w:val="19"/>
          <w:color w:val="auto"/>
        </w:rPr>
        <w:t>” shall mean the period commencing ninety days prior to a Change of Control and ending 12 months after such Change of Control.</w:t>
      </w:r>
    </w:p>
    <w:p>
      <w:pPr>
        <w:spacing w:after="0" w:line="92" w:lineRule="exact"/>
        <w:rPr>
          <w:rFonts w:ascii="Arial" w:cs="Arial" w:eastAsia="Arial" w:hAnsi="Arial"/>
          <w:sz w:val="19"/>
          <w:szCs w:val="19"/>
          <w:color w:val="auto"/>
        </w:rPr>
      </w:pPr>
    </w:p>
    <w:p>
      <w:pPr>
        <w:jc w:val="both"/>
        <w:ind w:firstLine="1304"/>
        <w:spacing w:after="0" w:line="225" w:lineRule="auto"/>
        <w:tabs>
          <w:tab w:leader="none" w:pos="1933"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Definition of Covered Termination</w:t>
      </w:r>
      <w:r>
        <w:rPr>
          <w:rFonts w:ascii="Arial" w:cs="Arial" w:eastAsia="Arial" w:hAnsi="Arial"/>
          <w:sz w:val="22"/>
          <w:szCs w:val="22"/>
          <w:color w:val="auto"/>
        </w:rPr>
        <w:t>. For purposes hereof, “</w:t>
      </w:r>
      <w:r>
        <w:rPr>
          <w:rFonts w:ascii="Arial" w:cs="Arial" w:eastAsia="Arial" w:hAnsi="Arial"/>
          <w:sz w:val="22"/>
          <w:szCs w:val="22"/>
          <w:b w:val="1"/>
          <w:bCs w:val="1"/>
          <w:color w:val="auto"/>
        </w:rPr>
        <w:t>Covered Termination</w:t>
      </w:r>
      <w:r>
        <w:rPr>
          <w:rFonts w:ascii="Arial" w:cs="Arial" w:eastAsia="Arial" w:hAnsi="Arial"/>
          <w:sz w:val="22"/>
          <w:szCs w:val="22"/>
          <w:color w:val="auto"/>
        </w:rPr>
        <w:t>” shall mean the termination of Executive’s employment by the Company without Cause or by Executive for Good Reason, and shall not include a termination due to Executive’s death or disability.</w:t>
      </w:r>
    </w:p>
    <w:p>
      <w:pPr>
        <w:spacing w:after="0" w:line="152" w:lineRule="exact"/>
        <w:rPr>
          <w:rFonts w:ascii="Arial" w:cs="Arial" w:eastAsia="Arial" w:hAnsi="Arial"/>
          <w:sz w:val="22"/>
          <w:szCs w:val="22"/>
          <w:color w:val="auto"/>
        </w:rPr>
      </w:pPr>
    </w:p>
    <w:p>
      <w:pPr>
        <w:jc w:val="both"/>
        <w:ind w:firstLine="1304"/>
        <w:spacing w:after="0" w:line="243" w:lineRule="auto"/>
        <w:tabs>
          <w:tab w:leader="none" w:pos="1939"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Definition of Good Reason</w:t>
      </w:r>
      <w:r>
        <w:rPr>
          <w:rFonts w:ascii="Arial" w:cs="Arial" w:eastAsia="Arial" w:hAnsi="Arial"/>
          <w:sz w:val="19"/>
          <w:szCs w:val="19"/>
          <w:color w:val="auto"/>
        </w:rPr>
        <w:t>. For purposes hereof, “</w:t>
      </w:r>
      <w:r>
        <w:rPr>
          <w:rFonts w:ascii="Arial" w:cs="Arial" w:eastAsia="Arial" w:hAnsi="Arial"/>
          <w:sz w:val="19"/>
          <w:szCs w:val="19"/>
          <w:b w:val="1"/>
          <w:bCs w:val="1"/>
          <w:color w:val="auto"/>
        </w:rPr>
        <w:t>Good Reason</w:t>
      </w:r>
      <w:r>
        <w:rPr>
          <w:rFonts w:ascii="Arial" w:cs="Arial" w:eastAsia="Arial" w:hAnsi="Arial"/>
          <w:sz w:val="19"/>
          <w:szCs w:val="19"/>
          <w:color w:val="auto"/>
        </w:rPr>
        <w:t>” means the occurrence of any of the following events or circumstances, without Executive’s prior written consent: (i) a material reduction in Executive’s Annual Base Salary, (ii) a material diminution in Executive’s duties or responsibilities, or level of authority, (iii) a relocation of Executive’s principal place of employment that increases Executive’s one-way commute by at least thirty-five (35) miles, (iv) material breach of this Agreement by the Company, including any failure to pay Executive any compensation or benefits to which you are entitled within fifteen (15) days of the date due, or (v) the Company’s failure to obtain an agreement from any successor to the Company to assume and agree to perform this Agreement in the same manner and to the same extent that the Company would be required to perform if no succession had taken place. Notwithstanding the foregoing, in no event shall Executive be deemed to have Good Reason unless (A) Executive provides written notice to the Company of the condition giving rise to Good Reason within ninety (90) days of its initial occurrence, (B) the Company fails to cure such condition within thirty (30) days after the Company receives Executive’s written notice of such condition and (C) Executive’s resignation is effective within sixty (60) days following the end of such cure period.</w:t>
      </w:r>
    </w:p>
    <w:p>
      <w:pPr>
        <w:spacing w:after="0" w:line="374"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 and Successors</w:t>
      </w:r>
      <w:r>
        <w:rPr>
          <w:rFonts w:ascii="Arial" w:cs="Arial" w:eastAsia="Arial" w:hAnsi="Arial"/>
          <w:sz w:val="21"/>
          <w:szCs w:val="21"/>
          <w:color w:val="auto"/>
        </w:rPr>
        <w:t>. The Company shall assign its rights and obligations under this Agreement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r>
        <w:rPr>
          <w:rFonts w:ascii="Arial" w:cs="Arial" w:eastAsia="Arial" w:hAnsi="Arial"/>
          <w:sz w:val="21"/>
          <w:szCs w:val="21"/>
          <w:b w:val="1"/>
          <w:bCs w:val="1"/>
          <w:color w:val="auto"/>
        </w:rPr>
        <w:t>.</w:t>
      </w:r>
    </w:p>
    <w:p>
      <w:pPr>
        <w:spacing w:after="0" w:line="153" w:lineRule="exact"/>
        <w:rPr>
          <w:rFonts w:ascii="Arial" w:cs="Arial" w:eastAsia="Arial" w:hAnsi="Arial"/>
          <w:sz w:val="21"/>
          <w:szCs w:val="21"/>
          <w:b w:val="1"/>
          <w:bCs w:val="1"/>
          <w:color w:val="auto"/>
        </w:rPr>
      </w:pPr>
    </w:p>
    <w:p>
      <w:pPr>
        <w:ind w:left="1300" w:hanging="644"/>
        <w:spacing w:after="0"/>
        <w:tabs>
          <w:tab w:leader="none" w:pos="13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18" w:lineRule="auto"/>
        <w:tabs>
          <w:tab w:leader="none" w:pos="1939"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xml:space="preserve">. As a condition to employment hereunder, Executive shall enter into the Confidential Information and Invention Assignment Agreement with the Company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The Confidentiality Agreement shall survive the termination of this Agreement and Executive’s employment with the Company for the applicable period(s) set forth therein.</w:t>
      </w:r>
    </w:p>
    <w:p>
      <w:pPr>
        <w:spacing w:after="0" w:line="160" w:lineRule="exact"/>
        <w:rPr>
          <w:rFonts w:ascii="Arial" w:cs="Arial" w:eastAsia="Arial" w:hAnsi="Arial"/>
          <w:sz w:val="22"/>
          <w:szCs w:val="22"/>
          <w:color w:val="auto"/>
        </w:rPr>
      </w:pPr>
    </w:p>
    <w:p>
      <w:pPr>
        <w:jc w:val="both"/>
        <w:ind w:firstLine="1304"/>
        <w:spacing w:after="0" w:line="214" w:lineRule="auto"/>
        <w:tabs>
          <w:tab w:leader="none" w:pos="1941"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foregoing clauses (i) and (ii) shall not apply to a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401" w:right="339" w:bottom="1440" w:gutter="0" w:footer="0" w:header="0"/>
        </w:sectPr>
      </w:pPr>
    </w:p>
    <w:bookmarkStart w:id="70" w:name="page71"/>
    <w:bookmarkEnd w:id="70"/>
    <w:p>
      <w:pPr>
        <w:spacing w:after="0" w:line="232" w:lineRule="auto"/>
        <w:rPr>
          <w:sz w:val="20"/>
          <w:szCs w:val="20"/>
          <w:color w:val="auto"/>
        </w:rPr>
      </w:pPr>
      <w:r>
        <w:rPr>
          <w:rFonts w:ascii="Arial" w:cs="Arial" w:eastAsia="Arial" w:hAnsi="Arial"/>
          <w:sz w:val="22"/>
          <w:szCs w:val="22"/>
          <w:color w:val="auto"/>
        </w:rPr>
        <w:t>advertisement or solicitation (or any hiring pursuant to such advertisement or solicitation) that is not specifically targeted to such employees or consultants.</w:t>
      </w:r>
    </w:p>
    <w:p>
      <w:pPr>
        <w:spacing w:after="0" w:line="159" w:lineRule="exact"/>
        <w:rPr>
          <w:sz w:val="20"/>
          <w:szCs w:val="20"/>
          <w:color w:val="auto"/>
        </w:rPr>
      </w:pPr>
    </w:p>
    <w:p>
      <w:pPr>
        <w:jc w:val="both"/>
        <w:ind w:firstLine="1304"/>
        <w:spacing w:after="0" w:line="229" w:lineRule="auto"/>
        <w:tabs>
          <w:tab w:leader="none" w:pos="1942"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ind w:left="1300"/>
              <w:spacing w:after="0"/>
              <w:rPr>
                <w:sz w:val="20"/>
                <w:szCs w:val="20"/>
                <w:color w:val="auto"/>
              </w:rPr>
            </w:pPr>
            <w:r>
              <w:rPr>
                <w:rFonts w:ascii="Arial" w:cs="Arial" w:eastAsia="Arial" w:hAnsi="Arial"/>
                <w:sz w:val="22"/>
                <w:szCs w:val="22"/>
                <w:color w:val="auto"/>
              </w:rPr>
              <w:t>(ab)</w:t>
            </w:r>
          </w:p>
        </w:tc>
        <w:tc>
          <w:tcPr>
            <w:tcW w:w="9300" w:type="dxa"/>
            <w:vAlign w:val="bottom"/>
            <w:gridSpan w:val="2"/>
          </w:tcPr>
          <w:p>
            <w:pPr>
              <w:spacing w:after="0"/>
              <w:rPr>
                <w:sz w:val="20"/>
                <w:szCs w:val="20"/>
                <w:color w:val="auto"/>
              </w:rPr>
            </w:pPr>
            <w:r>
              <w:rPr>
                <w:rFonts w:ascii="Arial" w:cs="Arial" w:eastAsia="Arial" w:hAnsi="Arial"/>
                <w:sz w:val="22"/>
                <w:szCs w:val="22"/>
                <w:color w:val="auto"/>
                <w:w w:val="97"/>
              </w:rPr>
              <w:t>Validity. The invalidity or unenforceability of any provision or provisions of this Agreement shall not</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22"/>
                <w:szCs w:val="22"/>
                <w:color w:val="auto"/>
              </w:rPr>
              <w:t>affect the validity or</w:t>
            </w:r>
          </w:p>
        </w:tc>
        <w:tc>
          <w:tcPr>
            <w:tcW w:w="70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940" w:type="dxa"/>
            <w:vAlign w:val="bottom"/>
            <w:vMerge w:val="continue"/>
          </w:tcPr>
          <w:p>
            <w:pPr>
              <w:spacing w:after="0"/>
              <w:rPr>
                <w:sz w:val="23"/>
                <w:szCs w:val="23"/>
                <w:color w:val="auto"/>
              </w:rPr>
            </w:pPr>
          </w:p>
        </w:tc>
        <w:tc>
          <w:tcPr>
            <w:tcW w:w="9300" w:type="dxa"/>
            <w:vAlign w:val="bottom"/>
            <w:gridSpan w:val="2"/>
          </w:tcPr>
          <w:p>
            <w:pPr>
              <w:spacing w:after="0"/>
              <w:rPr>
                <w:sz w:val="20"/>
                <w:szCs w:val="20"/>
                <w:color w:val="auto"/>
              </w:rPr>
            </w:pPr>
            <w:r>
              <w:rPr>
                <w:rFonts w:ascii="Arial" w:cs="Arial" w:eastAsia="Arial" w:hAnsi="Arial"/>
                <w:sz w:val="22"/>
                <w:szCs w:val="22"/>
                <w:color w:val="auto"/>
                <w:w w:val="98"/>
              </w:rPr>
              <w:t>enforceability of any other provision of this Agreement, which shall remain in full force and effect.</w:t>
            </w:r>
          </w:p>
        </w:tc>
        <w:tc>
          <w:tcPr>
            <w:tcW w:w="0" w:type="dxa"/>
            <w:vAlign w:val="bottom"/>
          </w:tcPr>
          <w:p>
            <w:pPr>
              <w:spacing w:after="0"/>
              <w:rPr>
                <w:sz w:val="1"/>
                <w:szCs w:val="1"/>
                <w:color w:val="auto"/>
              </w:rPr>
            </w:pPr>
          </w:p>
        </w:tc>
      </w:tr>
      <w:tr>
        <w:trPr>
          <w:trHeight w:val="370"/>
        </w:trPr>
        <w:tc>
          <w:tcPr>
            <w:tcW w:w="1940" w:type="dxa"/>
            <w:vAlign w:val="bottom"/>
          </w:tcPr>
          <w:p>
            <w:pPr>
              <w:ind w:left="1300"/>
              <w:spacing w:after="0"/>
              <w:rPr>
                <w:sz w:val="20"/>
                <w:szCs w:val="20"/>
                <w:color w:val="auto"/>
              </w:rPr>
            </w:pPr>
            <w:r>
              <w:rPr>
                <w:rFonts w:ascii="Arial" w:cs="Arial" w:eastAsia="Arial" w:hAnsi="Arial"/>
                <w:sz w:val="22"/>
                <w:szCs w:val="22"/>
                <w:color w:val="auto"/>
              </w:rPr>
              <w:t>(ac)</w:t>
            </w:r>
          </w:p>
        </w:tc>
        <w:tc>
          <w:tcPr>
            <w:tcW w:w="9300" w:type="dxa"/>
            <w:vAlign w:val="bottom"/>
            <w:gridSpan w:val="2"/>
          </w:tcPr>
          <w:p>
            <w:pPr>
              <w:ind w:left="20"/>
              <w:spacing w:after="0"/>
              <w:rPr>
                <w:sz w:val="20"/>
                <w:szCs w:val="20"/>
                <w:color w:val="auto"/>
              </w:rPr>
            </w:pPr>
            <w:r>
              <w:rPr>
                <w:rFonts w:ascii="Arial" w:cs="Arial" w:eastAsia="Arial" w:hAnsi="Arial"/>
                <w:sz w:val="22"/>
                <w:szCs w:val="22"/>
                <w:u w:val="single" w:color="auto"/>
                <w:color w:val="auto"/>
                <w:w w:val="89"/>
              </w:rPr>
              <w:t>Counterparts</w:t>
            </w:r>
            <w:r>
              <w:rPr>
                <w:rFonts w:ascii="Arial" w:cs="Arial" w:eastAsia="Arial" w:hAnsi="Arial"/>
                <w:sz w:val="22"/>
                <w:szCs w:val="22"/>
                <w:color w:val="auto"/>
                <w:w w:val="89"/>
              </w:rPr>
              <w:t>. This Agreement may be executed in several counterparts, each of which shall be deemed to</w:t>
            </w:r>
          </w:p>
        </w:tc>
        <w:tc>
          <w:tcPr>
            <w:tcW w:w="0" w:type="dxa"/>
            <w:vAlign w:val="bottom"/>
          </w:tcPr>
          <w:p>
            <w:pPr>
              <w:spacing w:after="0"/>
              <w:rPr>
                <w:sz w:val="1"/>
                <w:szCs w:val="1"/>
                <w:color w:val="auto"/>
              </w:rPr>
            </w:pPr>
          </w:p>
        </w:tc>
      </w:tr>
    </w:tbl>
    <w:p>
      <w:pPr>
        <w:jc w:val="both"/>
        <w:ind w:right="20"/>
        <w:spacing w:after="0" w:line="224" w:lineRule="auto"/>
        <w:rPr>
          <w:sz w:val="20"/>
          <w:szCs w:val="20"/>
          <w:color w:val="auto"/>
        </w:rPr>
      </w:pPr>
      <w:r>
        <w:rPr>
          <w:rFonts w:ascii="Arial" w:cs="Arial" w:eastAsia="Arial" w:hAnsi="Arial"/>
          <w:sz w:val="22"/>
          <w:szCs w:val="22"/>
          <w:color w:val="auto"/>
        </w:rPr>
        <w:t>be an original, but all of which together will constitute one and the same Agreement. Signatures delivered by facsimile shall be deemed effective for all purposes.</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(ad)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terms of this Agreement, together with the Confidentiality Agreement, are intended by the Parties to be the final expression of their agreement with respect to the employment of Executive by the Company and supersede all prior understandings and agreements, whether written or oral, regarding Executive’s service to the Company. The Parties further intend that this Agreement, together with the Confidentiality Agreement, shall constitute the complete and exclusive statement of their terms and that no extrinsic evidence whatsoever may be introduced in any judicial, administrative, or other legal proceeding to vary the terms of this Agreement or the Confidentiality Agreement.</w:t>
      </w:r>
    </w:p>
    <w:p>
      <w:pPr>
        <w:spacing w:after="0" w:line="152"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(ae) </w:t>
      </w: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6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(af) </w:t>
      </w: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Santa Clara County, California through JAMS in conformity with California law and the then-existing JAMS employment arbitration rules, which can be found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auto"/>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 8(a) or 8(b), the Company may request relief from a court of competent jurisdiction if such relief is not available or not available in a timely fashion through arbitration as determined by the Company. The arbitrator shall: (i) provide adequate discovery for the resolution of the dispute; and (ii) issue a written arbitration decision, to include the arbitrator’s essential findings and conclusions and a statement of the award. The arbitrator shall award the prevailing Party attorneys’ fees and expert fees,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401" w:right="339" w:bottom="1440" w:gutter="0" w:footer="0" w:header="0"/>
        </w:sectPr>
      </w:pPr>
    </w:p>
    <w:bookmarkStart w:id="71" w:name="page72"/>
    <w:bookmarkEnd w:id="71"/>
    <w:p>
      <w:pPr>
        <w:jc w:val="both"/>
        <w:spacing w:after="0" w:line="219" w:lineRule="auto"/>
        <w:rPr>
          <w:sz w:val="20"/>
          <w:szCs w:val="20"/>
          <w:color w:val="auto"/>
        </w:rPr>
      </w:pPr>
      <w:r>
        <w:rPr>
          <w:rFonts w:ascii="Arial" w:cs="Arial" w:eastAsia="Arial" w:hAnsi="Arial"/>
          <w:sz w:val="21"/>
          <w:szCs w:val="21"/>
          <w:color w:val="auto"/>
        </w:rPr>
        <w:t>Notwithstanding the foregoing, it is acknowledged that it will be impossible to measure in money the damages that would be suffered if the Parties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 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(ag) </w:t>
      </w: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6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(ah) </w:t>
      </w: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6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(ai) </w:t>
      </w:r>
      <w:r>
        <w:rPr>
          <w:rFonts w:ascii="Arial" w:cs="Arial" w:eastAsia="Arial" w:hAnsi="Arial"/>
          <w:sz w:val="19"/>
          <w:szCs w:val="19"/>
          <w:u w:val="single" w:color="auto"/>
          <w:color w:val="auto"/>
        </w:rPr>
        <w:t>Whistleblower Protections and Trade Secrets</w:t>
      </w:r>
      <w:r>
        <w:rPr>
          <w:rFonts w:ascii="Arial" w:cs="Arial" w:eastAsia="Arial" w:hAnsi="Arial"/>
          <w:sz w:val="19"/>
          <w:szCs w:val="19"/>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401" w:right="339" w:bottom="1440" w:gutter="0" w:footer="0" w:header="0"/>
        </w:sectPr>
      </w:pPr>
    </w:p>
    <w:bookmarkStart w:id="72" w:name="page73"/>
    <w:bookmarkEnd w:id="72"/>
    <w:p>
      <w:pPr>
        <w:ind w:left="1300" w:hanging="644"/>
        <w:spacing w:after="0"/>
        <w:tabs>
          <w:tab w:leader="none" w:pos="13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Golden Parachute Excise Tax</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(aj) </w:t>
      </w:r>
      <w:r>
        <w:rPr>
          <w:rFonts w:ascii="Arial" w:cs="Arial" w:eastAsia="Arial" w:hAnsi="Arial"/>
          <w:sz w:val="19"/>
          <w:szCs w:val="19"/>
          <w:u w:val="single" w:color="auto"/>
          <w:color w:val="auto"/>
        </w:rPr>
        <w:t>Best Pay</w:t>
      </w:r>
      <w:r>
        <w:rPr>
          <w:rFonts w:ascii="Arial" w:cs="Arial" w:eastAsia="Arial" w:hAnsi="Arial"/>
          <w:sz w:val="19"/>
          <w:szCs w:val="19"/>
          <w:color w:val="auto"/>
        </w:rPr>
        <w:t>. Any provision of this Agreement to the contrary notwithstanding, if any payment or benefit Executive would receive from the Company pursuant to this Agreement or otherwise (“</w:t>
      </w:r>
      <w:r>
        <w:rPr>
          <w:rFonts w:ascii="Arial" w:cs="Arial" w:eastAsia="Arial" w:hAnsi="Arial"/>
          <w:sz w:val="19"/>
          <w:szCs w:val="19"/>
          <w:b w:val="1"/>
          <w:b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such Payment will be equal to the Reduced Amount (as defined below).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w:t>
      </w:r>
      <w:r>
        <w:rPr>
          <w:rFonts w:ascii="Arial" w:cs="Arial" w:eastAsia="Arial" w:hAnsi="Arial"/>
          <w:sz w:val="19"/>
          <w:szCs w:val="19"/>
          <w:color w:val="auto"/>
        </w:rPr>
        <w:t xml:space="preserve"> </w:t>
      </w:r>
      <w:r>
        <w:rPr>
          <w:rFonts w:ascii="Arial" w:cs="Arial" w:eastAsia="Arial" w:hAnsi="Arial"/>
          <w:sz w:val="19"/>
          <w:szCs w:val="19"/>
          <w:b w:val="1"/>
          <w:bCs w:val="1"/>
          <w:color w:val="auto"/>
        </w:rPr>
        <w:t>Method</w:t>
      </w:r>
      <w:r>
        <w:rPr>
          <w:rFonts w:ascii="Arial" w:cs="Arial" w:eastAsia="Arial" w:hAnsi="Arial"/>
          <w:sz w:val="19"/>
          <w:szCs w:val="19"/>
          <w:color w:val="auto"/>
        </w:rPr>
        <w:t>”). Notwithstanding the foregoing, if the Reduction Method or the Pro Rata Reduction Method would result in any</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9"/>
          <w:szCs w:val="19"/>
          <w:i w:val="1"/>
          <w:iCs w:val="1"/>
          <w:color w:val="auto"/>
        </w:rPr>
        <w:t>e.g</w:t>
      </w:r>
      <w:r>
        <w:rPr>
          <w:rFonts w:ascii="Arial" w:cs="Arial" w:eastAsia="Arial" w:hAnsi="Arial"/>
          <w:sz w:val="19"/>
          <w:szCs w:val="19"/>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38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(ak) </w:t>
      </w:r>
      <w:r>
        <w:rPr>
          <w:rFonts w:ascii="Arial" w:cs="Arial" w:eastAsia="Arial" w:hAnsi="Arial"/>
          <w:sz w:val="19"/>
          <w:szCs w:val="19"/>
          <w:u w:val="single" w:color="auto"/>
          <w:color w:val="auto"/>
        </w:rPr>
        <w:t>Accounting Firm</w:t>
      </w:r>
      <w:r>
        <w:rPr>
          <w:rFonts w:ascii="Arial" w:cs="Arial" w:eastAsia="Arial" w:hAnsi="Arial"/>
          <w:sz w:val="19"/>
          <w:szCs w:val="19"/>
          <w:color w:val="auto"/>
        </w:rPr>
        <w:t>. The accounting firm engaged by the Company for general tax purposes as of the day prior to the Change of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of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153"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(al) </w:t>
      </w:r>
      <w:r>
        <w:rPr>
          <w:rFonts w:ascii="Arial" w:cs="Arial" w:eastAsia="Arial" w:hAnsi="Arial"/>
          <w:sz w:val="19"/>
          <w:szCs w:val="19"/>
          <w:u w:val="single" w:color="auto"/>
          <w:color w:val="auto"/>
        </w:rPr>
        <w:t>General</w:t>
      </w:r>
      <w:r>
        <w:rPr>
          <w:rFonts w:ascii="Arial" w:cs="Arial" w:eastAsia="Arial" w:hAnsi="Arial"/>
          <w:sz w:val="19"/>
          <w:szCs w:val="19"/>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395" w:right="339" w:bottom="1440" w:gutter="0" w:footer="0" w:header="0"/>
        </w:sectPr>
      </w:pPr>
    </w:p>
    <w:bookmarkStart w:id="73" w:name="page74"/>
    <w:bookmarkEnd w:id="73"/>
    <w:p>
      <w:pPr>
        <w:jc w:val="both"/>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409A</w:t>
      </w:r>
      <w:r>
        <w:rPr>
          <w:rFonts w:ascii="Arial" w:cs="Arial" w:eastAsia="Arial" w:hAnsi="Arial"/>
          <w:sz w:val="19"/>
          <w:szCs w:val="19"/>
          <w:color w:val="auto"/>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9(a)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spacing w:after="0" w:line="161"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1"/>
          <w:szCs w:val="21"/>
          <w:color w:val="auto"/>
        </w:rPr>
        <w:t xml:space="preserve">(am) </w:t>
      </w:r>
      <w:r>
        <w:rPr>
          <w:rFonts w:ascii="Arial" w:cs="Arial" w:eastAsia="Arial" w:hAnsi="Arial"/>
          <w:sz w:val="21"/>
          <w:szCs w:val="21"/>
          <w:u w:val="single" w:color="auto"/>
          <w:color w:val="auto"/>
        </w:rPr>
        <w:t>Separation from Service, Installments and Reimbursements</w:t>
      </w:r>
      <w:r>
        <w:rPr>
          <w:rFonts w:ascii="Arial" w:cs="Arial" w:eastAsia="Arial" w:hAnsi="Arial"/>
          <w:sz w:val="21"/>
          <w:szCs w:val="21"/>
          <w:color w:val="auto"/>
        </w:rPr>
        <w:t>. Notwithstanding any provision to the contrary in this Agreement: (i) no amount that constitutes “deferred compensation” under Section 409A shall be payable pursuant to Section 6 unless the termination of Executive’s employment constitutes a “separation from service” within the meaning of Section 1.409A-1(h) of the Department of Treasury Regulations (“</w:t>
      </w:r>
      <w:r>
        <w:rPr>
          <w:rFonts w:ascii="Arial" w:cs="Arial" w:eastAsia="Arial" w:hAnsi="Arial"/>
          <w:sz w:val="21"/>
          <w:szCs w:val="21"/>
          <w:b w:val="1"/>
          <w:bCs w:val="1"/>
          <w:color w:val="auto"/>
        </w:rPr>
        <w:t>Separation from Service</w:t>
      </w:r>
      <w:r>
        <w:rPr>
          <w:rFonts w:ascii="Arial" w:cs="Arial" w:eastAsia="Arial" w:hAnsi="Arial"/>
          <w:sz w:val="21"/>
          <w:szCs w:val="21"/>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(an) </w:t>
      </w: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(ao) </w:t>
      </w: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10(d), “</w:t>
      </w:r>
      <w:r>
        <w:rPr>
          <w:rFonts w:ascii="Arial" w:cs="Arial" w:eastAsia="Arial" w:hAnsi="Arial"/>
          <w:sz w:val="19"/>
          <w:szCs w:val="19"/>
          <w:b w:val="1"/>
          <w:bCs w:val="1"/>
          <w:color w:val="auto"/>
        </w:rPr>
        <w:t>Release Expiration Date</w:t>
      </w:r>
      <w:r>
        <w:rPr>
          <w:rFonts w:ascii="Arial" w:cs="Arial" w:eastAsia="Arial" w:hAnsi="Arial"/>
          <w:sz w:val="19"/>
          <w:szCs w:val="19"/>
          <w:color w:val="auto"/>
        </w:rPr>
        <w:t>” shall mean the date that is twenty-one (21) days following the date upon which the Company timely delivers the Release to Executive, or, in the event that Executive’s termination of employment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395" w:right="339" w:bottom="1440" w:gutter="0" w:footer="0" w:header="0"/>
        </w:sectPr>
      </w:pPr>
    </w:p>
    <w:bookmarkStart w:id="74" w:name="page75"/>
    <w:bookmarkEnd w:id="74"/>
    <w:p>
      <w:pPr>
        <w:jc w:val="both"/>
        <w:spacing w:after="0" w:line="212" w:lineRule="auto"/>
        <w:rPr>
          <w:sz w:val="20"/>
          <w:szCs w:val="20"/>
          <w:color w:val="auto"/>
        </w:rPr>
      </w:pPr>
      <w:r>
        <w:rPr>
          <w:rFonts w:ascii="Arial" w:cs="Arial" w:eastAsia="Arial" w:hAnsi="Arial"/>
          <w:sz w:val="22"/>
          <w:szCs w:val="22"/>
          <w:color w:val="auto"/>
        </w:rPr>
        <w:t>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this Section 10(d), such amounts shall be paid in a lump sum on the first payroll date following the date that Executive executes and does not revoke the Release (and the applicable revocation period has expired) or, in the case of any payments subject to Section 9(d)(ii), on the first payroll period to occur in the subsequent taxable year, if later.</w:t>
      </w:r>
    </w:p>
    <w:p>
      <w:pPr>
        <w:spacing w:after="0" w:line="158" w:lineRule="exact"/>
        <w:rPr>
          <w:sz w:val="20"/>
          <w:szCs w:val="20"/>
          <w:color w:val="auto"/>
        </w:rPr>
      </w:pPr>
    </w:p>
    <w:p>
      <w:pPr>
        <w:jc w:val="both"/>
        <w:ind w:firstLine="656"/>
        <w:spacing w:after="0" w:line="271" w:lineRule="auto"/>
        <w:tabs>
          <w:tab w:leader="none" w:pos="1284"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Employee Acknowledgement</w:t>
      </w:r>
      <w:r>
        <w:rPr>
          <w:rFonts w:ascii="Arial" w:cs="Arial" w:eastAsia="Arial" w:hAnsi="Arial"/>
          <w:sz w:val="19"/>
          <w:szCs w:val="19"/>
          <w:color w:val="auto"/>
        </w:rPr>
        <w:t>. Executive acknowledges that Executive has read and understands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is fully aware of its legal effect, has not acted in reliance upon any representations or promises made by the Company other than those contained in writing herein, and has entered into this Agreement freely based on Executive’s own judgment.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1240"/>
          </w:cols>
          <w:pgMar w:left="320" w:top="1401" w:right="3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The Parties have executed this Agreement as of the date first set forth above.</w:t>
      </w: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OUSTER, INC.</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0515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Angus Pacala</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Adam Dolinko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1201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Adam Dolinko</w:t>
      </w:r>
    </w:p>
    <w:p>
      <w:pPr>
        <w:spacing w:after="0" w:line="1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ind w:left="39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0139"/>
          </w:cols>
          <w:pgMar w:left="320" w:top="1401"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|US-DOCS\136835823.1||</w:t>
      </w:r>
    </w:p>
    <w:p>
      <w:pPr>
        <w:sectPr>
          <w:pgSz w:w="11900" w:h="16838" w:orient="portrait"/>
          <w:cols w:equalWidth="0" w:num="1">
            <w:col w:w="10139"/>
          </w:cols>
          <w:pgMar w:left="320" w:top="1440"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OUSTER, INC. EMPLOYMENT AGREEMENT</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entered into effective as of March 1, 2021 (the “</w:t>
      </w:r>
      <w:r>
        <w:rPr>
          <w:rFonts w:ascii="Arial" w:cs="Arial" w:eastAsia="Arial" w:hAnsi="Arial"/>
          <w:sz w:val="22"/>
          <w:szCs w:val="22"/>
          <w:b w:val="1"/>
          <w:bCs w:val="1"/>
          <w:color w:val="auto"/>
        </w:rPr>
        <w:t>Effective Date</w:t>
      </w:r>
      <w:r>
        <w:rPr>
          <w:rFonts w:ascii="Arial" w:cs="Arial" w:eastAsia="Arial" w:hAnsi="Arial"/>
          <w:sz w:val="22"/>
          <w:szCs w:val="22"/>
          <w:color w:val="auto"/>
        </w:rPr>
        <w:t>”), is between Ouster,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Nathan Dickerman (“</w:t>
      </w:r>
      <w:r>
        <w:rPr>
          <w:rFonts w:ascii="Arial" w:cs="Arial" w:eastAsia="Arial" w:hAnsi="Arial"/>
          <w:sz w:val="22"/>
          <w:szCs w:val="22"/>
          <w:b w:val="1"/>
          <w:bCs w:val="1"/>
          <w:color w:val="auto"/>
        </w:rPr>
        <w:t>Executive</w:t>
      </w:r>
      <w:r>
        <w:rPr>
          <w:rFonts w:ascii="Arial" w:cs="Arial" w:eastAsia="Arial" w:hAnsi="Arial"/>
          <w:sz w:val="22"/>
          <w:szCs w:val="22"/>
          <w:color w:val="auto"/>
        </w:rPr>
        <w:t>” and, together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 This Agreement shall constitute a valid and binding agreement between the Parties effective as of the Effective Date, but the operative provisions hereof shall not become effective until the date Executive commences employment with the Company, which is currently anticipated to be April 12, 2021 (the date Executive actually commences employment with the Company, the “</w:t>
      </w:r>
      <w:r>
        <w:rPr>
          <w:rFonts w:ascii="Arial" w:cs="Arial" w:eastAsia="Arial" w:hAnsi="Arial"/>
          <w:sz w:val="22"/>
          <w:szCs w:val="22"/>
          <w:b w:val="1"/>
          <w:bCs w:val="1"/>
          <w:color w:val="auto"/>
        </w:rPr>
        <w:t>Commencement Date</w:t>
      </w:r>
      <w:r>
        <w:rPr>
          <w:rFonts w:ascii="Arial" w:cs="Arial" w:eastAsia="Arial" w:hAnsi="Arial"/>
          <w:sz w:val="22"/>
          <w:szCs w:val="22"/>
          <w:color w:val="auto"/>
        </w:rPr>
        <w:t>”).</w:t>
      </w:r>
    </w:p>
    <w:p>
      <w:pPr>
        <w:spacing w:after="0" w:line="15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assure itself of the services of Executive by engaging Executive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as an employee of the Company under the terms hereof; and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desires to provide services to the Company on the terms herein provided.</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for other good and valuable consideration,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covenants and agreements set forth below, the receipt and sufficiency of which are hereby acknowledged, the Parties hereto agree as follows:</w:t>
      </w:r>
    </w:p>
    <w:p>
      <w:pPr>
        <w:spacing w:after="0" w:line="153" w:lineRule="exact"/>
        <w:rPr>
          <w:sz w:val="20"/>
          <w:szCs w:val="20"/>
          <w:color w:val="auto"/>
        </w:rPr>
      </w:pPr>
    </w:p>
    <w:p>
      <w:pPr>
        <w:ind w:left="1300" w:hanging="644"/>
        <w:spacing w:after="0"/>
        <w:tabs>
          <w:tab w:leader="none" w:pos="1300"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firstLine="1304"/>
        <w:spacing w:after="0" w:line="232" w:lineRule="auto"/>
        <w:tabs>
          <w:tab w:leader="none" w:pos="1941" w:val="left"/>
        </w:tabs>
        <w:numPr>
          <w:ilvl w:val="2"/>
          <w:numId w:val="3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Company shall employ Executive upon the terms and conditions provided herein effective as of the Commencement Date.</w:t>
      </w:r>
    </w:p>
    <w:p>
      <w:pPr>
        <w:spacing w:after="0" w:line="158" w:lineRule="exact"/>
        <w:rPr>
          <w:rFonts w:ascii="Arial" w:cs="Arial" w:eastAsia="Arial" w:hAnsi="Arial"/>
          <w:sz w:val="22"/>
          <w:szCs w:val="22"/>
          <w:color w:val="auto"/>
        </w:rPr>
      </w:pPr>
    </w:p>
    <w:p>
      <w:pPr>
        <w:jc w:val="both"/>
        <w:ind w:firstLine="1304"/>
        <w:spacing w:after="0" w:line="244" w:lineRule="auto"/>
        <w:tabs>
          <w:tab w:leader="none" w:pos="1939"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Effective as of the Commencement Date, Executive: (i) shall serve as the Company’s President of Field Operations, with responsibilities, duties, and authority usual and customary for such position, subject to direction by the Chief Executive Officer of the Company (the “</w:t>
      </w:r>
      <w:r>
        <w:rPr>
          <w:rFonts w:ascii="Arial" w:cs="Arial" w:eastAsia="Arial" w:hAnsi="Arial"/>
          <w:sz w:val="19"/>
          <w:szCs w:val="19"/>
          <w:b w:val="1"/>
          <w:bCs w:val="1"/>
          <w:color w:val="auto"/>
        </w:rPr>
        <w:t>CEO</w:t>
      </w:r>
      <w:r>
        <w:rPr>
          <w:rFonts w:ascii="Arial" w:cs="Arial" w:eastAsia="Arial" w:hAnsi="Arial"/>
          <w:sz w:val="19"/>
          <w:szCs w:val="19"/>
          <w:color w:val="auto"/>
        </w:rPr>
        <w:t>”); (ii) shall report directly to the CEO; and (iii) agrees promptly and faithfully to comply with all present and future policies, requirements, rules and regulations, and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President of Field Operations. In the event that Executive serves in any one or more of such additional capacities, Executive’s compensation shall not automatically be increased on account of such additional service.</w:t>
      </w:r>
    </w:p>
    <w:p>
      <w:pPr>
        <w:spacing w:after="0" w:line="160" w:lineRule="exact"/>
        <w:rPr>
          <w:rFonts w:ascii="Arial" w:cs="Arial" w:eastAsia="Arial" w:hAnsi="Arial"/>
          <w:sz w:val="19"/>
          <w:szCs w:val="19"/>
          <w:color w:val="auto"/>
        </w:rPr>
      </w:pPr>
    </w:p>
    <w:p>
      <w:pPr>
        <w:jc w:val="both"/>
        <w:ind w:firstLine="1304"/>
        <w:spacing w:after="0" w:line="218" w:lineRule="auto"/>
        <w:tabs>
          <w:tab w:leader="none" w:pos="1941" w:val="left"/>
        </w:tabs>
        <w:numPr>
          <w:ilvl w:val="2"/>
          <w:numId w:val="34"/>
        </w:numPr>
        <w:rPr>
          <w:rFonts w:ascii="Arial" w:cs="Arial" w:eastAsia="Arial" w:hAnsi="Arial"/>
          <w:sz w:val="22"/>
          <w:szCs w:val="22"/>
          <w:color w:val="auto"/>
        </w:rPr>
      </w:pPr>
      <w:r>
        <w:rPr>
          <w:rFonts w:ascii="Arial" w:cs="Arial" w:eastAsia="Arial" w:hAnsi="Arial"/>
          <w:sz w:val="22"/>
          <w:szCs w:val="22"/>
          <w:u w:val="single" w:color="auto"/>
          <w:color w:val="auto"/>
        </w:rPr>
        <w:t>Principal Office</w:t>
      </w:r>
      <w:r>
        <w:rPr>
          <w:rFonts w:ascii="Arial" w:cs="Arial" w:eastAsia="Arial" w:hAnsi="Arial"/>
          <w:sz w:val="22"/>
          <w:szCs w:val="22"/>
          <w:color w:val="auto"/>
        </w:rPr>
        <w:t>. Executive shall perform services for the Company at the Company’s offices located in San Francisco, California, or, with the Company’s consent, at any other place in connection with the fulfillment of Executive’s role with the Company; provided, however, that the Company may from time to time require Executive to travel temporarily to other locations in connection with the Company’s business.</w:t>
      </w:r>
    </w:p>
    <w:p>
      <w:pPr>
        <w:spacing w:after="0" w:line="160" w:lineRule="exact"/>
        <w:rPr>
          <w:rFonts w:ascii="Arial" w:cs="Arial" w:eastAsia="Arial" w:hAnsi="Arial"/>
          <w:sz w:val="22"/>
          <w:szCs w:val="22"/>
          <w:color w:val="auto"/>
        </w:rPr>
      </w:pPr>
    </w:p>
    <w:p>
      <w:pPr>
        <w:jc w:val="both"/>
        <w:ind w:firstLine="1304"/>
        <w:spacing w:after="0" w:line="241" w:lineRule="auto"/>
        <w:tabs>
          <w:tab w:leader="none" w:pos="1939"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Exclusivity</w:t>
      </w:r>
      <w:r>
        <w:rPr>
          <w:rFonts w:ascii="Arial" w:cs="Arial" w:eastAsia="Arial" w:hAnsi="Arial"/>
          <w:sz w:val="19"/>
          <w:szCs w:val="19"/>
          <w:color w:val="auto"/>
        </w:rPr>
        <w:t>. Except with the prior written approval of the CEO (which the CEO may grant or withhold in the CEO’s sole and absolute discretion), Executive shall devote 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engage in charitable and civic activities; or (iii) engage in other personal passive investment activities,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395" w:right="339" w:bottom="1440" w:gutter="0" w:footer="0" w:header="0"/>
        </w:sectPr>
      </w:pPr>
    </w:p>
    <w:bookmarkStart w:id="78" w:name="page79"/>
    <w:bookmarkEnd w:id="78"/>
    <w:p>
      <w:pPr>
        <w:jc w:val="both"/>
        <w:spacing w:after="0" w:line="244" w:lineRule="auto"/>
        <w:rPr>
          <w:sz w:val="20"/>
          <w:szCs w:val="20"/>
          <w:color w:val="auto"/>
        </w:rPr>
      </w:pPr>
      <w:r>
        <w:rPr>
          <w:rFonts w:ascii="Arial" w:cs="Arial" w:eastAsia="Arial" w:hAnsi="Arial"/>
          <w:sz w:val="19"/>
          <w:szCs w:val="19"/>
          <w:color w:val="auto"/>
        </w:rPr>
        <w:t xml:space="preserve">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CEO; and (iii) such activities do not individually or in the aggregate interfere with the performance of Executive’s duties under this Agreement, violate the Company’s standards of conduct then in effect, or raise a conflict under the Company’s conflict of interest policies. For the avoidance of doubt, the CEO has approved Executive’s continued service with those organizations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such approval to continue until the earlier to occur of (a) the CEO’s revocation of such approval in the CEO’s sole and absolute discretion, or (b) such time as such service interferes with the performance of Executive’s duties under this Agreement, violates the Company’s standards of conflict or raises a conflict under the Company’s conflict of interest policies.</w:t>
      </w:r>
    </w:p>
    <w:p>
      <w:pPr>
        <w:spacing w:after="0" w:line="149" w:lineRule="exact"/>
        <w:rPr>
          <w:sz w:val="20"/>
          <w:szCs w:val="20"/>
          <w:color w:val="auto"/>
        </w:rPr>
      </w:pPr>
    </w:p>
    <w:p>
      <w:pPr>
        <w:jc w:val="both"/>
        <w:ind w:right="20" w:firstLine="656"/>
        <w:spacing w:after="0" w:line="271" w:lineRule="auto"/>
        <w:tabs>
          <w:tab w:leader="none" w:pos="1296"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The period of Executive’s employment under this Agreement shall commence on the Commencement Date</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continue until Executive’s employment with the Company is terminated pursuant to Section 5. The phrase “</w:t>
      </w:r>
      <w:r>
        <w:rPr>
          <w:rFonts w:ascii="Arial" w:cs="Arial" w:eastAsia="Arial" w:hAnsi="Arial"/>
          <w:sz w:val="19"/>
          <w:szCs w:val="19"/>
          <w:b w:val="1"/>
          <w:bCs w:val="1"/>
          <w:color w:val="auto"/>
        </w:rPr>
        <w:t>Term</w:t>
      </w:r>
      <w:r>
        <w:rPr>
          <w:rFonts w:ascii="Arial" w:cs="Arial" w:eastAsia="Arial" w:hAnsi="Arial"/>
          <w:sz w:val="19"/>
          <w:szCs w:val="19"/>
          <w:color w:val="auto"/>
        </w:rPr>
        <w:t>” as used in this Agreement shall refer to the entire period of employment of Executive by the Company.</w:t>
      </w:r>
    </w:p>
    <w:p>
      <w:pPr>
        <w:spacing w:after="0" w:line="123"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Related Matters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26" w:lineRule="auto"/>
        <w:tabs>
          <w:tab w:leader="none" w:pos="1941"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Annual Base Salary</w:t>
      </w:r>
      <w:r>
        <w:rPr>
          <w:rFonts w:ascii="Arial" w:cs="Arial" w:eastAsia="Arial" w:hAnsi="Arial"/>
          <w:sz w:val="21"/>
          <w:szCs w:val="21"/>
          <w:color w:val="auto"/>
        </w:rPr>
        <w:t>. During the Term, Executive shall receive a base salary at the rate of $325,000 per year (as may be increased from time to time, the “</w:t>
      </w:r>
      <w:r>
        <w:rPr>
          <w:rFonts w:ascii="Arial" w:cs="Arial" w:eastAsia="Arial" w:hAnsi="Arial"/>
          <w:sz w:val="21"/>
          <w:szCs w:val="21"/>
          <w:b w:val="1"/>
          <w:bCs w:val="1"/>
          <w:color w:val="auto"/>
        </w:rPr>
        <w:t>Annual Base Salary</w:t>
      </w:r>
      <w:r>
        <w:rPr>
          <w:rFonts w:ascii="Arial" w:cs="Arial" w:eastAsia="Arial" w:hAnsi="Arial"/>
          <w:sz w:val="21"/>
          <w:szCs w:val="21"/>
          <w:color w:val="auto"/>
        </w:rPr>
        <w:t>”). The Annual Base Salary shall be subject to withholdings and deductions and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 and/or the Compensation Committee of the Board, not less than annually.</w:t>
      </w:r>
    </w:p>
    <w:p>
      <w:pPr>
        <w:spacing w:after="0" w:line="159" w:lineRule="exact"/>
        <w:rPr>
          <w:rFonts w:ascii="Arial" w:cs="Arial" w:eastAsia="Arial" w:hAnsi="Arial"/>
          <w:sz w:val="21"/>
          <w:szCs w:val="21"/>
          <w:color w:val="auto"/>
        </w:rPr>
      </w:pPr>
    </w:p>
    <w:p>
      <w:pPr>
        <w:jc w:val="both"/>
        <w:ind w:firstLine="1304"/>
        <w:spacing w:after="0" w:line="219" w:lineRule="auto"/>
        <w:tabs>
          <w:tab w:leader="none" w:pos="1944"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Variable Compensation</w:t>
      </w:r>
      <w:r>
        <w:rPr>
          <w:rFonts w:ascii="Arial" w:cs="Arial" w:eastAsia="Arial" w:hAnsi="Arial"/>
          <w:sz w:val="21"/>
          <w:szCs w:val="21"/>
          <w:color w:val="auto"/>
        </w:rPr>
        <w:t>. Executive shall be eligible to receive variable compensation of up to $325,000 per year (together with Executive’s Annual Base Salary, “</w:t>
      </w:r>
      <w:r>
        <w:rPr>
          <w:rFonts w:ascii="Arial" w:cs="Arial" w:eastAsia="Arial" w:hAnsi="Arial"/>
          <w:sz w:val="21"/>
          <w:szCs w:val="21"/>
          <w:b w:val="1"/>
          <w:bCs w:val="1"/>
          <w:color w:val="auto"/>
        </w:rPr>
        <w:t>On Target Earnings</w:t>
      </w:r>
      <w:r>
        <w:rPr>
          <w:rFonts w:ascii="Arial" w:cs="Arial" w:eastAsia="Arial" w:hAnsi="Arial"/>
          <w:sz w:val="21"/>
          <w:szCs w:val="21"/>
          <w:color w:val="auto"/>
        </w:rPr>
        <w:t>”) under the Company’s Sales Compensation Incentive Plan (the “</w:t>
      </w:r>
      <w:r>
        <w:rPr>
          <w:rFonts w:ascii="Arial" w:cs="Arial" w:eastAsia="Arial" w:hAnsi="Arial"/>
          <w:sz w:val="21"/>
          <w:szCs w:val="21"/>
          <w:b w:val="1"/>
          <w:bCs w:val="1"/>
          <w:color w:val="auto"/>
        </w:rPr>
        <w:t>Sales Incentive Plan</w:t>
      </w:r>
      <w:r>
        <w:rPr>
          <w:rFonts w:ascii="Arial" w:cs="Arial" w:eastAsia="Arial" w:hAnsi="Arial"/>
          <w:sz w:val="21"/>
          <w:szCs w:val="21"/>
          <w:color w:val="auto"/>
        </w:rPr>
        <w:t>”) based on Executive’s achievement of objectives set forth in Schedule A – President of Field Operations (the “</w:t>
      </w:r>
      <w:r>
        <w:rPr>
          <w:rFonts w:ascii="Arial" w:cs="Arial" w:eastAsia="Arial" w:hAnsi="Arial"/>
          <w:sz w:val="21"/>
          <w:szCs w:val="21"/>
          <w:b w:val="1"/>
          <w:bCs w:val="1"/>
          <w:color w:val="auto"/>
        </w:rPr>
        <w:t>Sales Incentive Schedule</w:t>
      </w:r>
      <w:r>
        <w:rPr>
          <w:rFonts w:ascii="Arial" w:cs="Arial" w:eastAsia="Arial" w:hAnsi="Arial"/>
          <w:sz w:val="21"/>
          <w:szCs w:val="21"/>
          <w:color w:val="auto"/>
        </w:rPr>
        <w:t>”). The initial Sales Incentive Schedule shall cover April 1, 2021 through December 31, 2021. Notwithstanding anything in the Sales Incentive Plan and on the Sales Incentive Schedule to the contrary, for the period between April 1, 2021 through June 30, 2021 (the “</w:t>
      </w:r>
      <w:r>
        <w:rPr>
          <w:rFonts w:ascii="Arial" w:cs="Arial" w:eastAsia="Arial" w:hAnsi="Arial"/>
          <w:sz w:val="21"/>
          <w:szCs w:val="21"/>
          <w:b w:val="1"/>
          <w:bCs w:val="1"/>
          <w:color w:val="auto"/>
        </w:rPr>
        <w:t>Second Quarter</w:t>
      </w:r>
      <w:r>
        <w:rPr>
          <w:rFonts w:ascii="Arial" w:cs="Arial" w:eastAsia="Arial" w:hAnsi="Arial"/>
          <w:sz w:val="21"/>
          <w:szCs w:val="21"/>
          <w:color w:val="auto"/>
        </w:rPr>
        <w:t>”) the minimum payable to Executive under the Sales Incentive Plan shall be $81,250 (the “</w:t>
      </w:r>
      <w:r>
        <w:rPr>
          <w:rFonts w:ascii="Arial" w:cs="Arial" w:eastAsia="Arial" w:hAnsi="Arial"/>
          <w:sz w:val="21"/>
          <w:szCs w:val="21"/>
          <w:b w:val="1"/>
          <w:bCs w:val="1"/>
          <w:color w:val="auto"/>
        </w:rPr>
        <w:t>Second Quarter Guarantee</w:t>
      </w:r>
      <w:r>
        <w:rPr>
          <w:rFonts w:ascii="Arial" w:cs="Arial" w:eastAsia="Arial" w:hAnsi="Arial"/>
          <w:sz w:val="21"/>
          <w:szCs w:val="21"/>
          <w:color w:val="auto"/>
        </w:rPr>
        <w:t>”), such minimum to be applied and paid in three equal monthly installments, subject to continued employment through the applicable payment date and less withholdings and deductions. Executive’s variable compensation otherwise shall be paid in accordance with the Sales Incentive Schedule. For the avoidance of doubt, in the event the amount earned under the Sales Incentive Schedule for the Second Quarter is in excess of the Second Quarter Guarantee, the Second Quarter Guarantee shall not apply and Executive shall be paid in accordance with the Sales Incentive Schedule.</w:t>
      </w:r>
    </w:p>
    <w:p>
      <w:pPr>
        <w:spacing w:after="0" w:line="163" w:lineRule="exact"/>
        <w:rPr>
          <w:rFonts w:ascii="Arial" w:cs="Arial" w:eastAsia="Arial" w:hAnsi="Arial"/>
          <w:sz w:val="21"/>
          <w:szCs w:val="21"/>
          <w:color w:val="auto"/>
        </w:rPr>
      </w:pPr>
    </w:p>
    <w:p>
      <w:pPr>
        <w:jc w:val="both"/>
        <w:ind w:firstLine="1304"/>
        <w:spacing w:after="0" w:line="218" w:lineRule="auto"/>
        <w:tabs>
          <w:tab w:leader="none" w:pos="1939"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401" w:right="339" w:bottom="1440" w:gutter="0" w:footer="0" w:header="0"/>
        </w:sectPr>
      </w:pPr>
    </w:p>
    <w:bookmarkStart w:id="79" w:name="page80"/>
    <w:bookmarkEnd w:id="79"/>
    <w:p>
      <w:pPr>
        <w:jc w:val="both"/>
        <w:ind w:firstLine="1304"/>
        <w:spacing w:after="0" w:line="268" w:lineRule="auto"/>
        <w:tabs>
          <w:tab w:leader="none" w:pos="1939"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132" w:lineRule="exact"/>
        <w:rPr>
          <w:rFonts w:ascii="Arial" w:cs="Arial" w:eastAsia="Arial" w:hAnsi="Arial"/>
          <w:sz w:val="19"/>
          <w:szCs w:val="19"/>
          <w:color w:val="auto"/>
        </w:rPr>
      </w:pPr>
    </w:p>
    <w:p>
      <w:pPr>
        <w:ind w:firstLine="1304"/>
        <w:spacing w:after="0" w:line="232" w:lineRule="auto"/>
        <w:tabs>
          <w:tab w:leader="none" w:pos="1932"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will be entitled to paid vacation in accordance with the Company’s vacation policy, as in effect from time to time.</w:t>
      </w:r>
    </w:p>
    <w:p>
      <w:pPr>
        <w:spacing w:after="0" w:line="152"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Equity Awards</w:t>
      </w:r>
      <w:r>
        <w:rPr>
          <w:rFonts w:ascii="Arial" w:cs="Arial" w:eastAsia="Arial" w:hAnsi="Arial"/>
          <w:sz w:val="19"/>
          <w:szCs w:val="19"/>
          <w:color w:val="auto"/>
        </w:rPr>
        <w:t>. Following the closing (the “</w:t>
      </w:r>
      <w:r>
        <w:rPr>
          <w:rFonts w:ascii="Arial" w:cs="Arial" w:eastAsia="Arial" w:hAnsi="Arial"/>
          <w:sz w:val="19"/>
          <w:szCs w:val="19"/>
          <w:b w:val="1"/>
          <w:bCs w:val="1"/>
          <w:color w:val="auto"/>
        </w:rPr>
        <w:t>Closing</w:t>
      </w:r>
      <w:r>
        <w:rPr>
          <w:rFonts w:ascii="Arial" w:cs="Arial" w:eastAsia="Arial" w:hAnsi="Arial"/>
          <w:sz w:val="19"/>
          <w:szCs w:val="19"/>
          <w:color w:val="auto"/>
        </w:rPr>
        <w:t>”) of the Company’s business combination with Colonnade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Corp. (“</w:t>
      </w:r>
      <w:r>
        <w:rPr>
          <w:rFonts w:ascii="Arial" w:cs="Arial" w:eastAsia="Arial" w:hAnsi="Arial"/>
          <w:sz w:val="19"/>
          <w:szCs w:val="19"/>
          <w:b w:val="1"/>
          <w:bCs w:val="1"/>
          <w:color w:val="auto"/>
        </w:rPr>
        <w:t>Ouster PubCo</w:t>
      </w:r>
      <w:r>
        <w:rPr>
          <w:rFonts w:ascii="Arial" w:cs="Arial" w:eastAsia="Arial" w:hAnsi="Arial"/>
          <w:sz w:val="19"/>
          <w:szCs w:val="19"/>
          <w:color w:val="auto"/>
        </w:rPr>
        <w:t>”), subject to approval by the Compensation Committee of the Board of Directors of Ouster PubCo, you will be granted equity awards covering an aggregate number of shares of PubCo common stock equal to eight tenths of one percent (0.8%) of the common stock of Ouster PubCo outstanding as of immediately following the Closing (the “</w:t>
      </w:r>
      <w:r>
        <w:rPr>
          <w:rFonts w:ascii="Arial" w:cs="Arial" w:eastAsia="Arial" w:hAnsi="Arial"/>
          <w:sz w:val="19"/>
          <w:szCs w:val="19"/>
          <w:b w:val="1"/>
          <w:bCs w:val="1"/>
          <w:color w:val="auto"/>
        </w:rPr>
        <w:t>Post</w:t>
      </w:r>
      <w:r>
        <w:rPr>
          <w:rFonts w:ascii="Arial" w:cs="Arial" w:eastAsia="Arial" w:hAnsi="Arial"/>
          <w:sz w:val="19"/>
          <w:szCs w:val="19"/>
          <w:color w:val="auto"/>
        </w:rPr>
        <w:t xml:space="preserve"> </w:t>
      </w:r>
      <w:r>
        <w:rPr>
          <w:rFonts w:ascii="Arial" w:cs="Arial" w:eastAsia="Arial" w:hAnsi="Arial"/>
          <w:sz w:val="19"/>
          <w:szCs w:val="19"/>
          <w:b w:val="1"/>
          <w:bCs w:val="1"/>
          <w:color w:val="auto"/>
        </w:rPr>
        <w:t>Close Capitalization</w:t>
      </w:r>
      <w:r>
        <w:rPr>
          <w:rFonts w:ascii="Arial" w:cs="Arial" w:eastAsia="Arial" w:hAnsi="Arial"/>
          <w:sz w:val="19"/>
          <w:szCs w:val="19"/>
          <w:color w:val="auto"/>
        </w:rPr>
        <w:t>”), comprised of an option to purchase Ouster PubCo common stock and an award of restricted stock units.</w:t>
      </w:r>
    </w:p>
    <w:p>
      <w:pPr>
        <w:spacing w:after="0" w:line="145" w:lineRule="exact"/>
        <w:rPr>
          <w:rFonts w:ascii="Arial" w:cs="Arial" w:eastAsia="Arial" w:hAnsi="Arial"/>
          <w:sz w:val="19"/>
          <w:szCs w:val="19"/>
          <w:b w:val="1"/>
          <w:bCs w:val="1"/>
          <w:color w:val="auto"/>
        </w:rPr>
      </w:pPr>
    </w:p>
    <w:p>
      <w:pPr>
        <w:jc w:val="both"/>
        <w:ind w:firstLine="1304"/>
        <w:spacing w:after="0" w:line="224" w:lineRule="auto"/>
        <w:tabs>
          <w:tab w:leader="none" w:pos="1932"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Option</w:t>
      </w:r>
      <w:r>
        <w:rPr>
          <w:rFonts w:ascii="Arial" w:cs="Arial" w:eastAsia="Arial" w:hAnsi="Arial"/>
          <w:sz w:val="20"/>
          <w:szCs w:val="20"/>
          <w:color w:val="auto"/>
        </w:rPr>
        <w:t>. The Company shall recommend to the Ouster PubCo Board or Compensation Committee of the Board that on, as soon as administratively practicable after the later of the Closing or the Commencement Date, Ouster PubCo grant to Executive an option to purchase a number of shares of Ouster PubCo common stock equal to four tenths of one percent (0.4%) of the common stock of Ouster PubCo outstanding as of immediately following the Closing (the “</w:t>
      </w:r>
      <w:r>
        <w:rPr>
          <w:rFonts w:ascii="Arial" w:cs="Arial" w:eastAsia="Arial" w:hAnsi="Arial"/>
          <w:sz w:val="20"/>
          <w:szCs w:val="20"/>
          <w:b w:val="1"/>
          <w:bCs w:val="1"/>
          <w:color w:val="auto"/>
        </w:rPr>
        <w:t>Option</w:t>
      </w:r>
      <w:r>
        <w:rPr>
          <w:rFonts w:ascii="Arial" w:cs="Arial" w:eastAsia="Arial" w:hAnsi="Arial"/>
          <w:sz w:val="20"/>
          <w:szCs w:val="20"/>
          <w:color w:val="auto"/>
        </w:rPr>
        <w:t>”) pursuant to the Ouster PubCo’s 2021 Incentive Award Plan (the “</w:t>
      </w:r>
      <w:r>
        <w:rPr>
          <w:rFonts w:ascii="Arial" w:cs="Arial" w:eastAsia="Arial" w:hAnsi="Arial"/>
          <w:sz w:val="20"/>
          <w:szCs w:val="20"/>
          <w:b w:val="1"/>
          <w:bCs w:val="1"/>
          <w:color w:val="auto"/>
        </w:rPr>
        <w:t>Plan</w:t>
      </w:r>
      <w:r>
        <w:rPr>
          <w:rFonts w:ascii="Arial" w:cs="Arial" w:eastAsia="Arial" w:hAnsi="Arial"/>
          <w:sz w:val="20"/>
          <w:szCs w:val="20"/>
          <w:color w:val="auto"/>
        </w:rPr>
        <w:t>”) having an exercise price per share equal to the closing trading price of a share of Ouster PubCo common stock as of the date of grant (or the immediately preceding trading day if the date of grant is not a trading day). The Option shall vest and become exercisable as to 25% of the total number of shares of Ouster PubCo common stock initially underlying the Option as of the first anniversary of the Commencement Date and as to 1/48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total number of shares of Ouster PubCo common stock initially underlying the Option as of each monthly anniversary of the Commencement Date, subject to Executive’s continued service to the Company through the applicable vesting date. The Option shall otherwise be subject to the provisions of the Plan and an option agreement approved for use under the Plan to be entered into between Executive and the Ouster PubCo.</w:t>
      </w:r>
    </w:p>
    <w:p>
      <w:pPr>
        <w:spacing w:after="0" w:line="167" w:lineRule="exact"/>
        <w:rPr>
          <w:rFonts w:ascii="Arial" w:cs="Arial" w:eastAsia="Arial" w:hAnsi="Arial"/>
          <w:sz w:val="20"/>
          <w:szCs w:val="20"/>
          <w:color w:val="auto"/>
        </w:rPr>
      </w:pPr>
    </w:p>
    <w:p>
      <w:pPr>
        <w:jc w:val="both"/>
        <w:ind w:firstLine="1304"/>
        <w:spacing w:after="0" w:line="218" w:lineRule="auto"/>
        <w:tabs>
          <w:tab w:leader="none" w:pos="1939"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RSU Award</w:t>
      </w:r>
      <w:r>
        <w:rPr>
          <w:rFonts w:ascii="Arial" w:cs="Arial" w:eastAsia="Arial" w:hAnsi="Arial"/>
          <w:sz w:val="20"/>
          <w:szCs w:val="20"/>
          <w:color w:val="auto"/>
        </w:rPr>
        <w:t>. The Company shall recommend to the Ouster PubCo Board or Compensation Committee of the Board that,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after the Closing, Ouster PubCo grant to Executive an award of that number of restricted stock units equal to four tenths of one percent (0.4%) of the common stock of Ouster PubCo outstanding as of immediately following the Closing (the “</w:t>
      </w:r>
      <w:r>
        <w:rPr>
          <w:rFonts w:ascii="Arial" w:cs="Arial" w:eastAsia="Arial" w:hAnsi="Arial"/>
          <w:sz w:val="20"/>
          <w:szCs w:val="20"/>
          <w:b w:val="1"/>
          <w:bCs w:val="1"/>
          <w:color w:val="auto"/>
        </w:rPr>
        <w:t>RSUs</w:t>
      </w:r>
      <w:r>
        <w:rPr>
          <w:rFonts w:ascii="Arial" w:cs="Arial" w:eastAsia="Arial" w:hAnsi="Arial"/>
          <w:sz w:val="20"/>
          <w:szCs w:val="20"/>
          <w:color w:val="auto"/>
        </w:rPr>
        <w:t>”) pursuant to the Plan. Each RSU shall represent the right to be issued one share of Ouster PubCo common stock upon the vesting of the RSU. The award of RSUs shall vest as to 25% of the total number of RSUs initially underlying the award as of the first anniversary of Ouster PubCo’s standard quarterly vesting date first following the Commencement Date (the “</w:t>
      </w:r>
      <w:r>
        <w:rPr>
          <w:rFonts w:ascii="Arial" w:cs="Arial" w:eastAsia="Arial" w:hAnsi="Arial"/>
          <w:sz w:val="20"/>
          <w:szCs w:val="20"/>
          <w:b w:val="1"/>
          <w:bCs w:val="1"/>
          <w:color w:val="auto"/>
        </w:rPr>
        <w:t>Vesting Commencement Date</w:t>
      </w:r>
      <w:r>
        <w:rPr>
          <w:rFonts w:ascii="Arial" w:cs="Arial" w:eastAsia="Arial" w:hAnsi="Arial"/>
          <w:sz w:val="20"/>
          <w:szCs w:val="20"/>
          <w:color w:val="auto"/>
        </w:rPr>
        <w:t>”) and as to 1/16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total number of RSUs initially underlying the award as of each quarterly anniversary of the Vesting Commencement Date, subject to Executive’s continued service to the Company through the applicable vesting date. The RSUs shall otherwise be subject to the provisions of the Plan and an RSU agreement approved for use under the Plan to be entered into between Executive and the Ouster PubCo.</w:t>
      </w:r>
    </w:p>
    <w:p>
      <w:pPr>
        <w:spacing w:after="0" w:line="161" w:lineRule="exact"/>
        <w:rPr>
          <w:rFonts w:ascii="Arial" w:cs="Arial" w:eastAsia="Arial" w:hAnsi="Arial"/>
          <w:sz w:val="20"/>
          <w:szCs w:val="20"/>
          <w:color w:val="auto"/>
        </w:rPr>
      </w:pPr>
    </w:p>
    <w:p>
      <w:pPr>
        <w:ind w:firstLine="1304"/>
        <w:spacing w:after="0" w:line="232" w:lineRule="auto"/>
        <w:tabs>
          <w:tab w:leader="none" w:pos="1932"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Commencing in 2023, Executive shall be eligible for the discretionary grant of stock options and other equity awards as may be determined by the Board or its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401" w:right="339" w:bottom="1440" w:gutter="0" w:footer="0" w:header="0"/>
        </w:sectPr>
      </w:pPr>
    </w:p>
    <w:bookmarkStart w:id="80" w:name="page81"/>
    <w:bookmarkEnd w:id="80"/>
    <w:p>
      <w:pPr>
        <w:ind w:left="1300" w:hanging="644"/>
        <w:spacing w:after="0"/>
        <w:tabs>
          <w:tab w:leader="none" w:pos="13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19" w:lineRule="auto"/>
        <w:tabs>
          <w:tab w:leader="none" w:pos="1932"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w:t>
      </w:r>
    </w:p>
    <w:p>
      <w:pPr>
        <w:spacing w:after="0" w:line="168" w:lineRule="exact"/>
        <w:rPr>
          <w:rFonts w:ascii="Arial" w:cs="Arial" w:eastAsia="Arial" w:hAnsi="Arial"/>
          <w:sz w:val="21"/>
          <w:szCs w:val="21"/>
          <w:color w:val="auto"/>
        </w:rPr>
      </w:pPr>
    </w:p>
    <w:p>
      <w:pPr>
        <w:jc w:val="both"/>
        <w:ind w:firstLine="1304"/>
        <w:spacing w:after="0" w:line="221" w:lineRule="auto"/>
        <w:tabs>
          <w:tab w:leader="none" w:pos="1939"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During the Term, any termination of Executive’s employment by the Company or by Executive (other than by reason of death) shall be communicated by written notice (a “</w:t>
      </w:r>
      <w:r>
        <w:rPr>
          <w:rFonts w:ascii="Arial" w:cs="Arial" w:eastAsia="Arial" w:hAnsi="Arial"/>
          <w:sz w:val="21"/>
          <w:szCs w:val="21"/>
          <w:b w:val="1"/>
          <w:bCs w:val="1"/>
          <w:color w:val="auto"/>
        </w:rPr>
        <w:t>Notice of Termination</w:t>
      </w:r>
      <w:r>
        <w:rPr>
          <w:rFonts w:ascii="Arial" w:cs="Arial" w:eastAsia="Arial" w:hAnsi="Arial"/>
          <w:sz w:val="21"/>
          <w:szCs w:val="21"/>
          <w:color w:val="auto"/>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w:t>
      </w:r>
    </w:p>
    <w:p>
      <w:pPr>
        <w:spacing w:after="0" w:line="159" w:lineRule="exact"/>
        <w:rPr>
          <w:rFonts w:ascii="Arial" w:cs="Arial" w:eastAsia="Arial" w:hAnsi="Arial"/>
          <w:sz w:val="21"/>
          <w:szCs w:val="21"/>
          <w:color w:val="auto"/>
        </w:rPr>
      </w:pPr>
    </w:p>
    <w:p>
      <w:pPr>
        <w:ind w:firstLine="1304"/>
        <w:spacing w:after="0" w:line="235" w:lineRule="auto"/>
        <w:tabs>
          <w:tab w:leader="none" w:pos="1939"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Date of Termination</w:t>
      </w:r>
      <w:r>
        <w:rPr>
          <w:rFonts w:ascii="Arial" w:cs="Arial" w:eastAsia="Arial" w:hAnsi="Arial"/>
          <w:sz w:val="22"/>
          <w:szCs w:val="22"/>
          <w:color w:val="auto"/>
        </w:rPr>
        <w:t>” shall mean the date of the termination of Executive’s employment with the Company specified in a Notice of Termination.</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9"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Deemed Resignation</w:t>
      </w:r>
      <w:r>
        <w:rPr>
          <w:rFonts w:ascii="Arial" w:cs="Arial" w:eastAsia="Arial" w:hAnsi="Arial"/>
          <w:sz w:val="19"/>
          <w:szCs w:val="19"/>
          <w:color w:val="auto"/>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26" w:lineRule="exact"/>
        <w:rPr>
          <w:rFonts w:ascii="Arial" w:cs="Arial" w:eastAsia="Arial" w:hAnsi="Arial"/>
          <w:sz w:val="19"/>
          <w:szCs w:val="19"/>
          <w:color w:val="auto"/>
        </w:rPr>
      </w:pPr>
    </w:p>
    <w:p>
      <w:pPr>
        <w:ind w:left="1300" w:hanging="644"/>
        <w:spacing w:after="0"/>
        <w:tabs>
          <w:tab w:leader="none" w:pos="13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Consequences of Termination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44" w:lineRule="auto"/>
        <w:tabs>
          <w:tab w:leader="none" w:pos="1939"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Payments of Accrued Obligations upon all Terminations of Employment</w:t>
      </w:r>
      <w:r>
        <w:rPr>
          <w:rFonts w:ascii="Arial" w:cs="Arial" w:eastAsia="Arial" w:hAnsi="Arial"/>
          <w:sz w:val="19"/>
          <w:szCs w:val="19"/>
          <w:color w:val="auto"/>
        </w:rPr>
        <w:t>. Upon a termination of Executive’s employment for any reason, Executive (or Executive’s estate or legal representative, as applicable) shall be entitled to receive, within thirty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time-off owed to Executive, (iv) any Merit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5(b) and (c), the payments and benefits described in this Section 5(a) shall be the only payments and benefits payable in the event of Executive’s termination of employment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395" w:right="339" w:bottom="1440" w:gutter="0" w:footer="0" w:header="0"/>
        </w:sectPr>
      </w:pPr>
    </w:p>
    <w:bookmarkStart w:id="81" w:name="page82"/>
    <w:bookmarkEnd w:id="81"/>
    <w:p>
      <w:pPr>
        <w:jc w:val="both"/>
        <w:ind w:firstLine="1304"/>
        <w:spacing w:after="0" w:line="224" w:lineRule="auto"/>
        <w:tabs>
          <w:tab w:leader="none" w:pos="1944"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Severance Payments upon Covered Termination Outside a Change of Control Period</w:t>
      </w:r>
      <w:r>
        <w:rPr>
          <w:rFonts w:ascii="Arial" w:cs="Arial" w:eastAsia="Arial" w:hAnsi="Arial"/>
          <w:sz w:val="21"/>
          <w:szCs w:val="21"/>
          <w:color w:val="auto"/>
        </w:rPr>
        <w:t xml:space="preserve">. If, during the Term, Executive experiences a Covered Termination outside of a Change of Control Period (each as defined below), then in addition to the payments and benefits described in Section 5(a), the Company shall, subject to Executive’s delivery to the Company of a waiver and release of claims agreement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(but updated to the extent deemed by the Company to be necessary to reflect any changes in applicable law) (the “</w:t>
      </w:r>
      <w:r>
        <w:rPr>
          <w:rFonts w:ascii="Arial" w:cs="Arial" w:eastAsia="Arial" w:hAnsi="Arial"/>
          <w:sz w:val="21"/>
          <w:szCs w:val="21"/>
          <w:b w:val="1"/>
          <w:bCs w:val="1"/>
          <w:color w:val="auto"/>
        </w:rPr>
        <w:t>Release</w:t>
      </w:r>
      <w:r>
        <w:rPr>
          <w:rFonts w:ascii="Arial" w:cs="Arial" w:eastAsia="Arial" w:hAnsi="Arial"/>
          <w:sz w:val="21"/>
          <w:szCs w:val="21"/>
          <w:color w:val="auto"/>
        </w:rPr>
        <w:t>”) that becomes effective and irrevocable in accordance with Section 9(d), provide Executive with the following:</w:t>
      </w:r>
    </w:p>
    <w:p>
      <w:pPr>
        <w:spacing w:after="0" w:line="159" w:lineRule="exact"/>
        <w:rPr>
          <w:rFonts w:ascii="Arial" w:cs="Arial" w:eastAsia="Arial" w:hAnsi="Arial"/>
          <w:sz w:val="21"/>
          <w:szCs w:val="21"/>
          <w:color w:val="auto"/>
        </w:rPr>
      </w:pPr>
    </w:p>
    <w:p>
      <w:pPr>
        <w:jc w:val="both"/>
        <w:ind w:left="660" w:firstLine="1292"/>
        <w:spacing w:after="0" w:line="218" w:lineRule="auto"/>
        <w:tabs>
          <w:tab w:leader="none" w:pos="2592"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Company shall pay to Executive an amount equal to 0.5 multiplied by Executive’s Annual Base Salary. Such amount will be subject to applicable withholdings and payable in a single lump sum cash payment on the first regular payroll date following the date the Release becomes effective and irrevocable in accordance with Section 9(d).</w:t>
      </w:r>
    </w:p>
    <w:p>
      <w:pPr>
        <w:spacing w:after="0" w:line="160" w:lineRule="exact"/>
        <w:rPr>
          <w:rFonts w:ascii="Arial" w:cs="Arial" w:eastAsia="Arial" w:hAnsi="Arial"/>
          <w:sz w:val="22"/>
          <w:szCs w:val="22"/>
          <w:color w:val="auto"/>
        </w:rPr>
      </w:pPr>
    </w:p>
    <w:p>
      <w:pPr>
        <w:jc w:val="both"/>
        <w:ind w:left="660" w:firstLine="1292"/>
        <w:spacing w:after="0" w:line="242" w:lineRule="auto"/>
        <w:tabs>
          <w:tab w:leader="none" w:pos="2598" w:val="left"/>
        </w:tabs>
        <w:numPr>
          <w:ilvl w:val="1"/>
          <w:numId w:val="41"/>
        </w:numPr>
        <w:rPr>
          <w:rFonts w:ascii="Arial" w:cs="Arial" w:eastAsia="Arial" w:hAnsi="Arial"/>
          <w:sz w:val="19"/>
          <w:szCs w:val="19"/>
          <w:color w:val="auto"/>
        </w:rPr>
      </w:pPr>
      <w:r>
        <w:rPr>
          <w:rFonts w:ascii="Arial" w:cs="Arial" w:eastAsia="Arial" w:hAnsi="Arial"/>
          <w:sz w:val="19"/>
          <w:szCs w:val="19"/>
          <w:color w:val="auto"/>
        </w:rPr>
        <w:t>During the period commencing on the Date of Termination and ending on the six-month anniversary thereof or, if earlier, the date on which Executive becomes eligible for comparable replacement coverage under a subsequent employer’s group health plan (in any case, the “</w:t>
      </w:r>
      <w:r>
        <w:rPr>
          <w:rFonts w:ascii="Arial" w:cs="Arial" w:eastAsia="Arial" w:hAnsi="Arial"/>
          <w:sz w:val="19"/>
          <w:szCs w:val="19"/>
          <w:b w:val="1"/>
          <w:bCs w:val="1"/>
          <w:color w:val="auto"/>
        </w:rPr>
        <w:t>Non-CIC COBRA Period</w:t>
      </w:r>
      <w:r>
        <w:rPr>
          <w:rFonts w:ascii="Arial" w:cs="Arial" w:eastAsia="Arial" w:hAnsi="Arial"/>
          <w:sz w:val="19"/>
          <w:szCs w:val="19"/>
          <w:color w:val="auto"/>
        </w:rPr>
        <w:t>”), subject to Executive’s valid election to continue healthcare coverage under Section 4980B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xml:space="preserv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(1) any plan pursuant to which such benefits are provided is not, or ceases prior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spacing w:after="0" w:line="376" w:lineRule="exact"/>
        <w:rPr>
          <w:rFonts w:ascii="Arial" w:cs="Arial" w:eastAsia="Arial" w:hAnsi="Arial"/>
          <w:sz w:val="19"/>
          <w:szCs w:val="19"/>
          <w:color w:val="auto"/>
        </w:rPr>
      </w:pPr>
    </w:p>
    <w:p>
      <w:pPr>
        <w:jc w:val="both"/>
        <w:ind w:firstLine="1304"/>
        <w:spacing w:after="0" w:line="257" w:lineRule="auto"/>
        <w:tabs>
          <w:tab w:leader="none" w:pos="194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Severance Payments upon Covered Termination During a Change of Control Period</w:t>
      </w:r>
      <w:r>
        <w:rPr>
          <w:rFonts w:ascii="Arial" w:cs="Arial" w:eastAsia="Arial" w:hAnsi="Arial"/>
          <w:sz w:val="19"/>
          <w:szCs w:val="19"/>
          <w:color w:val="auto"/>
        </w:rPr>
        <w:t>. If, during the Term, Executive experiences a Covered Termination during a Change of Control Period, then, in addition to the payments and benefits described in Section 5(a), the Company shall, subject to Executive’s delivery to the Company of the Release that becomes effective and irrevocable in accordance with Section 9(d), provide Executive with the following:</w:t>
      </w:r>
    </w:p>
    <w:p>
      <w:pPr>
        <w:spacing w:after="0" w:line="144" w:lineRule="exact"/>
        <w:rPr>
          <w:rFonts w:ascii="Arial" w:cs="Arial" w:eastAsia="Arial" w:hAnsi="Arial"/>
          <w:sz w:val="19"/>
          <w:szCs w:val="19"/>
          <w:color w:val="auto"/>
        </w:rPr>
      </w:pPr>
    </w:p>
    <w:p>
      <w:pPr>
        <w:jc w:val="both"/>
        <w:ind w:left="660" w:firstLine="1292"/>
        <w:spacing w:after="0" w:line="268" w:lineRule="auto"/>
        <w:tabs>
          <w:tab w:leader="none" w:pos="2592"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Company shall pay to Executive an amount equal to Executive’s Annual Base Salary. Such amount will be subject to applicable withholdings and payable in a single lump sum cash payment on the first regular payroll date following the date the Release becomes effective and irrevocable in accordance with Section 9(d).</w:t>
      </w:r>
    </w:p>
    <w:p>
      <w:pPr>
        <w:spacing w:after="0" w:line="132" w:lineRule="exact"/>
        <w:rPr>
          <w:rFonts w:ascii="Arial" w:cs="Arial" w:eastAsia="Arial" w:hAnsi="Arial"/>
          <w:sz w:val="19"/>
          <w:szCs w:val="19"/>
          <w:color w:val="auto"/>
        </w:rPr>
      </w:pPr>
    </w:p>
    <w:p>
      <w:pPr>
        <w:jc w:val="both"/>
        <w:ind w:left="660" w:firstLine="1292"/>
        <w:spacing w:after="0" w:line="252" w:lineRule="auto"/>
        <w:tabs>
          <w:tab w:leader="none" w:pos="2598" w:val="left"/>
        </w:tabs>
        <w:numPr>
          <w:ilvl w:val="1"/>
          <w:numId w:val="41"/>
        </w:numPr>
        <w:rPr>
          <w:rFonts w:ascii="Arial" w:cs="Arial" w:eastAsia="Arial" w:hAnsi="Arial"/>
          <w:sz w:val="19"/>
          <w:szCs w:val="19"/>
          <w:color w:val="auto"/>
        </w:rPr>
      </w:pPr>
      <w:r>
        <w:rPr>
          <w:rFonts w:ascii="Arial" w:cs="Arial" w:eastAsia="Arial" w:hAnsi="Arial"/>
          <w:sz w:val="19"/>
          <w:szCs w:val="19"/>
          <w:color w:val="auto"/>
        </w:rPr>
        <w:t>During the period commencing on the Date of Termination and ending on the twelve-month anniversary thereof or, if earlier, the date on which Executive becomes eligible for comparable replacement coverage under a subsequent employer’s group health plan (in any case, the “</w:t>
      </w:r>
      <w:r>
        <w:rPr>
          <w:rFonts w:ascii="Arial" w:cs="Arial" w:eastAsia="Arial" w:hAnsi="Arial"/>
          <w:sz w:val="19"/>
          <w:szCs w:val="19"/>
          <w:b w:val="1"/>
          <w:bCs w:val="1"/>
          <w:color w:val="auto"/>
        </w:rPr>
        <w:t>CIC COBRA Period</w:t>
      </w:r>
      <w:r>
        <w:rPr>
          <w:rFonts w:ascii="Arial" w:cs="Arial" w:eastAsia="Arial" w:hAnsi="Arial"/>
          <w:sz w:val="19"/>
          <w:szCs w:val="19"/>
          <w:color w:val="auto"/>
        </w:rPr>
        <w:t>”), subject to Executive’s valid election to continue healthcare coverage under Section 4980B of the Code and the regulations thereunder, the Company shall, in its sole discretion, either (A) continue to provide to Executive and Executive’s dependents, at the Company’s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401" w:right="339" w:bottom="1440" w:gutter="0" w:footer="0" w:header="0"/>
        </w:sectPr>
      </w:pPr>
    </w:p>
    <w:bookmarkStart w:id="82" w:name="page83"/>
    <w:bookmarkEnd w:id="82"/>
    <w:p>
      <w:pPr>
        <w:jc w:val="both"/>
        <w:ind w:left="660"/>
        <w:spacing w:after="0" w:line="246" w:lineRule="auto"/>
        <w:rPr>
          <w:sz w:val="20"/>
          <w:szCs w:val="20"/>
          <w:color w:val="auto"/>
        </w:rPr>
      </w:pPr>
      <w:r>
        <w:rPr>
          <w:rFonts w:ascii="Arial" w:cs="Arial" w:eastAsia="Arial" w:hAnsi="Arial"/>
          <w:sz w:val="19"/>
          <w:szCs w:val="19"/>
          <w:color w:val="auto"/>
        </w:rPr>
        <w:t xml:space="preserve">expense, or (B) reimburse Executive and Executive’s dependents for coverage under its group health plan (if any) at the same levels in effect on the Date of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spacing w:after="0" w:line="152" w:lineRule="exact"/>
        <w:rPr>
          <w:sz w:val="20"/>
          <w:szCs w:val="20"/>
          <w:color w:val="auto"/>
        </w:rPr>
      </w:pPr>
    </w:p>
    <w:p>
      <w:pPr>
        <w:jc w:val="both"/>
        <w:ind w:left="660" w:firstLine="1292"/>
        <w:spacing w:after="0" w:line="229" w:lineRule="auto"/>
        <w:tabs>
          <w:tab w:leader="none" w:pos="2604" w:val="left"/>
        </w:tabs>
        <w:numPr>
          <w:ilvl w:val="1"/>
          <w:numId w:val="42"/>
        </w:numPr>
        <w:rPr>
          <w:rFonts w:ascii="Arial" w:cs="Arial" w:eastAsia="Arial" w:hAnsi="Arial"/>
          <w:sz w:val="21"/>
          <w:szCs w:val="21"/>
          <w:color w:val="auto"/>
        </w:rPr>
      </w:pPr>
      <w:r>
        <w:rPr>
          <w:rFonts w:ascii="Arial" w:cs="Arial" w:eastAsia="Arial" w:hAnsi="Arial"/>
          <w:sz w:val="21"/>
          <w:szCs w:val="21"/>
          <w:color w:val="auto"/>
        </w:rPr>
        <w:t>Cause any unvested equity awards, including any stock options, restricted stock awards and any such awards subject to performance-based vesting, held by Executive as of the Date of Termination, to become fully vested and, if applicable, exercisable, and cause all restrictions and rights of repurchase on such awards to lapse with respect to all of the shares of the Company’s Common Stock subject thereto.</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3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 Other Severance</w:t>
      </w:r>
      <w:r>
        <w:rPr>
          <w:rFonts w:ascii="Arial" w:cs="Arial" w:eastAsia="Arial" w:hAnsi="Arial"/>
          <w:sz w:val="22"/>
          <w:szCs w:val="22"/>
          <w:color w:val="auto"/>
        </w:rPr>
        <w:t>. Except as otherwise approved by the Board, the provisions of this Section 5 shall supersede in their entirety any severance payment provisions in any severance plan, policy, program, or other arrangement maintained by the Company.</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9"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 Requirement to Mitigate; Survival</w:t>
      </w:r>
      <w:r>
        <w:rPr>
          <w:rFonts w:ascii="Arial" w:cs="Arial" w:eastAsia="Arial" w:hAnsi="Arial"/>
          <w:sz w:val="19"/>
          <w:szCs w:val="19"/>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26"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Definition of Cause</w:t>
      </w:r>
      <w:r>
        <w:rPr>
          <w:rFonts w:ascii="Arial" w:cs="Arial" w:eastAsia="Arial" w:hAnsi="Arial"/>
          <w:sz w:val="19"/>
          <w:szCs w:val="19"/>
          <w:color w:val="auto"/>
        </w:rPr>
        <w:t>. For purposes hereof, “</w:t>
      </w:r>
      <w:r>
        <w:rPr>
          <w:rFonts w:ascii="Arial" w:cs="Arial" w:eastAsia="Arial" w:hAnsi="Arial"/>
          <w:sz w:val="19"/>
          <w:szCs w:val="19"/>
          <w:b w:val="1"/>
          <w:bCs w:val="1"/>
          <w:color w:val="auto"/>
        </w:rPr>
        <w:t>Cause</w:t>
      </w:r>
      <w:r>
        <w:rPr>
          <w:rFonts w:ascii="Arial" w:cs="Arial" w:eastAsia="Arial" w:hAnsi="Arial"/>
          <w:sz w:val="19"/>
          <w:szCs w:val="19"/>
          <w:color w:val="auto"/>
        </w:rPr>
        <w:t>” shall mean any one of the following: (i) Executive’s willful and continued failure to substantially perform Executive’s duties with the Company (other than any such failure resulting from Executive’s incapacity due to physical or mental illness), after a written demand for substantial performance is delivered to you by the CEO or Board, (ii) Executive’s willful and continued failure to substantially follow and comply with such specific and lawful directives of the CEO or Board, after a written demand for substantial performance is delivered to Executive by the Company, (iii) Executive’s commission of an act of fraud or material dishonesty, or (iv) Executive’s conviction of, or entry by Executive of a guilty or no contest plea to, the commission of a felony or any other crime involving moral turpitude.</w:t>
      </w:r>
    </w:p>
    <w:p>
      <w:pPr>
        <w:spacing w:after="0" w:line="147" w:lineRule="exact"/>
        <w:rPr>
          <w:rFonts w:ascii="Arial" w:cs="Arial" w:eastAsia="Arial" w:hAnsi="Arial"/>
          <w:sz w:val="19"/>
          <w:szCs w:val="19"/>
          <w:color w:val="auto"/>
        </w:rPr>
      </w:pPr>
    </w:p>
    <w:p>
      <w:pPr>
        <w:ind w:firstLine="1304"/>
        <w:spacing w:after="0" w:line="305" w:lineRule="auto"/>
        <w:tabs>
          <w:tab w:leader="none" w:pos="193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Definition of Change of Control Period</w:t>
      </w:r>
      <w:r>
        <w:rPr>
          <w:rFonts w:ascii="Arial" w:cs="Arial" w:eastAsia="Arial" w:hAnsi="Arial"/>
          <w:sz w:val="19"/>
          <w:szCs w:val="19"/>
          <w:color w:val="auto"/>
        </w:rPr>
        <w:t>. For purposes hereof, “</w:t>
      </w:r>
      <w:r>
        <w:rPr>
          <w:rFonts w:ascii="Arial" w:cs="Arial" w:eastAsia="Arial" w:hAnsi="Arial"/>
          <w:sz w:val="19"/>
          <w:szCs w:val="19"/>
          <w:b w:val="1"/>
          <w:bCs w:val="1"/>
          <w:color w:val="auto"/>
        </w:rPr>
        <w:t>Change of Control Period</w:t>
      </w:r>
      <w:r>
        <w:rPr>
          <w:rFonts w:ascii="Arial" w:cs="Arial" w:eastAsia="Arial" w:hAnsi="Arial"/>
          <w:sz w:val="19"/>
          <w:szCs w:val="19"/>
          <w:color w:val="auto"/>
        </w:rPr>
        <w:t>” shall mean the period commencing ninety days prior to a Change of Control and ending 12 months after such Change of Control.</w:t>
      </w:r>
    </w:p>
    <w:p>
      <w:pPr>
        <w:spacing w:after="0" w:line="92" w:lineRule="exact"/>
        <w:rPr>
          <w:rFonts w:ascii="Arial" w:cs="Arial" w:eastAsia="Arial" w:hAnsi="Arial"/>
          <w:sz w:val="19"/>
          <w:szCs w:val="19"/>
          <w:color w:val="auto"/>
        </w:rPr>
      </w:pPr>
    </w:p>
    <w:p>
      <w:pPr>
        <w:jc w:val="both"/>
        <w:ind w:firstLine="1304"/>
        <w:spacing w:after="0" w:line="225" w:lineRule="auto"/>
        <w:tabs>
          <w:tab w:leader="none" w:pos="193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Definition of Covered Termination</w:t>
      </w:r>
      <w:r>
        <w:rPr>
          <w:rFonts w:ascii="Arial" w:cs="Arial" w:eastAsia="Arial" w:hAnsi="Arial"/>
          <w:sz w:val="22"/>
          <w:szCs w:val="22"/>
          <w:color w:val="auto"/>
        </w:rPr>
        <w:t>. For purposes hereof, “</w:t>
      </w:r>
      <w:r>
        <w:rPr>
          <w:rFonts w:ascii="Arial" w:cs="Arial" w:eastAsia="Arial" w:hAnsi="Arial"/>
          <w:sz w:val="22"/>
          <w:szCs w:val="22"/>
          <w:b w:val="1"/>
          <w:bCs w:val="1"/>
          <w:color w:val="auto"/>
        </w:rPr>
        <w:t>Covered Termination</w:t>
      </w:r>
      <w:r>
        <w:rPr>
          <w:rFonts w:ascii="Arial" w:cs="Arial" w:eastAsia="Arial" w:hAnsi="Arial"/>
          <w:sz w:val="22"/>
          <w:szCs w:val="22"/>
          <w:color w:val="auto"/>
        </w:rPr>
        <w:t>” shall mean the termination of Executive’s employment by the Company without Cause or by Executive for Good Reason, and shall not include a termination due to Executive’s death or disability.</w:t>
      </w:r>
    </w:p>
    <w:p>
      <w:pPr>
        <w:spacing w:after="0" w:line="152" w:lineRule="exact"/>
        <w:rPr>
          <w:rFonts w:ascii="Arial" w:cs="Arial" w:eastAsia="Arial" w:hAnsi="Arial"/>
          <w:sz w:val="22"/>
          <w:szCs w:val="22"/>
          <w:color w:val="auto"/>
        </w:rPr>
      </w:pPr>
    </w:p>
    <w:p>
      <w:pPr>
        <w:jc w:val="both"/>
        <w:ind w:firstLine="1304"/>
        <w:spacing w:after="0" w:line="227" w:lineRule="auto"/>
        <w:tabs>
          <w:tab w:leader="none" w:pos="1939"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Definition of Good Reason</w:t>
      </w:r>
      <w:r>
        <w:rPr>
          <w:rFonts w:ascii="Arial" w:cs="Arial" w:eastAsia="Arial" w:hAnsi="Arial"/>
          <w:sz w:val="21"/>
          <w:szCs w:val="21"/>
          <w:color w:val="auto"/>
        </w:rPr>
        <w:t>. For purposes hereof, “</w:t>
      </w:r>
      <w:r>
        <w:rPr>
          <w:rFonts w:ascii="Arial" w:cs="Arial" w:eastAsia="Arial" w:hAnsi="Arial"/>
          <w:sz w:val="21"/>
          <w:szCs w:val="21"/>
          <w:b w:val="1"/>
          <w:bCs w:val="1"/>
          <w:color w:val="auto"/>
        </w:rPr>
        <w:t>Good Reason</w:t>
      </w:r>
      <w:r>
        <w:rPr>
          <w:rFonts w:ascii="Arial" w:cs="Arial" w:eastAsia="Arial" w:hAnsi="Arial"/>
          <w:sz w:val="21"/>
          <w:szCs w:val="21"/>
          <w:color w:val="auto"/>
        </w:rPr>
        <w:t>” means the occurrence of any of the following events or circumstances, without Executive’s prior written consent: (i) a material reduction in Executive’s On Target Earnings, (ii) a material diminution in Executive’s duties or responsibilities, or level of authority, (iii) a relocation of Executive’s principal place of employment that increases Executive’s one-way commute by at least thirty-five (35) miles, (iv) material breach of this Agreement by the Company, including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401" w:right="339" w:bottom="1440" w:gutter="0" w:footer="0" w:header="0"/>
        </w:sectPr>
      </w:pPr>
    </w:p>
    <w:bookmarkStart w:id="83" w:name="page84"/>
    <w:bookmarkEnd w:id="83"/>
    <w:p>
      <w:pPr>
        <w:jc w:val="both"/>
        <w:spacing w:after="0" w:line="247" w:lineRule="auto"/>
        <w:rPr>
          <w:sz w:val="20"/>
          <w:szCs w:val="20"/>
          <w:color w:val="auto"/>
        </w:rPr>
      </w:pPr>
      <w:r>
        <w:rPr>
          <w:rFonts w:ascii="Arial" w:cs="Arial" w:eastAsia="Arial" w:hAnsi="Arial"/>
          <w:sz w:val="19"/>
          <w:szCs w:val="19"/>
          <w:color w:val="auto"/>
        </w:rPr>
        <w:t>pay Executive any compensation or benefits to which you are entitled within fifteen (15) days of the date due, or (v) the Company’s failure to obtain an agreement from any successor to the Company to assume and agree to perform this Agreement in the same manner and to the same extent that the Company would be required to perform if no succession had taken place. Notwithstanding the foregoing, in no event shall Executive be deemed to have Good Reason unless (a) Executive provides written notice to the Company of the condition giving rise to Good Reason within ninety (90) days of its initial occurrence, (b) the Company fails to cure such condition within thirty (30) days after the Company receives Executive’s written notice of such condition and (c) Executive’s resignation is effective within sixty (60) days following the end of such cure period.</w:t>
      </w:r>
    </w:p>
    <w:p>
      <w:pPr>
        <w:spacing w:after="0" w:line="148" w:lineRule="exact"/>
        <w:rPr>
          <w:sz w:val="20"/>
          <w:szCs w:val="20"/>
          <w:color w:val="auto"/>
        </w:rPr>
      </w:pPr>
    </w:p>
    <w:p>
      <w:pPr>
        <w:jc w:val="both"/>
        <w:ind w:firstLine="656"/>
        <w:spacing w:after="0" w:line="225" w:lineRule="auto"/>
        <w:tabs>
          <w:tab w:leader="none" w:pos="1296"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 and Successors</w:t>
      </w:r>
      <w:r>
        <w:rPr>
          <w:rFonts w:ascii="Arial" w:cs="Arial" w:eastAsia="Arial" w:hAnsi="Arial"/>
          <w:sz w:val="21"/>
          <w:szCs w:val="21"/>
          <w:color w:val="auto"/>
        </w:rPr>
        <w:t>. The Company shall assign its rights and obligations under this Agreement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r>
        <w:rPr>
          <w:rFonts w:ascii="Arial" w:cs="Arial" w:eastAsia="Arial" w:hAnsi="Arial"/>
          <w:sz w:val="21"/>
          <w:szCs w:val="21"/>
          <w:b w:val="1"/>
          <w:bCs w:val="1"/>
          <w:color w:val="auto"/>
        </w:rPr>
        <w:t>.</w:t>
      </w:r>
    </w:p>
    <w:p>
      <w:pPr>
        <w:spacing w:after="0" w:line="153" w:lineRule="exact"/>
        <w:rPr>
          <w:rFonts w:ascii="Arial" w:cs="Arial" w:eastAsia="Arial" w:hAnsi="Arial"/>
          <w:sz w:val="21"/>
          <w:szCs w:val="21"/>
          <w:b w:val="1"/>
          <w:bCs w:val="1"/>
          <w:color w:val="auto"/>
        </w:rPr>
      </w:pPr>
    </w:p>
    <w:p>
      <w:pPr>
        <w:ind w:left="1300" w:hanging="644"/>
        <w:spacing w:after="0"/>
        <w:tabs>
          <w:tab w:leader="none" w:pos="13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304"/>
        <w:spacing w:after="0" w:line="218" w:lineRule="auto"/>
        <w:tabs>
          <w:tab w:leader="none" w:pos="1941"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xml:space="preserve">. As a condition to employment hereunder, Executive shall enter into the Confidential Information and Invention Assignment Agreement with the Company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The Confidentiality Agreement shall survive the termination of this Agreement and Executive’s employment with the Company for the applicable period(s) set forth therein.</w:t>
      </w:r>
    </w:p>
    <w:p>
      <w:pPr>
        <w:spacing w:after="0" w:line="161" w:lineRule="exact"/>
        <w:rPr>
          <w:sz w:val="20"/>
          <w:szCs w:val="20"/>
          <w:color w:val="auto"/>
        </w:rPr>
      </w:pPr>
    </w:p>
    <w:p>
      <w:pPr>
        <w:jc w:val="both"/>
        <w:ind w:firstLine="1304"/>
        <w:spacing w:after="0" w:line="222" w:lineRule="auto"/>
        <w:tabs>
          <w:tab w:leader="none" w:pos="194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foregoing clauses (i) and (ii) shall not apply to a general advertisement or solicitation (or any hiring pursuant to such advertisement or solicitation) that is not specifically targeted to such employees or consultants.</w:t>
      </w:r>
    </w:p>
    <w:p>
      <w:pPr>
        <w:spacing w:after="0" w:line="164"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(ab)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Arial" w:cs="Arial" w:eastAsia="Arial" w:hAnsi="Arial"/>
                <w:sz w:val="22"/>
                <w:szCs w:val="22"/>
                <w:color w:val="auto"/>
              </w:rPr>
              <w:t>(ac)</w:t>
            </w:r>
          </w:p>
        </w:tc>
        <w:tc>
          <w:tcPr>
            <w:tcW w:w="160" w:type="dxa"/>
            <w:vAlign w:val="bottom"/>
          </w:tcPr>
          <w:p>
            <w:pPr>
              <w:spacing w:after="0"/>
              <w:rPr>
                <w:sz w:val="21"/>
                <w:szCs w:val="21"/>
                <w:color w:val="auto"/>
              </w:rPr>
            </w:pPr>
          </w:p>
        </w:tc>
        <w:tc>
          <w:tcPr>
            <w:tcW w:w="9280" w:type="dxa"/>
            <w:vAlign w:val="bottom"/>
            <w:gridSpan w:val="2"/>
          </w:tcPr>
          <w:p>
            <w:pPr>
              <w:spacing w:after="0"/>
              <w:rPr>
                <w:sz w:val="20"/>
                <w:szCs w:val="20"/>
                <w:color w:val="auto"/>
              </w:rPr>
            </w:pPr>
            <w:r>
              <w:rPr>
                <w:rFonts w:ascii="Arial" w:cs="Arial" w:eastAsia="Arial" w:hAnsi="Arial"/>
                <w:sz w:val="22"/>
                <w:szCs w:val="22"/>
                <w:color w:val="auto"/>
                <w:w w:val="96"/>
              </w:rPr>
              <w:t>Validity. The invalidity or unenforceability of any provision or provisions of this Agreement shall not</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22"/>
                <w:szCs w:val="22"/>
                <w:color w:val="auto"/>
              </w:rPr>
              <w:t>affect the validity or</w:t>
            </w:r>
          </w:p>
        </w:tc>
        <w:tc>
          <w:tcPr>
            <w:tcW w:w="68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960" w:type="dxa"/>
            <w:vAlign w:val="bottom"/>
            <w:gridSpan w:val="2"/>
            <w:vMerge w:val="continue"/>
          </w:tcPr>
          <w:p>
            <w:pPr>
              <w:spacing w:after="0"/>
              <w:rPr>
                <w:sz w:val="23"/>
                <w:szCs w:val="23"/>
                <w:color w:val="auto"/>
              </w:rPr>
            </w:pPr>
          </w:p>
        </w:tc>
        <w:tc>
          <w:tcPr>
            <w:tcW w:w="9280" w:type="dxa"/>
            <w:vAlign w:val="bottom"/>
            <w:gridSpan w:val="2"/>
          </w:tcPr>
          <w:p>
            <w:pPr>
              <w:spacing w:after="0"/>
              <w:rPr>
                <w:sz w:val="20"/>
                <w:szCs w:val="20"/>
                <w:color w:val="auto"/>
              </w:rPr>
            </w:pPr>
            <w:r>
              <w:rPr>
                <w:rFonts w:ascii="Arial" w:cs="Arial" w:eastAsia="Arial" w:hAnsi="Arial"/>
                <w:sz w:val="22"/>
                <w:szCs w:val="22"/>
                <w:color w:val="auto"/>
                <w:w w:val="98"/>
              </w:rPr>
              <w:t>enforceability of any other provision of this Agreement, which shall remain in full force and effect.</w:t>
            </w:r>
          </w:p>
        </w:tc>
        <w:tc>
          <w:tcPr>
            <w:tcW w:w="0" w:type="dxa"/>
            <w:vAlign w:val="bottom"/>
          </w:tcPr>
          <w:p>
            <w:pPr>
              <w:spacing w:after="0"/>
              <w:rPr>
                <w:sz w:val="1"/>
                <w:szCs w:val="1"/>
                <w:color w:val="auto"/>
              </w:rPr>
            </w:pPr>
          </w:p>
        </w:tc>
      </w:tr>
      <w:tr>
        <w:trPr>
          <w:trHeight w:val="370"/>
        </w:trPr>
        <w:tc>
          <w:tcPr>
            <w:tcW w:w="1800" w:type="dxa"/>
            <w:vAlign w:val="bottom"/>
          </w:tcPr>
          <w:p>
            <w:pPr>
              <w:ind w:left="1300"/>
              <w:spacing w:after="0"/>
              <w:rPr>
                <w:sz w:val="20"/>
                <w:szCs w:val="20"/>
                <w:color w:val="auto"/>
              </w:rPr>
            </w:pPr>
            <w:r>
              <w:rPr>
                <w:rFonts w:ascii="Arial" w:cs="Arial" w:eastAsia="Arial" w:hAnsi="Arial"/>
                <w:sz w:val="22"/>
                <w:szCs w:val="22"/>
                <w:color w:val="auto"/>
              </w:rPr>
              <w:t>(ad)</w:t>
            </w:r>
          </w:p>
        </w:tc>
        <w:tc>
          <w:tcPr>
            <w:tcW w:w="9440" w:type="dxa"/>
            <w:vAlign w:val="bottom"/>
            <w:gridSpan w:val="3"/>
          </w:tcPr>
          <w:p>
            <w:pPr>
              <w:ind w:left="140"/>
              <w:spacing w:after="0"/>
              <w:rPr>
                <w:sz w:val="20"/>
                <w:szCs w:val="20"/>
                <w:color w:val="auto"/>
              </w:rPr>
            </w:pPr>
            <w:r>
              <w:rPr>
                <w:rFonts w:ascii="Arial" w:cs="Arial" w:eastAsia="Arial" w:hAnsi="Arial"/>
                <w:sz w:val="22"/>
                <w:szCs w:val="22"/>
                <w:u w:val="single" w:color="auto"/>
                <w:color w:val="auto"/>
                <w:w w:val="89"/>
              </w:rPr>
              <w:t>Counterparts</w:t>
            </w:r>
            <w:r>
              <w:rPr>
                <w:rFonts w:ascii="Arial" w:cs="Arial" w:eastAsia="Arial" w:hAnsi="Arial"/>
                <w:sz w:val="22"/>
                <w:szCs w:val="22"/>
                <w:color w:val="auto"/>
                <w:w w:val="89"/>
              </w:rPr>
              <w:t>. This Agreement may be executed in several counterparts, each of which shall be deemed to</w:t>
            </w:r>
          </w:p>
        </w:tc>
        <w:tc>
          <w:tcPr>
            <w:tcW w:w="0" w:type="dxa"/>
            <w:vAlign w:val="bottom"/>
          </w:tcPr>
          <w:p>
            <w:pPr>
              <w:spacing w:after="0"/>
              <w:rPr>
                <w:sz w:val="1"/>
                <w:szCs w:val="1"/>
                <w:color w:val="auto"/>
              </w:rPr>
            </w:pPr>
          </w:p>
        </w:tc>
      </w:tr>
    </w:tbl>
    <w:p>
      <w:pPr>
        <w:jc w:val="both"/>
        <w:ind w:right="20"/>
        <w:spacing w:after="0" w:line="224" w:lineRule="auto"/>
        <w:rPr>
          <w:sz w:val="20"/>
          <w:szCs w:val="20"/>
          <w:color w:val="auto"/>
        </w:rPr>
      </w:pPr>
      <w:r>
        <w:rPr>
          <w:rFonts w:ascii="Arial" w:cs="Arial" w:eastAsia="Arial" w:hAnsi="Arial"/>
          <w:sz w:val="22"/>
          <w:szCs w:val="22"/>
          <w:color w:val="auto"/>
        </w:rPr>
        <w:t>be an original, but all of which together will constitute one and the same Agreement. Signatures delivered by facsimile shall be deemed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401" w:right="339" w:bottom="1440" w:gutter="0" w:footer="0" w:header="0"/>
        </w:sectPr>
      </w:pPr>
    </w:p>
    <w:bookmarkStart w:id="84" w:name="page85"/>
    <w:bookmarkEnd w:id="84"/>
    <w:p>
      <w:pPr>
        <w:jc w:val="both"/>
        <w:ind w:firstLine="1296"/>
        <w:spacing w:after="0" w:line="249" w:lineRule="auto"/>
        <w:rPr>
          <w:sz w:val="20"/>
          <w:szCs w:val="20"/>
          <w:color w:val="auto"/>
        </w:rPr>
      </w:pPr>
      <w:r>
        <w:rPr>
          <w:rFonts w:ascii="Arial" w:cs="Arial" w:eastAsia="Arial" w:hAnsi="Arial"/>
          <w:sz w:val="19"/>
          <w:szCs w:val="19"/>
          <w:color w:val="auto"/>
        </w:rPr>
        <w:t xml:space="preserve">(ae)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terms of this Agreement, together with the Confidentiality Agreement, are intended by the Parties to be the final expression of their agreement with respect to the employment of Executive by the Company and supersede all prior understandings and agreements, whether written or oral, regarding Executive’s service to the Company. The Parties further intend that this Agreement, together with the Confidentiality Agreement, shall constitute the complete and exclusive statement of their terms and that no extrinsic evidence whatsoever may be introduced in any judicial, administrative, or other legal proceeding to vary the terms of this Agreement or the Confidentiality Agreement.</w:t>
      </w:r>
    </w:p>
    <w:p>
      <w:pPr>
        <w:spacing w:after="0" w:line="152"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(af) </w:t>
      </w: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64"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(ag) </w:t>
      </w: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Santa Clara County, California through JAMS in conformity with California law and the then-existing JAMS employment arbitration rules, which can be found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auto"/>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Sections 7(a) or 7(b),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 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401" w:right="339" w:bottom="1440" w:gutter="0" w:footer="0" w:header="0"/>
        </w:sectPr>
      </w:pPr>
    </w:p>
    <w:bookmarkStart w:id="85" w:name="page86"/>
    <w:bookmarkEnd w:id="85"/>
    <w:p>
      <w:pPr>
        <w:jc w:val="both"/>
        <w:ind w:firstLine="1296"/>
        <w:spacing w:after="0" w:line="222" w:lineRule="auto"/>
        <w:rPr>
          <w:sz w:val="20"/>
          <w:szCs w:val="20"/>
          <w:color w:val="auto"/>
        </w:rPr>
      </w:pPr>
      <w:r>
        <w:rPr>
          <w:rFonts w:ascii="Arial" w:cs="Arial" w:eastAsia="Arial" w:hAnsi="Arial"/>
          <w:sz w:val="21"/>
          <w:szCs w:val="21"/>
          <w:color w:val="auto"/>
        </w:rPr>
        <w:t xml:space="preserve">(ah) </w:t>
      </w: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6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(ai) </w:t>
      </w: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6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(aj) </w:t>
      </w:r>
      <w:r>
        <w:rPr>
          <w:rFonts w:ascii="Arial" w:cs="Arial" w:eastAsia="Arial" w:hAnsi="Arial"/>
          <w:sz w:val="19"/>
          <w:szCs w:val="19"/>
          <w:u w:val="single" w:color="auto"/>
          <w:color w:val="auto"/>
        </w:rPr>
        <w:t>Whistleblower Protections and Trade Secrets</w:t>
      </w:r>
      <w:r>
        <w:rPr>
          <w:rFonts w:ascii="Arial" w:cs="Arial" w:eastAsia="Arial" w:hAnsi="Arial"/>
          <w:sz w:val="19"/>
          <w:szCs w:val="19"/>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54"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Golden Parachute Excise Tax</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(ak) </w:t>
      </w:r>
      <w:r>
        <w:rPr>
          <w:rFonts w:ascii="Arial" w:cs="Arial" w:eastAsia="Arial" w:hAnsi="Arial"/>
          <w:sz w:val="19"/>
          <w:szCs w:val="19"/>
          <w:u w:val="single" w:color="auto"/>
          <w:color w:val="auto"/>
        </w:rPr>
        <w:t>Best Pay</w:t>
      </w:r>
      <w:r>
        <w:rPr>
          <w:rFonts w:ascii="Arial" w:cs="Arial" w:eastAsia="Arial" w:hAnsi="Arial"/>
          <w:sz w:val="19"/>
          <w:szCs w:val="19"/>
          <w:color w:val="auto"/>
        </w:rPr>
        <w:t>. Any provision of this Agreement to the contrary notwithstanding, if any payment or benefit Executive would receive from the Company pursuant to this Agreement or otherwise (“</w:t>
      </w:r>
      <w:r>
        <w:rPr>
          <w:rFonts w:ascii="Arial" w:cs="Arial" w:eastAsia="Arial" w:hAnsi="Arial"/>
          <w:sz w:val="19"/>
          <w:szCs w:val="19"/>
          <w:b w:val="1"/>
          <w:b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such Payment will be equal to the Reduced Amount (as defined below).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401" w:right="339" w:bottom="1440" w:gutter="0" w:footer="0" w:header="0"/>
        </w:sectPr>
      </w:pPr>
    </w:p>
    <w:bookmarkStart w:id="86" w:name="page87"/>
    <w:bookmarkEnd w:id="86"/>
    <w:p>
      <w:pPr>
        <w:jc w:val="both"/>
        <w:spacing w:after="0" w:line="245"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9"/>
          <w:szCs w:val="19"/>
          <w:i w:val="1"/>
          <w:iCs w:val="1"/>
          <w:color w:val="auto"/>
        </w:rPr>
        <w:t>e.g</w:t>
      </w:r>
      <w:r>
        <w:rPr>
          <w:rFonts w:ascii="Arial" w:cs="Arial" w:eastAsia="Arial" w:hAnsi="Arial"/>
          <w:sz w:val="19"/>
          <w:szCs w:val="19"/>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(al) </w:t>
      </w:r>
      <w:r>
        <w:rPr>
          <w:rFonts w:ascii="Arial" w:cs="Arial" w:eastAsia="Arial" w:hAnsi="Arial"/>
          <w:sz w:val="19"/>
          <w:szCs w:val="19"/>
          <w:u w:val="single" w:color="auto"/>
          <w:color w:val="auto"/>
        </w:rPr>
        <w:t>Accounting Firm</w:t>
      </w:r>
      <w:r>
        <w:rPr>
          <w:rFonts w:ascii="Arial" w:cs="Arial" w:eastAsia="Arial" w:hAnsi="Arial"/>
          <w:sz w:val="19"/>
          <w:szCs w:val="19"/>
          <w:color w:val="auto"/>
        </w:rPr>
        <w:t>. The accounting firm engaged by the Company for general tax purposes as of the day prior to the Change of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of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153"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(am) </w:t>
      </w:r>
      <w:r>
        <w:rPr>
          <w:rFonts w:ascii="Arial" w:cs="Arial" w:eastAsia="Arial" w:hAnsi="Arial"/>
          <w:sz w:val="19"/>
          <w:szCs w:val="19"/>
          <w:u w:val="single" w:color="auto"/>
          <w:color w:val="auto"/>
        </w:rPr>
        <w:t>General</w:t>
      </w:r>
      <w:r>
        <w:rPr>
          <w:rFonts w:ascii="Arial" w:cs="Arial" w:eastAsia="Arial" w:hAnsi="Arial"/>
          <w:sz w:val="19"/>
          <w:szCs w:val="19"/>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9"/>
          <w:szCs w:val="19"/>
          <w:b w:val="1"/>
          <w:bCs w:val="1"/>
          <w:color w:val="auto"/>
        </w:rPr>
        <w:t>Section 409A</w:t>
      </w:r>
      <w:r>
        <w:rPr>
          <w:rFonts w:ascii="Arial" w:cs="Arial" w:eastAsia="Arial" w:hAnsi="Arial"/>
          <w:sz w:val="19"/>
          <w:szCs w:val="19"/>
          <w:color w:val="auto"/>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9(a)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spacing w:after="0" w:line="16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(an) </w:t>
      </w:r>
      <w:r>
        <w:rPr>
          <w:rFonts w:ascii="Arial" w:cs="Arial" w:eastAsia="Arial" w:hAnsi="Arial"/>
          <w:sz w:val="21"/>
          <w:szCs w:val="21"/>
          <w:u w:val="single" w:color="auto"/>
          <w:color w:val="auto"/>
        </w:rPr>
        <w:t>Separation from Service, Installments and Reimbursements</w:t>
      </w:r>
      <w:r>
        <w:rPr>
          <w:rFonts w:ascii="Arial" w:cs="Arial" w:eastAsia="Arial" w:hAnsi="Arial"/>
          <w:sz w:val="21"/>
          <w:szCs w:val="21"/>
          <w:color w:val="auto"/>
        </w:rPr>
        <w:t>. Notwithstanding any provision to the contrary in this Agreement: (i) no amount that constitutes “deferred compensation” under Section 409A shall be payable pursuant to Section 6 unless the termination of Executive’s employment constitutes a “separation from service”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395" w:right="339" w:bottom="1440" w:gutter="0" w:footer="0" w:header="0"/>
        </w:sectPr>
      </w:pPr>
    </w:p>
    <w:bookmarkStart w:id="87" w:name="page88"/>
    <w:bookmarkEnd w:id="87"/>
    <w:p>
      <w:pPr>
        <w:jc w:val="both"/>
        <w:spacing w:after="0" w:line="215" w:lineRule="auto"/>
        <w:rPr>
          <w:sz w:val="20"/>
          <w:szCs w:val="20"/>
          <w:color w:val="auto"/>
        </w:rPr>
      </w:pPr>
      <w:r>
        <w:rPr>
          <w:rFonts w:ascii="Arial" w:cs="Arial" w:eastAsia="Arial" w:hAnsi="Arial"/>
          <w:sz w:val="21"/>
          <w:szCs w:val="21"/>
          <w:color w:val="auto"/>
        </w:rPr>
        <w:t>meaning of Section 1.409A-1(h) of the Department of Treasury Regulations (“</w:t>
      </w:r>
      <w:r>
        <w:rPr>
          <w:rFonts w:ascii="Arial" w:cs="Arial" w:eastAsia="Arial" w:hAnsi="Arial"/>
          <w:sz w:val="21"/>
          <w:szCs w:val="21"/>
          <w:b w:val="1"/>
          <w:bCs w:val="1"/>
          <w:color w:val="auto"/>
        </w:rPr>
        <w:t>Separation from Service</w:t>
      </w:r>
      <w:r>
        <w:rPr>
          <w:rFonts w:ascii="Arial" w:cs="Arial" w:eastAsia="Arial" w:hAnsi="Arial"/>
          <w:sz w:val="21"/>
          <w:szCs w:val="21"/>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(ao) </w:t>
      </w: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(ap) </w:t>
      </w: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9(d), “</w:t>
      </w:r>
      <w:r>
        <w:rPr>
          <w:rFonts w:ascii="Arial" w:cs="Arial" w:eastAsia="Arial" w:hAnsi="Arial"/>
          <w:sz w:val="19"/>
          <w:szCs w:val="19"/>
          <w:b w:val="1"/>
          <w:bCs w:val="1"/>
          <w:color w:val="auto"/>
        </w:rPr>
        <w:t>Release Expiration Date</w:t>
      </w:r>
      <w:r>
        <w:rPr>
          <w:rFonts w:ascii="Arial" w:cs="Arial" w:eastAsia="Arial" w:hAnsi="Arial"/>
          <w:sz w:val="19"/>
          <w:szCs w:val="19"/>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this Section 9(d), such amounts shall be paid in a lump sum on the first payroll date following the date that Executive executes and does not revoke the Release (and the applicable revocation period has expired) or, in the case of any payments subject to Section 9(d)(ii), on the first payroll period to occur in the subsequent taxable year, if later.</w:t>
      </w:r>
    </w:p>
    <w:p>
      <w:pPr>
        <w:spacing w:after="0" w:line="375" w:lineRule="exact"/>
        <w:rPr>
          <w:sz w:val="20"/>
          <w:szCs w:val="20"/>
          <w:color w:val="auto"/>
        </w:rPr>
      </w:pPr>
    </w:p>
    <w:p>
      <w:pPr>
        <w:jc w:val="both"/>
        <w:ind w:firstLine="656"/>
        <w:spacing w:after="0" w:line="271" w:lineRule="auto"/>
        <w:tabs>
          <w:tab w:leader="none" w:pos="1296"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Employee Acknowledgement</w:t>
      </w:r>
      <w:r>
        <w:rPr>
          <w:rFonts w:ascii="Arial" w:cs="Arial" w:eastAsia="Arial" w:hAnsi="Arial"/>
          <w:sz w:val="19"/>
          <w:szCs w:val="19"/>
          <w:color w:val="auto"/>
        </w:rPr>
        <w:t>. Executive acknowledges that Executive has read and understands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is fully aware of its legal effect, has not acted in reliance upon any representations or promises made by the Company other than those contained in writing herein, and has entered into this Agreement freely based on Executive’s own judgment.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1240"/>
          </w:cols>
          <w:pgMar w:left="320" w:top="1395" w:right="33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The Parties have executed this Agreement as of the date first set forth above.</w:t>
      </w: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OUSTER, INC.</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0515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Angus Pacala</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Nathan Dickerman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404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Nathan Dickerman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|US-DOCS\136837006.2||</w:t>
      </w:r>
    </w:p>
    <w:p>
      <w:pPr>
        <w:sectPr>
          <w:pgSz w:w="11900" w:h="16838" w:orient="portrait"/>
          <w:cols w:equalWidth="0" w:num="1">
            <w:col w:w="10139"/>
          </w:cols>
          <w:pgMar w:left="320" w:top="1401" w:right="1440" w:bottom="1440" w:gutter="0" w:footer="0" w:header="0"/>
        </w:sectPr>
      </w:pPr>
    </w:p>
    <w:bookmarkStart w:id="89" w:name="page90"/>
    <w:bookmarkEnd w:id="89"/>
    <w:p>
      <w:pPr>
        <w:ind w:left="2980"/>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FIRST AMENDMENT TO LOAN AND SECURITY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August 5, 2022, is entered into by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among OUSTER,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SENSE PHOTONICS, INC., a Delaware corporation (“</w:t>
      </w:r>
      <w:r>
        <w:rPr>
          <w:rFonts w:ascii="Arial" w:cs="Arial" w:eastAsia="Arial" w:hAnsi="Arial"/>
          <w:sz w:val="16"/>
          <w:szCs w:val="16"/>
          <w:u w:val="single" w:color="auto"/>
          <w:color w:val="auto"/>
        </w:rPr>
        <w:t>Sense Photonics</w:t>
      </w:r>
      <w:r>
        <w:rPr>
          <w:rFonts w:ascii="Arial" w:cs="Arial" w:eastAsia="Arial" w:hAnsi="Arial"/>
          <w:sz w:val="16"/>
          <w:szCs w:val="16"/>
          <w:color w:val="auto"/>
        </w:rPr>
        <w:t>”, and together with each of Borrower’s Subsidiaries that delivers a Joinder Agreement pursuant to Section 7.13 of the Loan Agreement (collectively, “</w:t>
      </w:r>
      <w:r>
        <w:rPr>
          <w:rFonts w:ascii="Arial" w:cs="Arial" w:eastAsia="Arial" w:hAnsi="Arial"/>
          <w:sz w:val="16"/>
          <w:szCs w:val="16"/>
          <w:u w:val="single" w:color="auto"/>
          <w:color w:val="auto"/>
        </w:rPr>
        <w:t>Guarantors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Guarantor</w:t>
      </w:r>
      <w:r>
        <w:rPr>
          <w:rFonts w:ascii="Arial" w:cs="Arial" w:eastAsia="Arial" w:hAnsi="Arial"/>
          <w:sz w:val="16"/>
          <w:szCs w:val="16"/>
          <w:color w:val="auto"/>
        </w:rPr>
        <w:t>”), the several banks and other financial institutions or entities from time to time parties to the Loan Agreement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defined below)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w:t>
      </w:r>
      <w:r>
        <w:rPr>
          <w:rFonts w:ascii="Arial" w:cs="Arial" w:eastAsia="Arial" w:hAnsi="Arial"/>
          <w:sz w:val="18"/>
          <w:szCs w:val="18"/>
          <w:u w:val="single" w:color="auto"/>
          <w:color w:val="auto"/>
        </w:rPr>
        <w:t>Lenders</w:t>
      </w:r>
      <w:r>
        <w:rPr>
          <w:rFonts w:ascii="Arial" w:cs="Arial" w:eastAsia="Arial" w:hAnsi="Arial"/>
          <w:sz w:val="18"/>
          <w:szCs w:val="18"/>
          <w:color w:val="auto"/>
        </w:rPr>
        <w:t>”) and HERCULES CAPITAL, INC., a Maryland corporation, in its capacity as administrative agent and collateral agent for itself and the Lenders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Borrower, Lenders and Agent are parties to that certain Loan and Security Agreement, dated as of April 29, 2022 (the “</w:t>
      </w:r>
      <w:r>
        <w:rPr>
          <w:rFonts w:ascii="Arial" w:cs="Arial" w:eastAsia="Arial" w:hAnsi="Arial"/>
          <w:sz w:val="16"/>
          <w:szCs w:val="16"/>
          <w:u w:val="single" w:color="auto"/>
          <w:color w:val="auto"/>
        </w:rPr>
        <w:t>Existing Loan Agreement</w:t>
      </w:r>
      <w:r>
        <w:rPr>
          <w:rFonts w:ascii="Arial" w:cs="Arial" w:eastAsia="Arial" w:hAnsi="Arial"/>
          <w:sz w:val="16"/>
          <w:szCs w:val="16"/>
          <w:color w:val="auto"/>
        </w:rPr>
        <w:t>”;</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the Existing Loan Agreement, as amended by this Amendment and as further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Borrower has requested that the Agent and Lenders agree to certain amendments to the Loan Agreement. The Agent and Lenders have agreed to such request, subject to the terms and conditions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Definitions; Interpretation.</w:t>
      </w:r>
    </w:p>
    <w:p>
      <w:pPr>
        <w:spacing w:after="0" w:line="185" w:lineRule="exact"/>
        <w:rPr>
          <w:sz w:val="20"/>
          <w:szCs w:val="20"/>
          <w:color w:val="auto"/>
        </w:rPr>
      </w:pPr>
    </w:p>
    <w:p>
      <w:pPr>
        <w:ind w:firstLine="656"/>
        <w:spacing w:after="0" w:line="250" w:lineRule="auto"/>
        <w:tabs>
          <w:tab w:leader="none" w:pos="1293"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Terms Defined in Loan Agreement</w:t>
      </w:r>
      <w:r>
        <w:rPr>
          <w:rFonts w:ascii="Arial" w:cs="Arial" w:eastAsia="Arial" w:hAnsi="Arial"/>
          <w:sz w:val="18"/>
          <w:szCs w:val="18"/>
          <w:color w:val="auto"/>
        </w:rPr>
        <w:t>. All capitalized terms used in this Amendment (including in the recitals hereof) and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shall have the meanings assigned to them in the Loan Agreement.</w:t>
      </w:r>
    </w:p>
    <w:p>
      <w:pPr>
        <w:spacing w:after="0" w:line="149" w:lineRule="exact"/>
        <w:rPr>
          <w:rFonts w:ascii="Arial" w:cs="Arial" w:eastAsia="Arial" w:hAnsi="Arial"/>
          <w:sz w:val="18"/>
          <w:szCs w:val="18"/>
          <w:color w:val="auto"/>
        </w:rPr>
      </w:pPr>
    </w:p>
    <w:p>
      <w:pPr>
        <w:ind w:firstLine="656"/>
        <w:spacing w:after="0" w:line="237" w:lineRule="auto"/>
        <w:tabs>
          <w:tab w:leader="none" w:pos="129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Rules of Construction</w:t>
      </w:r>
      <w:r>
        <w:rPr>
          <w:rFonts w:ascii="Arial" w:cs="Arial" w:eastAsia="Arial" w:hAnsi="Arial"/>
          <w:sz w:val="18"/>
          <w:szCs w:val="18"/>
          <w:color w:val="auto"/>
        </w:rPr>
        <w:t>. The rules of construction that appear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Agreement shall be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are incorporated herein by this reference.</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Amendment to the Loan Agreement.</w:t>
      </w:r>
    </w:p>
    <w:p>
      <w:pPr>
        <w:spacing w:after="0" w:line="189"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Upon satisfaction of the conditions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the Existing Loan Agreement is hereby amended as follows:</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Section 7.11. Section 7.11 is hereby amended and restated as follows:</w:t>
      </w:r>
    </w:p>
    <w:p>
      <w:pPr>
        <w:spacing w:after="0" w:line="198" w:lineRule="exact"/>
        <w:rPr>
          <w:sz w:val="20"/>
          <w:szCs w:val="20"/>
          <w:color w:val="auto"/>
        </w:rPr>
      </w:pPr>
    </w:p>
    <w:p>
      <w:pPr>
        <w:jc w:val="both"/>
        <w:ind w:left="1300"/>
        <w:spacing w:after="0" w:line="241" w:lineRule="auto"/>
        <w:rPr>
          <w:sz w:val="20"/>
          <w:szCs w:val="20"/>
          <w:color w:val="auto"/>
        </w:rPr>
      </w:pPr>
      <w:r>
        <w:rPr>
          <w:rFonts w:ascii="Arial" w:cs="Arial" w:eastAsia="Arial" w:hAnsi="Arial"/>
          <w:sz w:val="16"/>
          <w:szCs w:val="16"/>
          <w:color w:val="auto"/>
        </w:rPr>
        <w:t>“7.11 Corporate Changes; Location of Collateral. No Loan Party nor any Subsidiary shall change its legal name, legal form or jurisdiction of organization or formation, as applicable, without twenty (20) days’ prior written notice to Agent. No Loan Party shall suffer a Change in Control. No Loan Party nor any Subsidiary shall relocate its chief executive office or its principal place of business</w:t>
      </w:r>
    </w:p>
    <w:p>
      <w:pPr>
        <w:spacing w:after="0" w:line="2" w:lineRule="exact"/>
        <w:rPr>
          <w:sz w:val="20"/>
          <w:szCs w:val="20"/>
          <w:color w:val="auto"/>
        </w:rPr>
      </w:pPr>
    </w:p>
    <w:p>
      <w:pPr>
        <w:jc w:val="both"/>
        <w:ind w:left="1300"/>
        <w:spacing w:after="0" w:line="234" w:lineRule="auto"/>
        <w:rPr>
          <w:sz w:val="20"/>
          <w:szCs w:val="20"/>
          <w:color w:val="auto"/>
        </w:rPr>
      </w:pPr>
      <w:r>
        <w:rPr>
          <w:rFonts w:ascii="Arial" w:cs="Arial" w:eastAsia="Arial" w:hAnsi="Arial"/>
          <w:sz w:val="16"/>
          <w:szCs w:val="16"/>
          <w:color w:val="auto"/>
        </w:rPr>
        <w:t>unless it has provided prior written notice to Agent. No Loan Party nor any Subsidiary shall relocate any item of Collateral (other than (x) sales of Inventory in the ordinary course of business, (y) relocations of Equipment having an aggregate value of up to Three Million Dollars ($3,000,000) in any fiscal year, and (z) relocations of Collateral from a location described on Exhibit B to another location</w:t>
      </w:r>
    </w:p>
    <w:p>
      <w:pPr>
        <w:spacing w:after="0" w:line="2" w:lineRule="exact"/>
        <w:rPr>
          <w:sz w:val="20"/>
          <w:szCs w:val="20"/>
          <w:color w:val="auto"/>
        </w:rPr>
      </w:pPr>
    </w:p>
    <w:p>
      <w:pPr>
        <w:jc w:val="both"/>
        <w:ind w:left="1300"/>
        <w:spacing w:after="0" w:line="218" w:lineRule="auto"/>
        <w:rPr>
          <w:sz w:val="20"/>
          <w:szCs w:val="20"/>
          <w:color w:val="auto"/>
        </w:rPr>
      </w:pPr>
      <w:r>
        <w:rPr>
          <w:rFonts w:ascii="Arial" w:cs="Arial" w:eastAsia="Arial" w:hAnsi="Arial"/>
          <w:sz w:val="18"/>
          <w:szCs w:val="18"/>
          <w:color w:val="auto"/>
        </w:rPr>
        <w:t>described on Exhibit B) unless (i) it has provided prompt written notice to Agent, (ii) such relocation is within the continental United States of America and, (iii) if such relocation is to a third party bailee, it has used commercially reasonable efforts to deliver a bailee agreement in form and substance reasonably acceptable to Agent.”</w:t>
      </w:r>
    </w:p>
    <w:p>
      <w:pPr>
        <w:spacing w:after="0" w:line="172" w:lineRule="exact"/>
        <w:rPr>
          <w:sz w:val="20"/>
          <w:szCs w:val="20"/>
          <w:color w:val="auto"/>
        </w:rPr>
      </w:pPr>
    </w:p>
    <w:p>
      <w:pPr>
        <w:ind w:firstLine="656"/>
        <w:spacing w:after="0" w:line="294" w:lineRule="auto"/>
        <w:tabs>
          <w:tab w:leader="none" w:pos="129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References Within Existing Loan Agreement</w:t>
      </w:r>
      <w:r>
        <w:rPr>
          <w:rFonts w:ascii="Arial" w:cs="Arial" w:eastAsia="Arial" w:hAnsi="Arial"/>
          <w:sz w:val="16"/>
          <w:szCs w:val="16"/>
          <w:color w:val="auto"/>
        </w:rPr>
        <w:t>. Each reference in the Existing Loan Agreement to “this Agreement” and the words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“herein,” “hereunder,” or words of like import, shall mean and be a reference to the Existing Loan Agreement as amended by this Amendment.</w:t>
      </w:r>
    </w:p>
    <w:p>
      <w:pPr>
        <w:spacing w:after="0" w:line="11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SECTION 3 Conditions of Effectiveness</w:t>
      </w:r>
      <w:r>
        <w:rPr>
          <w:rFonts w:ascii="Arial" w:cs="Arial" w:eastAsia="Arial" w:hAnsi="Arial"/>
          <w:sz w:val="18"/>
          <w:szCs w:val="18"/>
          <w:color w:val="auto"/>
        </w:rPr>
        <w:t>. The effectiveness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shall be subject to the satisfaction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precedent:</w:t>
      </w:r>
    </w:p>
    <w:p>
      <w:pPr>
        <w:spacing w:after="0" w:line="153" w:lineRule="exact"/>
        <w:rPr>
          <w:sz w:val="20"/>
          <w:szCs w:val="20"/>
          <w:color w:val="auto"/>
        </w:rPr>
      </w:pPr>
    </w:p>
    <w:p>
      <w:pPr>
        <w:ind w:firstLine="656"/>
        <w:spacing w:after="0" w:line="235" w:lineRule="auto"/>
        <w:tabs>
          <w:tab w:leader="none" w:pos="12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Borrower shall have paid (i) all invoiced costs and expenses then due in accordance with Section 5(e) of this Amendment, and (ii) all other fees, costs and expenses, if any, due and payable as of the date hereof under the Loan Agreement.</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Agent shall have received:</w:t>
      </w:r>
    </w:p>
    <w:p>
      <w:pPr>
        <w:sectPr>
          <w:pgSz w:w="11900" w:h="16838" w:orient="portrait"/>
          <w:cols w:equalWidth="0" w:num="1">
            <w:col w:w="11240"/>
          </w:cols>
          <w:pgMar w:left="320" w:top="1404" w:right="339" w:bottom="1440" w:gutter="0" w:footer="0" w:header="0"/>
        </w:sectPr>
      </w:pPr>
    </w:p>
    <w:bookmarkStart w:id="90" w:name="page91"/>
    <w:bookmarkEnd w:id="90"/>
    <w:p>
      <w:pPr>
        <w:ind w:left="1940" w:hanging="636"/>
        <w:spacing w:after="0"/>
        <w:tabs>
          <w:tab w:leader="none" w:pos="1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Amendment, executed by Agent, Lenders and Borrower; and</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other documents as Agent may reasonably request.</w:t>
      </w:r>
    </w:p>
    <w:p>
      <w:pPr>
        <w:spacing w:after="0" w:line="198" w:lineRule="exact"/>
        <w:rPr>
          <w:sz w:val="20"/>
          <w:szCs w:val="20"/>
          <w:color w:val="auto"/>
        </w:rPr>
      </w:pPr>
    </w:p>
    <w:p>
      <w:pPr>
        <w:ind w:firstLine="656"/>
        <w:spacing w:after="0" w:line="235" w:lineRule="auto"/>
        <w:tabs>
          <w:tab w:leader="none" w:pos="12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the date hereof, after giving effect to the amendment of the Existing Loan Agreement contemplated hereby, there exist no Events of Default or events that with the passage of time would result in an Event of Default.</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To induce the Agent and Lenders to enter into this Amendment, each Borrower hereby confirms, as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date hereof, that (a) the representations and warranties made by it in Section 5 of the Loan Agreement and in the other Loan Documents are true and correct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materiality qualifier shall not be applicable to any representations and warranties that already are qualified or modified by materiality in the text thereof provided, further, that to the extent such representations and warranties by their terms expressly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relate only to a prior date such representations and warranties shall be true and correct as of such prior date; (b) there has not been and there does not exist a Material Adverse Effect; (c) other than as updated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that the information included in the Perfection Certificate delivered to Agent on the Closing Date remains true and correct; (d) Agent has and shall continue to have valid, enforceable and perfected first-priority liens, subject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only to Permitted Liens, on and security interests in the Collateral and all other collateral heretofore granted by Borrower to Agent, pursuant to the Loan Documents or otherwise granted to or held by Agent; (e) the agreements and obligations of Borrower contained in the Loan Documents and in this Amendment constitute the legal, valid and binding obligations of Borrower, enforceable against Borrower in accordance with their respective terms, except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the enforceability thereof may be limited by bankruptcy, insolvency or other similar laws of general application affecting the enforcement of creditors’ rights or by the application of general principles of equity; (f) the execution, delivery and performance of this Amendment by Borrower will not violate any law, rule, regulation, order, contractual obligation or organizational document of Borrower and will not result in, or require, the creation or imposition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lien, claim or encumbrance of any kind on any of its properties or revenues; and (g) no Event of Default has occurred and is continuing.</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Miscellaneous.</w:t>
      </w:r>
    </w:p>
    <w:p>
      <w:pPr>
        <w:spacing w:after="0" w:line="185" w:lineRule="exact"/>
        <w:rPr>
          <w:sz w:val="20"/>
          <w:szCs w:val="20"/>
          <w:color w:val="auto"/>
        </w:rPr>
      </w:pPr>
    </w:p>
    <w:p>
      <w:pPr>
        <w:ind w:left="1300" w:hanging="644"/>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 No Novation.</w:t>
      </w:r>
    </w:p>
    <w:p>
      <w:pPr>
        <w:spacing w:after="0" w:line="202" w:lineRule="exact"/>
        <w:rPr>
          <w:rFonts w:ascii="Arial" w:cs="Arial" w:eastAsia="Arial" w:hAnsi="Arial"/>
          <w:sz w:val="18"/>
          <w:szCs w:val="18"/>
          <w:color w:val="auto"/>
        </w:rPr>
      </w:pPr>
    </w:p>
    <w:p>
      <w:pPr>
        <w:jc w:val="both"/>
        <w:ind w:firstLine="1304"/>
        <w:spacing w:after="0" w:line="223" w:lineRule="auto"/>
        <w:tabs>
          <w:tab w:leader="none" w:pos="1934" w:val="left"/>
        </w:tabs>
        <w:numPr>
          <w:ilvl w:val="2"/>
          <w:numId w:val="55"/>
        </w:numPr>
        <w:rPr>
          <w:rFonts w:ascii="Arial" w:cs="Arial" w:eastAsia="Arial" w:hAnsi="Arial"/>
          <w:sz w:val="18"/>
          <w:szCs w:val="18"/>
          <w:color w:val="auto"/>
        </w:rPr>
      </w:pPr>
      <w:r>
        <w:rPr>
          <w:rFonts w:ascii="Arial" w:cs="Arial" w:eastAsia="Arial" w:hAnsi="Arial"/>
          <w:sz w:val="18"/>
          <w:szCs w:val="18"/>
          <w:color w:val="auto"/>
        </w:rPr>
        <w:t>Except as expressly amended pursuant hereto or referenced herein, the Existing Loan Agreement and the other Loan Documents shall remain unchanged and in full force and effect and are hereby ratified and confirmed in all respects.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62" w:lineRule="exact"/>
        <w:rPr>
          <w:rFonts w:ascii="Arial" w:cs="Arial" w:eastAsia="Arial" w:hAnsi="Arial"/>
          <w:sz w:val="18"/>
          <w:szCs w:val="18"/>
          <w:color w:val="auto"/>
        </w:rPr>
      </w:pPr>
    </w:p>
    <w:p>
      <w:pPr>
        <w:jc w:val="both"/>
        <w:ind w:firstLine="1304"/>
        <w:spacing w:after="0" w:line="238" w:lineRule="auto"/>
        <w:tabs>
          <w:tab w:leader="none" w:pos="1938" w:val="left"/>
        </w:tabs>
        <w:numPr>
          <w:ilvl w:val="2"/>
          <w:numId w:val="55"/>
        </w:numPr>
        <w:rPr>
          <w:rFonts w:ascii="Arial" w:cs="Arial" w:eastAsia="Arial" w:hAnsi="Arial"/>
          <w:sz w:val="16"/>
          <w:szCs w:val="16"/>
          <w:color w:val="auto"/>
        </w:rPr>
      </w:pPr>
      <w:r>
        <w:rPr>
          <w:rFonts w:ascii="Arial" w:cs="Arial" w:eastAsia="Arial" w:hAnsi="Arial"/>
          <w:sz w:val="16"/>
          <w:szCs w:val="16"/>
          <w:color w:val="auto"/>
        </w:rPr>
        <w:t>Each Borrower hereby expressly (1) reaffirms, ratifies and confirms its Secured Obligations under the Existing Loan Agreement and the other Loan Documents, (2) reaffirms, ratifies and confirms the grant of security under Section 3.1 of the Existing Loan Agreement, (3) reaffirms that such grant of security in the Collateral secures all Secured Obligations under the Existing Loan Agreement, including without limitation any Term Loans funded on or after the date hereof, as of the date hereof, and with effect from (and including) the date hereof, such grant of security in the Collateral:</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remains in full force and effect notwithstanding the amendments expressly referenced herein; and (y) secures all Secured Obligations under the Existing</w:t>
      </w:r>
    </w:p>
    <w:p>
      <w:pPr>
        <w:spacing w:after="0" w:line="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 Agreement, as amended by this Amendment, and the other Loan Documents, and (4) agrees that the Existing Loan Agreement and each other Loan Document shall remain in full force and effect following any action contemplated in connection herewith.</w:t>
      </w:r>
    </w:p>
    <w:p>
      <w:pPr>
        <w:spacing w:after="0" w:line="161" w:lineRule="exact"/>
        <w:rPr>
          <w:sz w:val="20"/>
          <w:szCs w:val="20"/>
          <w:color w:val="auto"/>
        </w:rPr>
      </w:pPr>
    </w:p>
    <w:p>
      <w:pPr>
        <w:jc w:val="both"/>
        <w:ind w:firstLine="1304"/>
        <w:spacing w:after="0" w:line="219" w:lineRule="auto"/>
        <w:tabs>
          <w:tab w:leader="none" w:pos="193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Existing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72" w:lineRule="exact"/>
        <w:rPr>
          <w:rFonts w:ascii="Arial" w:cs="Arial" w:eastAsia="Arial" w:hAnsi="Arial"/>
          <w:sz w:val="18"/>
          <w:szCs w:val="18"/>
          <w:color w:val="auto"/>
        </w:rPr>
      </w:pPr>
    </w:p>
    <w:p>
      <w:pPr>
        <w:jc w:val="both"/>
        <w:ind w:firstLine="656"/>
        <w:spacing w:after="0" w:line="224" w:lineRule="auto"/>
        <w:tabs>
          <w:tab w:leader="none" w:pos="129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each Lender that has signed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 deemed to have consented to, approved or accepted or to be satisfied with, each document or other matter required thereunder to be consented to or approved by or acceptable or satisfactory to such Lender unless Agent shall have received notice from such Lender prior to the date hereof specifying its objection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91" w:name="page92"/>
    <w:bookmarkEnd w:id="91"/>
    <w:p>
      <w:pPr>
        <w:jc w:val="both"/>
        <w:ind w:firstLine="656"/>
        <w:spacing w:after="0" w:line="239" w:lineRule="auto"/>
        <w:tabs>
          <w:tab w:leader="none" w:pos="129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Release</w:t>
      </w:r>
      <w:r>
        <w:rPr>
          <w:rFonts w:ascii="Arial" w:cs="Arial" w:eastAsia="Arial" w:hAnsi="Arial"/>
          <w:sz w:val="16"/>
          <w:szCs w:val="16"/>
          <w:color w:val="auto"/>
        </w:rPr>
        <w:t>. In consideration of the agreements of Agent and Lenders contained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each Borrower, on behalf of itself and its successors, assigns, and other legal representatives, hereby fully, absolutely, unconditionally and irrevocably releases, remises and forever discharges Agent and Lenders, and each of their successors and assigns, and their present and former shareholders, affiliates, subsidiaries, divisions, predecessors, directors, officers, attorneys, employees, agents and other representatives (Agent, Lenders and all such other persons being hereinafter referred to collectively as the “</w:t>
      </w:r>
      <w:r>
        <w:rPr>
          <w:rFonts w:ascii="Arial" w:cs="Arial" w:eastAsia="Arial" w:hAnsi="Arial"/>
          <w:sz w:val="16"/>
          <w:szCs w:val="16"/>
          <w:u w:val="single" w:color="auto"/>
          <w:color w:val="auto"/>
        </w:rPr>
        <w:t>Releasees</w:t>
      </w:r>
      <w:r>
        <w:rPr>
          <w:rFonts w:ascii="Arial" w:cs="Arial" w:eastAsia="Arial" w:hAnsi="Arial"/>
          <w:sz w:val="16"/>
          <w:szCs w:val="16"/>
          <w:color w:val="auto"/>
        </w:rPr>
        <w:t>” and individually as a “</w:t>
      </w:r>
      <w:r>
        <w:rPr>
          <w:rFonts w:ascii="Arial" w:cs="Arial" w:eastAsia="Arial" w:hAnsi="Arial"/>
          <w:sz w:val="16"/>
          <w:szCs w:val="16"/>
          <w:u w:val="single" w:color="auto"/>
          <w:color w:val="auto"/>
        </w:rPr>
        <w:t>Releasee</w:t>
      </w:r>
      <w:r>
        <w:rPr>
          <w:rFonts w:ascii="Arial" w:cs="Arial" w:eastAsia="Arial" w:hAnsi="Arial"/>
          <w:sz w:val="16"/>
          <w:szCs w:val="16"/>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the transactions thereunder or related thereto. Each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Each Borrower agrees that no fact, event, circumstance, evidence or transaction which could now be asserted or which may hereafter be discovered shall affect in any manner the final, absolute and unconditional nature of the release set forth above. The provisions of this section shall survive payment in full of the Secured Obligations, full performance of all the terms of this Amendment and the other Loan Documents.</w:t>
      </w:r>
    </w:p>
    <w:p>
      <w:pPr>
        <w:spacing w:after="0" w:line="159" w:lineRule="exact"/>
        <w:rPr>
          <w:rFonts w:ascii="Arial" w:cs="Arial" w:eastAsia="Arial" w:hAnsi="Arial"/>
          <w:sz w:val="16"/>
          <w:szCs w:val="16"/>
          <w:color w:val="auto"/>
        </w:rPr>
      </w:pPr>
    </w:p>
    <w:p>
      <w:pPr>
        <w:jc w:val="both"/>
        <w:ind w:firstLine="656"/>
        <w:spacing w:after="0" w:line="231"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Borrower hereby acknowledges and confirms to Agent and Lenders that each such Borrower is executing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basis of its own investigation and for its own reasons without reliance upon any agreement, representation, understanding or communication by or on behalf of any other Person.</w:t>
      </w:r>
    </w:p>
    <w:p>
      <w:pPr>
        <w:spacing w:after="0" w:line="158" w:lineRule="exact"/>
        <w:rPr>
          <w:rFonts w:ascii="Arial" w:cs="Arial" w:eastAsia="Arial" w:hAnsi="Arial"/>
          <w:sz w:val="18"/>
          <w:szCs w:val="18"/>
          <w:color w:val="auto"/>
        </w:rPr>
      </w:pPr>
    </w:p>
    <w:p>
      <w:pPr>
        <w:jc w:val="both"/>
        <w:ind w:firstLine="656"/>
        <w:spacing w:after="0" w:line="224"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Borrower agrees to pay to Agent on the date hereof the reasonable and documented out-of-pocket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Agent and Lenders party hereto, and the reasonable and documented fees and disbursements of counsel to Agent and Lenders party hereto in connection with the negotiation, preparation, execution and delivery of this Amendment and any other documents to be delivered in connection herewith on the date hereof.</w:t>
      </w:r>
    </w:p>
    <w:p>
      <w:pPr>
        <w:spacing w:after="0" w:line="172"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184" w:lineRule="exact"/>
        <w:rPr>
          <w:rFonts w:ascii="Arial" w:cs="Arial" w:eastAsia="Arial" w:hAnsi="Arial"/>
          <w:sz w:val="18"/>
          <w:szCs w:val="18"/>
          <w:color w:val="auto"/>
        </w:rPr>
      </w:pPr>
    </w:p>
    <w:p>
      <w:pPr>
        <w:ind w:firstLine="656"/>
        <w:spacing w:after="0" w:line="263" w:lineRule="auto"/>
        <w:tabs>
          <w:tab w:leader="none" w:pos="129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Amendment and the other Loan Documents shall be governed by, and construed and enforced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laws of the State of California, excluding conflict of laws principles that would cause the application of laws of any other jurisdiction.</w:t>
      </w:r>
    </w:p>
    <w:p>
      <w:pPr>
        <w:spacing w:after="0" w:line="152" w:lineRule="exact"/>
        <w:rPr>
          <w:rFonts w:ascii="Arial" w:cs="Arial" w:eastAsia="Arial" w:hAnsi="Arial"/>
          <w:sz w:val="17"/>
          <w:szCs w:val="17"/>
          <w:color w:val="auto"/>
        </w:rPr>
      </w:pPr>
    </w:p>
    <w:p>
      <w:pPr>
        <w:jc w:val="both"/>
        <w:ind w:firstLine="656"/>
        <w:spacing w:after="0" w:line="224"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Complete Agreement; Amendments</w:t>
      </w:r>
      <w:r>
        <w:rPr>
          <w:rFonts w:ascii="Arial" w:cs="Arial" w:eastAsia="Arial" w:hAnsi="Arial"/>
          <w:sz w:val="18"/>
          <w:szCs w:val="18"/>
          <w:color w:val="auto"/>
        </w:rPr>
        <w:t>. This Amendment and the Loan Documents represent the entire agreement about this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58"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Each provision of this Amendment is severable from every other provision in determining the enforceability</w:t>
      </w:r>
    </w:p>
    <w:p>
      <w:pPr>
        <w:spacing w:after="0" w:line="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provision.</w:t>
      </w:r>
    </w:p>
    <w:p>
      <w:pPr>
        <w:spacing w:after="0" w:line="178" w:lineRule="exact"/>
        <w:rPr>
          <w:rFonts w:ascii="Arial" w:cs="Arial" w:eastAsia="Arial" w:hAnsi="Arial"/>
          <w:sz w:val="16"/>
          <w:szCs w:val="16"/>
          <w:color w:val="auto"/>
        </w:rPr>
      </w:pPr>
    </w:p>
    <w:p>
      <w:pPr>
        <w:jc w:val="both"/>
        <w:ind w:firstLine="656"/>
        <w:spacing w:after="0" w:line="220"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2"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and the documents related thereto shall constitute Loan Documents.</w:t>
      </w:r>
    </w:p>
    <w:p>
      <w:pPr>
        <w:spacing w:after="0" w:line="184" w:lineRule="exact"/>
        <w:rPr>
          <w:rFonts w:ascii="Arial" w:cs="Arial" w:eastAsia="Arial" w:hAnsi="Arial"/>
          <w:sz w:val="18"/>
          <w:szCs w:val="18"/>
          <w:color w:val="auto"/>
        </w:rPr>
      </w:pPr>
    </w:p>
    <w:p>
      <w:pPr>
        <w:jc w:val="both"/>
        <w:ind w:firstLine="656"/>
        <w:spacing w:after="0" w:line="220" w:lineRule="auto"/>
        <w:tabs>
          <w:tab w:leader="none" w:pos="128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Electronic Execution of Certain Other Documents</w:t>
      </w:r>
      <w:r>
        <w:rPr>
          <w:rFonts w:ascii="Arial" w:cs="Arial" w:eastAsia="Arial" w:hAnsi="Arial"/>
          <w:sz w:val="18"/>
          <w:szCs w:val="18"/>
          <w:color w:val="auto"/>
        </w:rPr>
        <w:t>. The words “execution,” “execute”, “signed,” “signature,” and words of like import</w:t>
      </w:r>
      <w:r>
        <w:rPr>
          <w:rFonts w:ascii="Arial" w:cs="Arial" w:eastAsia="Arial" w:hAnsi="Arial"/>
          <w:sz w:val="18"/>
          <w:szCs w:val="18"/>
          <w:b w:val="1"/>
          <w:bCs w:val="1"/>
          <w:color w:val="auto"/>
        </w:rPr>
        <w:t xml:space="preserve"> </w:t>
      </w:r>
      <w:r>
        <w:rPr>
          <w:rFonts w:ascii="Arial" w:cs="Arial" w:eastAsia="Arial" w:hAnsi="Arial"/>
          <w:sz w:val="18"/>
          <w:szCs w:val="18"/>
          <w:color w:val="auto"/>
        </w:rPr>
        <w:t>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4" w:right="339" w:bottom="1440" w:gutter="0" w:footer="0" w:header="0"/>
        </w:sectPr>
      </w:pPr>
    </w:p>
    <w:bookmarkStart w:id="92" w:name="page93"/>
    <w:bookmarkEnd w:id="92"/>
    <w:p>
      <w:pPr>
        <w:spacing w:after="0" w:line="289" w:lineRule="auto"/>
        <w:rPr>
          <w:sz w:val="20"/>
          <w:szCs w:val="20"/>
          <w:color w:val="auto"/>
        </w:rPr>
      </w:pPr>
      <w:r>
        <w:rPr>
          <w:rFonts w:ascii="Arial" w:cs="Arial" w:eastAsia="Arial" w:hAnsi="Arial"/>
          <w:sz w:val="16"/>
          <w:szCs w:val="16"/>
          <w:color w:val="auto"/>
        </w:rPr>
        <w:t>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IN WITNESS WHEREOF, the parties hereto have duly executed this Amendment, as of the date first above written.</w:t>
      </w:r>
    </w:p>
    <w:p>
      <w:pPr>
        <w:spacing w:after="0" w:line="20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BORROWER:</w:t>
      </w:r>
    </w:p>
    <w:p>
      <w:pPr>
        <w:spacing w:after="0" w:line="1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OUSTER, INC.</w:t>
      </w:r>
    </w:p>
    <w:p>
      <w:pPr>
        <w:spacing w:after="0" w:line="185" w:lineRule="exact"/>
        <w:rPr>
          <w:sz w:val="20"/>
          <w:szCs w:val="20"/>
          <w:color w:val="auto"/>
        </w:rPr>
      </w:pPr>
    </w:p>
    <w:p>
      <w:pPr>
        <w:ind w:left="3880"/>
        <w:spacing w:after="0"/>
        <w:tabs>
          <w:tab w:leader="none" w:pos="47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_</w:t>
      </w:r>
      <w:r>
        <w:rPr>
          <w:rFonts w:ascii="Arial" w:cs="Arial" w:eastAsia="Arial" w:hAnsi="Arial"/>
          <w:sz w:val="16"/>
          <w:szCs w:val="16"/>
          <w:u w:val="single" w:color="auto"/>
          <w:color w:val="auto"/>
        </w:rPr>
        <w:t>/s/ Charles Angus Pacala</w:t>
      </w:r>
      <w:r>
        <w:rPr>
          <w:rFonts w:ascii="Arial" w:cs="Arial" w:eastAsia="Arial" w:hAnsi="Arial"/>
          <w:sz w:val="16"/>
          <w:szCs w:val="16"/>
          <w:color w:val="auto"/>
        </w:rPr>
        <w:t>_____</w:t>
      </w:r>
    </w:p>
    <w:p>
      <w:pPr>
        <w:spacing w:after="0" w:line="185" w:lineRule="exact"/>
        <w:rPr>
          <w:sz w:val="20"/>
          <w:szCs w:val="20"/>
          <w:color w:val="auto"/>
        </w:rPr>
      </w:pPr>
    </w:p>
    <w:p>
      <w:pPr>
        <w:ind w:left="3880"/>
        <w:spacing w:after="0"/>
        <w:tabs>
          <w:tab w:leader="none" w:pos="492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5"/>
          <w:szCs w:val="15"/>
          <w:color w:val="auto"/>
        </w:rPr>
        <w:t>Charles Angus Pacala</w:t>
      </w:r>
    </w:p>
    <w:p>
      <w:pPr>
        <w:spacing w:after="0" w:line="198" w:lineRule="exact"/>
        <w:rPr>
          <w:sz w:val="20"/>
          <w:szCs w:val="20"/>
          <w:color w:val="auto"/>
        </w:rPr>
      </w:pPr>
    </w:p>
    <w:p>
      <w:pPr>
        <w:ind w:left="3880"/>
        <w:spacing w:after="0"/>
        <w:tabs>
          <w:tab w:leader="none" w:pos="4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GUARANTOR:</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SENSE PHOTONICS, INC.</w:t>
      </w:r>
    </w:p>
    <w:p>
      <w:pPr>
        <w:spacing w:after="0" w:line="198" w:lineRule="exact"/>
        <w:rPr>
          <w:sz w:val="20"/>
          <w:szCs w:val="20"/>
          <w:color w:val="auto"/>
        </w:rPr>
      </w:pPr>
    </w:p>
    <w:p>
      <w:pPr>
        <w:ind w:left="3880"/>
        <w:spacing w:after="0"/>
        <w:tabs>
          <w:tab w:leader="none" w:pos="47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__</w:t>
      </w:r>
      <w:r>
        <w:rPr>
          <w:rFonts w:ascii="Arial" w:cs="Arial" w:eastAsia="Arial" w:hAnsi="Arial"/>
          <w:sz w:val="16"/>
          <w:szCs w:val="16"/>
          <w:u w:val="single" w:color="auto"/>
          <w:color w:val="auto"/>
        </w:rPr>
        <w:t>/s/ Charles Angus Pacala</w:t>
      </w:r>
      <w:r>
        <w:rPr>
          <w:rFonts w:ascii="Arial" w:cs="Arial" w:eastAsia="Arial" w:hAnsi="Arial"/>
          <w:sz w:val="16"/>
          <w:szCs w:val="16"/>
          <w:color w:val="auto"/>
        </w:rPr>
        <w:t>____</w:t>
      </w:r>
    </w:p>
    <w:p>
      <w:pPr>
        <w:spacing w:after="0" w:line="185" w:lineRule="exact"/>
        <w:rPr>
          <w:sz w:val="20"/>
          <w:szCs w:val="20"/>
          <w:color w:val="auto"/>
        </w:rPr>
      </w:pPr>
    </w:p>
    <w:p>
      <w:pPr>
        <w:ind w:left="3880"/>
        <w:spacing w:after="0"/>
        <w:tabs>
          <w:tab w:leader="none" w:pos="492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5"/>
          <w:szCs w:val="15"/>
          <w:color w:val="auto"/>
        </w:rPr>
        <w:t>Charles Angus Pacala</w:t>
      </w:r>
    </w:p>
    <w:p>
      <w:pPr>
        <w:spacing w:after="0" w:line="185" w:lineRule="exact"/>
        <w:rPr>
          <w:sz w:val="20"/>
          <w:szCs w:val="20"/>
          <w:color w:val="auto"/>
        </w:rPr>
      </w:pPr>
    </w:p>
    <w:p>
      <w:pPr>
        <w:ind w:left="3880"/>
        <w:spacing w:after="0"/>
        <w:tabs>
          <w:tab w:leader="none" w:pos="4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[SIGNATURES CONTINUE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[First Amendment to Loan and Security Agreement (Ouster)]</w:t>
      </w:r>
    </w:p>
    <w:p>
      <w:pPr>
        <w:sectPr>
          <w:pgSz w:w="11900" w:h="16838" w:orient="portrait"/>
          <w:cols w:equalWidth="0" w:num="1">
            <w:col w:w="9479"/>
          </w:cols>
          <w:pgMar w:left="980" w:top="1408" w:right="1440" w:bottom="1440" w:gutter="0" w:footer="0" w:header="0"/>
        </w:sectPr>
      </w:pPr>
    </w:p>
    <w:bookmarkStart w:id="94" w:name="page95"/>
    <w:bookmarkEnd w:id="94"/>
    <w:p>
      <w:pPr>
        <w:ind w:left="3420"/>
        <w:spacing w:after="0"/>
        <w:rPr>
          <w:sz w:val="20"/>
          <w:szCs w:val="20"/>
          <w:color w:val="auto"/>
        </w:rPr>
      </w:pPr>
      <w:r>
        <w:rPr>
          <w:rFonts w:ascii="Arial" w:cs="Arial" w:eastAsia="Arial" w:hAnsi="Arial"/>
          <w:sz w:val="18"/>
          <w:szCs w:val="18"/>
          <w:color w:val="auto"/>
        </w:rPr>
        <w:t>AGENT:</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HERCULES CAPITAL, INC.</w:t>
      </w:r>
    </w:p>
    <w:p>
      <w:pPr>
        <w:spacing w:after="0" w:line="198" w:lineRule="exact"/>
        <w:rPr>
          <w:sz w:val="20"/>
          <w:szCs w:val="20"/>
          <w:color w:val="auto"/>
        </w:rPr>
      </w:pPr>
    </w:p>
    <w:p>
      <w:pPr>
        <w:ind w:left="3420"/>
        <w:spacing w:after="0"/>
        <w:tabs>
          <w:tab w:leader="none" w:pos="43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u w:val="single" w:color="auto"/>
          <w:color w:val="auto"/>
        </w:rPr>
        <w:t>/s/ Seth Meyer</w:t>
      </w:r>
      <w:r>
        <w:rPr>
          <w:rFonts w:ascii="Arial" w:cs="Arial" w:eastAsia="Arial" w:hAnsi="Arial"/>
          <w:sz w:val="16"/>
          <w:szCs w:val="16"/>
          <w:color w:val="auto"/>
        </w:rPr>
        <w:t>________________</w:t>
      </w:r>
    </w:p>
    <w:p>
      <w:pPr>
        <w:spacing w:after="0" w:line="185" w:lineRule="exact"/>
        <w:rPr>
          <w:sz w:val="20"/>
          <w:szCs w:val="20"/>
          <w:color w:val="auto"/>
        </w:rPr>
      </w:pPr>
    </w:p>
    <w:p>
      <w:pPr>
        <w:ind w:left="3420"/>
        <w:spacing w:after="0"/>
        <w:tabs>
          <w:tab w:leader="none" w:pos="44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Seth Meyer</w:t>
      </w:r>
    </w:p>
    <w:p>
      <w:pPr>
        <w:spacing w:after="0" w:line="185" w:lineRule="exact"/>
        <w:rPr>
          <w:sz w:val="20"/>
          <w:szCs w:val="20"/>
          <w:color w:val="auto"/>
        </w:rPr>
      </w:pPr>
    </w:p>
    <w:p>
      <w:pPr>
        <w:ind w:left="3420"/>
        <w:spacing w:after="0"/>
        <w:tabs>
          <w:tab w:leader="none" w:pos="4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30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LENDERS:</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HERCULES CAPITAL FUNDING TRUST 2022-1</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Hercules Capital, Inc., its Administrator</w:t>
      </w:r>
    </w:p>
    <w:p>
      <w:pPr>
        <w:spacing w:after="0" w:line="198" w:lineRule="exact"/>
        <w:rPr>
          <w:sz w:val="20"/>
          <w:szCs w:val="20"/>
          <w:color w:val="auto"/>
        </w:rPr>
      </w:pPr>
    </w:p>
    <w:p>
      <w:pPr>
        <w:ind w:left="3420"/>
        <w:spacing w:after="0"/>
        <w:tabs>
          <w:tab w:leader="none" w:pos="43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u w:val="single" w:color="auto"/>
          <w:color w:val="auto"/>
        </w:rPr>
        <w:t>/s/ Seth Meyer</w:t>
      </w:r>
      <w:r>
        <w:rPr>
          <w:rFonts w:ascii="Arial" w:cs="Arial" w:eastAsia="Arial" w:hAnsi="Arial"/>
          <w:sz w:val="16"/>
          <w:szCs w:val="16"/>
          <w:color w:val="auto"/>
        </w:rPr>
        <w:t>________________</w:t>
      </w:r>
    </w:p>
    <w:p>
      <w:pPr>
        <w:spacing w:after="0" w:line="185" w:lineRule="exact"/>
        <w:rPr>
          <w:sz w:val="20"/>
          <w:szCs w:val="20"/>
          <w:color w:val="auto"/>
        </w:rPr>
      </w:pPr>
    </w:p>
    <w:p>
      <w:pPr>
        <w:ind w:left="3420"/>
        <w:spacing w:after="0"/>
        <w:tabs>
          <w:tab w:leader="none" w:pos="44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Seth Meyer</w:t>
      </w:r>
    </w:p>
    <w:p>
      <w:pPr>
        <w:spacing w:after="0" w:line="185" w:lineRule="exact"/>
        <w:rPr>
          <w:sz w:val="20"/>
          <w:szCs w:val="20"/>
          <w:color w:val="auto"/>
        </w:rPr>
      </w:pPr>
    </w:p>
    <w:p>
      <w:pPr>
        <w:ind w:left="3420"/>
        <w:spacing w:after="0"/>
        <w:tabs>
          <w:tab w:leader="none" w:pos="4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HERCULES PRIVATE CREDIT FUND 1 L.P.</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Hercules Adviser LLC, its Investment Adviser</w:t>
      </w:r>
    </w:p>
    <w:p>
      <w:pPr>
        <w:spacing w:after="0" w:line="185" w:lineRule="exact"/>
        <w:rPr>
          <w:sz w:val="20"/>
          <w:szCs w:val="20"/>
          <w:color w:val="auto"/>
        </w:rPr>
      </w:pPr>
    </w:p>
    <w:p>
      <w:pPr>
        <w:ind w:left="3420"/>
        <w:spacing w:after="0"/>
        <w:tabs>
          <w:tab w:leader="none" w:pos="43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u w:val="single" w:color="auto"/>
          <w:color w:val="auto"/>
        </w:rPr>
        <w:t>/s/ Seth Meyer</w:t>
      </w:r>
      <w:r>
        <w:rPr>
          <w:rFonts w:ascii="Arial" w:cs="Arial" w:eastAsia="Arial" w:hAnsi="Arial"/>
          <w:sz w:val="16"/>
          <w:szCs w:val="16"/>
          <w:color w:val="auto"/>
        </w:rPr>
        <w:t>________________</w:t>
      </w:r>
    </w:p>
    <w:p>
      <w:pPr>
        <w:spacing w:after="0" w:line="198" w:lineRule="exact"/>
        <w:rPr>
          <w:sz w:val="20"/>
          <w:szCs w:val="20"/>
          <w:color w:val="auto"/>
        </w:rPr>
      </w:pPr>
    </w:p>
    <w:p>
      <w:pPr>
        <w:ind w:left="3420"/>
        <w:spacing w:after="0"/>
        <w:tabs>
          <w:tab w:leader="none" w:pos="44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Seth Meyer</w:t>
      </w:r>
    </w:p>
    <w:p>
      <w:pPr>
        <w:spacing w:after="0" w:line="185" w:lineRule="exact"/>
        <w:rPr>
          <w:sz w:val="20"/>
          <w:szCs w:val="20"/>
          <w:color w:val="auto"/>
        </w:rPr>
      </w:pPr>
    </w:p>
    <w:p>
      <w:pPr>
        <w:ind w:left="3420"/>
        <w:spacing w:after="0"/>
        <w:tabs>
          <w:tab w:leader="none" w:pos="4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36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HERCULES PRIVATE GLOBAL VENTURE GROWTH FUND I L.P.</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Hercules Adviser LLC, its Investment Adviser</w:t>
      </w:r>
    </w:p>
    <w:p>
      <w:pPr>
        <w:spacing w:after="0" w:line="185" w:lineRule="exact"/>
        <w:rPr>
          <w:sz w:val="20"/>
          <w:szCs w:val="20"/>
          <w:color w:val="auto"/>
        </w:rPr>
      </w:pPr>
    </w:p>
    <w:p>
      <w:pPr>
        <w:ind w:left="3420"/>
        <w:spacing w:after="0"/>
        <w:tabs>
          <w:tab w:leader="none" w:pos="43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u w:val="single" w:color="auto"/>
          <w:color w:val="auto"/>
        </w:rPr>
        <w:t>/s/ Seth Meyer</w:t>
      </w:r>
      <w:r>
        <w:rPr>
          <w:rFonts w:ascii="Arial" w:cs="Arial" w:eastAsia="Arial" w:hAnsi="Arial"/>
          <w:sz w:val="16"/>
          <w:szCs w:val="16"/>
          <w:color w:val="auto"/>
        </w:rPr>
        <w:t>________________</w:t>
      </w:r>
    </w:p>
    <w:p>
      <w:pPr>
        <w:spacing w:after="0" w:line="185" w:lineRule="exact"/>
        <w:rPr>
          <w:sz w:val="20"/>
          <w:szCs w:val="20"/>
          <w:color w:val="auto"/>
        </w:rPr>
      </w:pPr>
    </w:p>
    <w:p>
      <w:pPr>
        <w:ind w:left="3420"/>
        <w:spacing w:after="0"/>
        <w:tabs>
          <w:tab w:leader="none" w:pos="44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Seth Meyer</w:t>
      </w:r>
    </w:p>
    <w:p>
      <w:pPr>
        <w:spacing w:after="0" w:line="198" w:lineRule="exact"/>
        <w:rPr>
          <w:sz w:val="20"/>
          <w:szCs w:val="20"/>
          <w:color w:val="auto"/>
        </w:rPr>
      </w:pPr>
    </w:p>
    <w:p>
      <w:pPr>
        <w:jc w:val="center"/>
        <w:ind w:right="-120"/>
        <w:spacing w:after="0"/>
        <w:tabs>
          <w:tab w:leader="none" w:pos="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ectPr>
          <w:pgSz w:w="11900" w:h="16838" w:orient="portrait"/>
          <w:cols w:equalWidth="0" w:num="1">
            <w:col w:w="9019"/>
          </w:cols>
          <w:pgMar w:left="144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Loan and Security Agreement (Ouster)]</w:t>
      </w:r>
    </w:p>
    <w:p>
      <w:pPr>
        <w:sectPr>
          <w:pgSz w:w="11900" w:h="16838" w:orient="portrait"/>
          <w:cols w:equalWidth="0" w:num="1">
            <w:col w:w="9019"/>
          </w:cols>
          <w:pgMar w:left="1440" w:top="1408" w:right="1440"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96" w:name="page97"/>
    <w:bookmarkEnd w:id="96"/>
    <w:p>
      <w:pPr>
        <w:spacing w:after="0" w:line="279" w:lineRule="exact"/>
        <w:rPr>
          <w:sz w:val="20"/>
          <w:szCs w:val="20"/>
          <w:color w:val="auto"/>
        </w:rPr>
      </w:pPr>
    </w:p>
    <w:p>
      <w:pPr>
        <w:ind w:left="1040" w:right="320" w:hanging="521"/>
        <w:spacing w:after="0" w:line="342" w:lineRule="auto"/>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Anna Brunelle, certify that:</w:t>
      </w:r>
    </w:p>
    <w:p>
      <w:pPr>
        <w:spacing w:after="0" w:line="306" w:lineRule="exact"/>
        <w:rPr>
          <w:sz w:val="20"/>
          <w:szCs w:val="20"/>
          <w:color w:val="auto"/>
        </w:rPr>
      </w:pPr>
    </w:p>
    <w:p>
      <w:pPr>
        <w:ind w:left="540" w:hanging="51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98" w:name="page99"/>
    <w:bookmarkEnd w:id="98"/>
    <w:p>
      <w:pPr>
        <w:spacing w:after="0" w:line="279" w:lineRule="exact"/>
        <w:rPr>
          <w:sz w:val="20"/>
          <w:szCs w:val="20"/>
          <w:color w:val="auto"/>
        </w:rPr>
      </w:pPr>
    </w:p>
    <w:p>
      <w:pPr>
        <w:ind w:left="1040" w:right="320" w:hanging="521"/>
        <w:spacing w:after="0" w:line="342" w:lineRule="auto"/>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0840"/>
          </w:cols>
          <w:pgMar w:left="340" w:top="1440" w:right="719" w:bottom="1440" w:gutter="0" w:footer="0" w:header="0"/>
        </w:sectPr>
      </w:pPr>
    </w:p>
    <w:bookmarkStart w:id="99" w:name="page100"/>
    <w:bookmarkEnd w:id="99"/>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September 30, 2022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September 30, 2022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04"/>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60"/>
    </w:lvl>
  </w:abstractNum>
  <w:abstractNum w:abstractNumId="14">
    <w:nsid w:val="2D517796"/>
    <w:multiLevelType w:val="hybridMultilevel"/>
    <w:lvl w:ilvl="0">
      <w:lvlJc w:val="left"/>
      <w:lvlText w:val="(%1)"/>
      <w:numFmt w:val="lowerRoman"/>
      <w:start w:val="1"/>
    </w:lvl>
  </w:abstractNum>
  <w:abstractNum w:abstractNumId="15">
    <w:nsid w:val="580BD78F"/>
    <w:multiLevelType w:val="hybridMultilevel"/>
    <w:lvl w:ilvl="0">
      <w:lvlJc w:val="left"/>
      <w:lvlText w:val="%1."/>
      <w:numFmt w:val="decimal"/>
      <w:start w:val="1"/>
    </w:lvl>
    <w:lvl w:ilvl="1">
      <w:lvlJc w:val="left"/>
      <w:lvlText w:val="%2."/>
      <w:numFmt w:val="lowerRoman"/>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6"/>
    </w:lvl>
  </w:abstractNum>
  <w:abstractNum w:abstractNumId="18">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
    <w:nsid w:val="6A2342E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0">
    <w:nsid w:val="2A487CB0"/>
    <w:multiLevelType w:val="hybridMultilevel"/>
    <w:lvl w:ilvl="0">
      <w:lvlJc w:val="left"/>
      <w:lvlText w:val="%1"/>
      <w:numFmt w:val="decimal"/>
      <w:start w:val="1"/>
    </w:lvl>
    <w:lvl w:ilvl="1">
      <w:lvlJc w:val="left"/>
      <w:lvlText w:val="(%2)"/>
      <w:numFmt w:val="lowerLetter"/>
      <w:start w:val="5"/>
    </w:lvl>
  </w:abstractNum>
  <w:abstractNum w:abstractNumId="21">
    <w:nsid w:val="1D4ED43B"/>
    <w:multiLevelType w:val="hybridMultilevel"/>
    <w:lvl w:ilvl="0">
      <w:lvlJc w:val="left"/>
      <w:lvlText w:val="%1."/>
      <w:numFmt w:val="decimal"/>
      <w:start w:val="2"/>
    </w:lvl>
    <w:lvl w:ilvl="1">
      <w:lvlJc w:val="left"/>
      <w:lvlText w:val="(%2)"/>
      <w:numFmt w:val="lowerLetter"/>
      <w:start w:val="6"/>
    </w:lvl>
  </w:abstractNum>
  <w:abstractNum w:abstractNumId="22">
    <w:nsid w:val="725A06FB"/>
    <w:multiLevelType w:val="hybridMultilevel"/>
    <w:lvl w:ilvl="0">
      <w:lvlJc w:val="left"/>
      <w:lvlText w:val="%1"/>
      <w:numFmt w:val="decimal"/>
      <w:start w:val="1"/>
    </w:lvl>
    <w:lvl w:ilvl="1">
      <w:lvlJc w:val="left"/>
      <w:lvlText w:val="(%2)"/>
      <w:numFmt w:val="lowerLetter"/>
      <w:start w:val="10"/>
    </w:lvl>
  </w:abstractNum>
  <w:abstractNum w:abstractNumId="23">
    <w:nsid w:val="2CD89A32"/>
    <w:multiLevelType w:val="hybridMultilevel"/>
    <w:lvl w:ilvl="0">
      <w:lvlJc w:val="left"/>
      <w:lvlText w:val="%1."/>
      <w:numFmt w:val="decimal"/>
      <w:start w:val="4"/>
    </w:lvl>
    <w:lvl w:ilvl="1">
      <w:lvlJc w:val="left"/>
      <w:lvlText w:val="(%2)"/>
      <w:numFmt w:val="lowerLetter"/>
      <w:start w:val="11"/>
    </w:lvl>
  </w:abstractNum>
  <w:abstractNum w:abstractNumId="24">
    <w:nsid w:val="57E4CCAF"/>
    <w:multiLevelType w:val="hybridMultilevel"/>
    <w:lvl w:ilvl="0">
      <w:lvlJc w:val="left"/>
      <w:lvlText w:val="%1"/>
      <w:numFmt w:val="decimal"/>
      <w:start w:val="1"/>
    </w:lvl>
    <w:lvl w:ilvl="1">
      <w:lvlJc w:val="left"/>
      <w:lvlText w:val="(%2)"/>
      <w:numFmt w:val="lowerLetter"/>
      <w:start w:val="13"/>
    </w:lvl>
  </w:abstractNum>
  <w:abstractNum w:abstractNumId="25">
    <w:nsid w:val="7A6D8D3C"/>
    <w:multiLevelType w:val="hybridMultilevel"/>
    <w:lvl w:ilvl="0">
      <w:lvlJc w:val="left"/>
      <w:lvlText w:val="%1"/>
      <w:numFmt w:val="decimal"/>
      <w:start w:val="1"/>
    </w:lvl>
    <w:lvl w:ilvl="1">
      <w:lvlJc w:val="left"/>
      <w:lvlText w:val="(%2)"/>
      <w:numFmt w:val="lowerLetter"/>
      <w:start w:val="15"/>
    </w:lvl>
  </w:abstractNum>
  <w:abstractNum w:abstractNumId="26">
    <w:nsid w:val="4B588F54"/>
    <w:multiLevelType w:val="hybridMultilevel"/>
    <w:lvl w:ilvl="0">
      <w:lvlJc w:val="left"/>
      <w:lvlText w:val="%1."/>
      <w:numFmt w:val="decimal"/>
      <w:start w:val="6"/>
    </w:lvl>
    <w:lvl w:ilvl="1">
      <w:lvlJc w:val="left"/>
      <w:lvlText w:val="(%2)"/>
      <w:numFmt w:val="lowerLetter"/>
      <w:start w:val="17"/>
    </w:lvl>
  </w:abstractNum>
  <w:abstractNum w:abstractNumId="27">
    <w:nsid w:val="542289EC"/>
    <w:multiLevelType w:val="hybridMultilevel"/>
    <w:lvl w:ilvl="0">
      <w:lvlJc w:val="left"/>
      <w:lvlText w:val="%1"/>
      <w:numFmt w:val="decimal"/>
      <w:start w:val="1"/>
    </w:lvl>
    <w:lvl w:ilvl="1">
      <w:lvlJc w:val="left"/>
      <w:lvlText w:val="(%2)"/>
      <w:numFmt w:val="lowerLetter"/>
      <w:start w:val="22"/>
    </w:lvl>
  </w:abstractNum>
  <w:abstractNum w:abstractNumId="28">
    <w:nsid w:val="6DE91B18"/>
    <w:multiLevelType w:val="hybridMultilevel"/>
    <w:lvl w:ilvl="0">
      <w:lvlJc w:val="left"/>
      <w:lvlText w:val="%1."/>
      <w:numFmt w:val="decimal"/>
      <w:start w:val="7"/>
    </w:lvl>
    <w:lvl w:ilvl="1">
      <w:lvlJc w:val="left"/>
      <w:lvlText w:val="(%2)"/>
      <w:numFmt w:val="lowerLetter"/>
      <w:start w:val="25"/>
    </w:lvl>
  </w:abstractNum>
  <w:abstractNum w:abstractNumId="29">
    <w:nsid w:val="38437FDB"/>
    <w:multiLevelType w:val="hybridMultilevel"/>
    <w:lvl w:ilvl="0">
      <w:lvlJc w:val="left"/>
      <w:lvlText w:val="(%1)"/>
      <w:numFmt w:val="lowerLetter"/>
      <w:start w:val="27"/>
    </w:lvl>
  </w:abstractNum>
  <w:abstractNum w:abstractNumId="30">
    <w:nsid w:val="7644A45C"/>
    <w:multiLevelType w:val="hybridMultilevel"/>
    <w:lvl w:ilvl="0">
      <w:lvlJc w:val="left"/>
      <w:lvlText w:val="%1."/>
      <w:numFmt w:val="decimal"/>
      <w:start w:val="9"/>
    </w:lvl>
  </w:abstractNum>
  <w:abstractNum w:abstractNumId="31">
    <w:nsid w:val="32FFF902"/>
    <w:multiLevelType w:val="hybridMultilevel"/>
    <w:lvl w:ilvl="0">
      <w:lvlJc w:val="left"/>
      <w:lvlText w:val="%1."/>
      <w:numFmt w:val="decimal"/>
      <w:start w:val="10"/>
    </w:lvl>
  </w:abstractNum>
  <w:abstractNum w:abstractNumId="32">
    <w:nsid w:val="684A481A"/>
    <w:multiLevelType w:val="hybridMultilevel"/>
    <w:lvl w:ilvl="0">
      <w:lvlJc w:val="left"/>
      <w:lvlText w:val="%1."/>
      <w:numFmt w:val="decimal"/>
      <w:start w:val="11"/>
    </w:lvl>
  </w:abstractNum>
  <w:abstractNum w:abstractNumId="33">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4">
    <w:nsid w:val="749ABB4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5">
    <w:nsid w:val="3DC240FB"/>
    <w:multiLevelType w:val="hybridMultilevel"/>
    <w:lvl w:ilvl="0">
      <w:lvlJc w:val="left"/>
      <w:lvlText w:val="%1."/>
      <w:numFmt w:val="decimal"/>
      <w:start w:val="2"/>
    </w:lvl>
    <w:lvl w:ilvl="1">
      <w:lvlJc w:val="left"/>
      <w:lvlText w:val="(%2)"/>
      <w:numFmt w:val="lowerLetter"/>
      <w:start w:val="5"/>
    </w:lvl>
  </w:abstractNum>
  <w:abstractNum w:abstractNumId="36">
    <w:nsid w:val="1BA026FA"/>
    <w:multiLevelType w:val="hybridMultilevel"/>
    <w:lvl w:ilvl="0">
      <w:lvlJc w:val="left"/>
      <w:lvlText w:val="%1"/>
      <w:numFmt w:val="decimal"/>
      <w:start w:val="1"/>
    </w:lvl>
    <w:lvl w:ilvl="1">
      <w:lvlJc w:val="left"/>
      <w:lvlText w:val="(%2)"/>
      <w:numFmt w:val="lowerLetter"/>
      <w:start w:val="8"/>
    </w:lvl>
  </w:abstractNum>
  <w:abstractNum w:abstractNumId="37">
    <w:nsid w:val="79A1DEAA"/>
    <w:multiLevelType w:val="hybridMultilevel"/>
    <w:lvl w:ilvl="0">
      <w:lvlJc w:val="left"/>
      <w:lvlText w:val="%1."/>
      <w:numFmt w:val="decimal"/>
      <w:start w:val="4"/>
    </w:lvl>
    <w:lvl w:ilvl="1">
      <w:lvlJc w:val="left"/>
      <w:lvlText w:val="(%2)"/>
      <w:numFmt w:val="lowerLetter"/>
      <w:start w:val="10"/>
    </w:lvl>
  </w:abstractNum>
  <w:abstractNum w:abstractNumId="38">
    <w:nsid w:val="75C6C33A"/>
    <w:multiLevelType w:val="hybridMultilevel"/>
    <w:lvl w:ilvl="0">
      <w:lvlJc w:val="left"/>
      <w:lvlText w:val="%1."/>
      <w:numFmt w:val="decimal"/>
      <w:start w:val="4"/>
    </w:lvl>
    <w:lvl w:ilvl="1">
      <w:lvlJc w:val="left"/>
      <w:lvlText w:val="(%2)"/>
      <w:numFmt w:val="lowerLetter"/>
      <w:start w:val="13"/>
    </w:lvl>
  </w:abstractNum>
  <w:abstractNum w:abstractNumId="39">
    <w:nsid w:val="12E685FB"/>
    <w:multiLevelType w:val="hybridMultilevel"/>
    <w:lvl w:ilvl="0">
      <w:lvlJc w:val="left"/>
      <w:lvlText w:val="%1"/>
      <w:numFmt w:val="decimal"/>
      <w:start w:val="1"/>
    </w:lvl>
    <w:lvl w:ilvl="1">
      <w:lvlJc w:val="left"/>
      <w:lvlText w:val="(%2)"/>
      <w:numFmt w:val="lowerLetter"/>
      <w:start w:val="17"/>
    </w:lvl>
  </w:abstractNum>
  <w:abstractNum w:abstractNumId="40">
    <w:nsid w:val="70C6A529"/>
    <w:multiLevelType w:val="hybridMultilevel"/>
    <w:lvl w:ilvl="0">
      <w:lvlJc w:val="left"/>
      <w:lvlText w:val="(%1)"/>
      <w:numFmt w:val="lowerLetter"/>
      <w:start w:val="18"/>
    </w:lvl>
    <w:lvl w:ilvl="1">
      <w:lvlJc w:val="left"/>
      <w:lvlText w:val="(%2)"/>
      <w:numFmt w:val="lowerRoman"/>
      <w:start w:val="1"/>
    </w:lvl>
  </w:abstractNum>
  <w:abstractNum w:abstractNumId="41">
    <w:nsid w:val="520EEDD1"/>
    <w:multiLevelType w:val="hybridMultilevel"/>
    <w:lvl w:ilvl="0">
      <w:lvlJc w:val="left"/>
      <w:lvlText w:val="%1"/>
      <w:numFmt w:val="lowerLetter"/>
      <w:start w:val="1"/>
    </w:lvl>
    <w:lvl w:ilvl="1">
      <w:lvlJc w:val="left"/>
      <w:lvlText w:val="(%2)"/>
      <w:numFmt w:val="lowerLetter"/>
      <w:start w:val="61"/>
    </w:lvl>
  </w:abstractNum>
  <w:abstractNum w:abstractNumId="42">
    <w:nsid w:val="374A3FE6"/>
    <w:multiLevelType w:val="hybridMultilevel"/>
    <w:lvl w:ilvl="0">
      <w:lvlJc w:val="left"/>
      <w:lvlText w:val="(%1)"/>
      <w:numFmt w:val="lowerLetter"/>
      <w:start w:val="20"/>
    </w:lvl>
    <w:lvl w:ilvl="1">
      <w:lvlJc w:val="left"/>
      <w:lvlText w:val="%2"/>
      <w:numFmt w:val="lowerLetter"/>
      <w:start w:val="1"/>
    </w:lvl>
  </w:abstractNum>
  <w:abstractNum w:abstractNumId="43">
    <w:nsid w:val="4F4EF005"/>
    <w:multiLevelType w:val="hybridMultilevel"/>
    <w:lvl w:ilvl="0">
      <w:lvlJc w:val="left"/>
      <w:lvlText w:val="%1."/>
      <w:numFmt w:val="decimal"/>
      <w:start w:val="6"/>
    </w:lvl>
    <w:lvl w:ilvl="1">
      <w:lvlJc w:val="left"/>
      <w:lvlText w:val="(%2)"/>
      <w:numFmt w:val="lowerLetter"/>
      <w:start w:val="26"/>
    </w:lvl>
  </w:abstractNum>
  <w:abstractNum w:abstractNumId="44">
    <w:nsid w:val="23F9C13C"/>
    <w:multiLevelType w:val="hybridMultilevel"/>
    <w:lvl w:ilvl="0">
      <w:lvlJc w:val="left"/>
      <w:lvlText w:val="(%1)"/>
      <w:numFmt w:val="lowerLetter"/>
      <w:start w:val="27"/>
    </w:lvl>
  </w:abstractNum>
  <w:abstractNum w:abstractNumId="45">
    <w:nsid w:val="649BB77C"/>
    <w:multiLevelType w:val="hybridMultilevel"/>
    <w:lvl w:ilvl="0">
      <w:lvlJc w:val="left"/>
      <w:lvlText w:val="%1."/>
      <w:numFmt w:val="decimal"/>
      <w:start w:val="8"/>
    </w:lvl>
  </w:abstractNum>
  <w:abstractNum w:abstractNumId="46">
    <w:nsid w:val="275AC794"/>
    <w:multiLevelType w:val="hybridMultilevel"/>
    <w:lvl w:ilvl="0">
      <w:lvlJc w:val="left"/>
      <w:lvlText w:val="%1."/>
      <w:numFmt w:val="decimal"/>
      <w:start w:val="9"/>
    </w:lvl>
  </w:abstractNum>
  <w:abstractNum w:abstractNumId="47">
    <w:nsid w:val="39386575"/>
    <w:multiLevelType w:val="hybridMultilevel"/>
    <w:lvl w:ilvl="0">
      <w:lvlJc w:val="left"/>
      <w:lvlText w:val="%1."/>
      <w:numFmt w:val="decimal"/>
      <w:start w:val="10"/>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3"/>
    </w:lvl>
    <w:lvl w:ilvl="1">
      <w:lvlJc w:val="left"/>
      <w:lvlText w:val="(%2)"/>
      <w:numFmt w:val="lowerLetter"/>
      <w:start w:val="9"/>
    </w:lvl>
  </w:abstractNum>
  <w:abstractNum w:abstractNumId="50">
    <w:nsid w:val="235BA861"/>
    <w:multiLevelType w:val="hybridMultilevel"/>
    <w:lvl w:ilvl="0">
      <w:lvlJc w:val="left"/>
      <w:lvlText w:val="(%1)"/>
      <w:numFmt w:val="lowerLetter"/>
      <w:start w:val="4"/>
    </w:lvl>
  </w:abstractNum>
  <w:abstractNum w:abstractNumId="51">
    <w:nsid w:val="47398C89"/>
    <w:multiLevelType w:val="hybridMultilevel"/>
    <w:lvl w:ilvl="0">
      <w:lvlJc w:val="left"/>
      <w:lvlText w:val="(%1)"/>
      <w:numFmt w:val="lowerLetter"/>
      <w:start w:val="5"/>
    </w:lvl>
  </w:abstractNum>
  <w:abstractNum w:abstractNumId="52">
    <w:nsid w:val="354FE9F9"/>
    <w:multiLevelType w:val="hybridMultilevel"/>
    <w:lvl w:ilvl="0">
      <w:lvlJc w:val="left"/>
      <w:lvlText w:val="(%1)"/>
      <w:numFmt w:val="lowerRoman"/>
      <w:start w:val="2"/>
    </w:lvl>
  </w:abstractNum>
  <w:abstractNum w:abstractNumId="53">
    <w:nsid w:val="15B5AF5C"/>
    <w:multiLevelType w:val="hybridMultilevel"/>
    <w:lvl w:ilvl="0">
      <w:lvlJc w:val="left"/>
      <w:lvlText w:val="(%1)"/>
      <w:numFmt w:val="lowerLetter"/>
      <w:start w:val="7"/>
    </w:lvl>
  </w:abstractNum>
  <w:abstractNum w:abstractNumId="54">
    <w:nsid w:val="741226BB"/>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4"/>
    </w:lvl>
  </w:abstractNum>
  <w:abstractNum w:abstractNumId="55">
    <w:nsid w:val="D34B6A8"/>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56">
    <w:nsid w:val="10233C99"/>
    <w:multiLevelType w:val="hybridMultilevel"/>
    <w:lvl w:ilvl="0">
      <w:lvlJc w:val="left"/>
      <w:lvlText w:val="%1"/>
      <w:numFmt w:val="lowerRoman"/>
      <w:start w:val="1"/>
    </w:lvl>
    <w:lvl w:ilvl="1">
      <w:lvlJc w:val="left"/>
      <w:lvlText w:val="(%2)"/>
      <w:numFmt w:val="lowerRoman"/>
      <w:start w:val="6"/>
    </w:lvl>
  </w:abstractNum>
  <w:abstractNum w:abstractNumId="57">
    <w:nsid w:val="3F6AB60F"/>
    <w:multiLevelType w:val="hybridMultilevel"/>
    <w:lvl w:ilvl="0">
      <w:lvlJc w:val="left"/>
      <w:lvlText w:val="(%1)"/>
      <w:numFmt w:val="lowerRoman"/>
      <w:start w:val="1"/>
    </w:lvl>
    <w:lvl w:ilvl="1">
      <w:lvlJc w:val="left"/>
      <w:lvlText w:val="%2"/>
      <w:numFmt w:val="lowerRoman"/>
      <w:start w:val="1"/>
    </w:lvl>
  </w:abstractNum>
  <w:abstractNum w:abstractNumId="58">
    <w:nsid w:val="61574095"/>
    <w:multiLevelType w:val="hybridMultilevel"/>
    <w:lvl w:ilvl="0">
      <w:lvlJc w:val="left"/>
      <w:lvlText w:val="(%1)"/>
      <w:numFmt w:val="lowerLetter"/>
      <w:start w:val="10"/>
    </w:lvl>
  </w:abstractNum>
  <w:abstractNum w:abstractNumId="59">
    <w:nsid w:val="7E0C57B1"/>
    <w:multiLevelType w:val="hybridMultilevel"/>
    <w:lvl w:ilvl="0">
      <w:lvlJc w:val="left"/>
      <w:lvlText w:val="%1."/>
      <w:numFmt w:val="decimal"/>
      <w:start w:val="1"/>
    </w:lvl>
    <w:lvl w:ilvl="1">
      <w:lvlJc w:val="left"/>
      <w:lvlText w:val="(%2)"/>
      <w:numFmt w:val="lowerLetter"/>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jpeg"/><Relationship Id="rId78" Type="http://schemas.openxmlformats.org/officeDocument/2006/relationships/image" Target="media/image65.jpe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69" Type="http://schemas.openxmlformats.org/officeDocument/2006/relationships/hyperlink" Target="https://www.sec.gov/Archives/edgar/data/1816581/000119312521036740/d10549ds4a.htm#rom10549_42" TargetMode="External"/><Relationship Id="rId70" Type="http://schemas.openxmlformats.org/officeDocument/2006/relationships/hyperlink" Target="https://www.sec.gov/Archives/edgar/data/1816581/000119312522278440/d386513dex21.htm" TargetMode="External"/><Relationship Id="rId71" Type="http://schemas.openxmlformats.org/officeDocument/2006/relationships/hyperlink" Target="https://www.sec.gov/Archives/edgar/data/0001816581/000119312521076326/d149743dex31.htm" TargetMode="External"/><Relationship Id="rId72" Type="http://schemas.openxmlformats.org/officeDocument/2006/relationships/hyperlink" Target="https://www.sec.gov/Archives/edgar/data/0001816581/000119312521076326/d149743dex32.htm" TargetMode="External"/><Relationship Id="rId73" Type="http://schemas.openxmlformats.org/officeDocument/2006/relationships/hyperlink" Target="https://www.sec.gov/Archives/edgar/data/1816581/000119312522278440/d386513dex101.htm" TargetMode="External"/><Relationship Id="rId74" Type="http://schemas.openxmlformats.org/officeDocument/2006/relationships/hyperlink" Target="https://www.sec.gov/Archives/edgar/data/1816581/000119312522278440/d38651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2022-11-08T17:56:06Z</dcterms:created>
  <dcterms:modified xsi:type="dcterms:W3CDTF">2022-11-08T17:56:06Z</dcterms:modified>
</cp:coreProperties>
</file>