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900" w:type="dxa"/>
        <w:tblCellMar>
          <w:top w:w="0" w:type="dxa"/>
          <w:left w:w="0" w:type="dxa"/>
          <w:bottom w:w="0" w:type="dxa"/>
          <w:right w:w="0" w:type="dxa"/>
        </w:tblCellMar>
      </w:tblPr>
      <w:tr>
        <w:trPr>
          <w:trHeight w:val="283"/>
        </w:trPr>
        <w:tc>
          <w:tcPr>
            <w:tcW w:w="5440" w:type="dxa"/>
            <w:vAlign w:val="bottom"/>
            <w:gridSpan w:val="2"/>
          </w:tcPr>
          <w:p>
            <w:pPr>
              <w:jc w:val="center"/>
              <w:ind w:right="1000"/>
              <w:spacing w:after="0"/>
              <w:rPr>
                <w:sz w:val="20"/>
                <w:szCs w:val="20"/>
                <w:color w:val="auto"/>
              </w:rPr>
            </w:pPr>
            <w:r>
              <w:rPr>
                <w:rFonts w:ascii="Arial" w:cs="Arial" w:eastAsia="Arial" w:hAnsi="Arial"/>
                <w:sz w:val="22"/>
                <w:szCs w:val="22"/>
                <w:color w:val="auto"/>
                <w:w w:val="92"/>
              </w:rPr>
              <w:t>UNITED STATES</w:t>
            </w:r>
          </w:p>
        </w:tc>
        <w:tc>
          <w:tcPr>
            <w:tcW w:w="18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OMB APPROVAL</w:t>
            </w:r>
          </w:p>
        </w:tc>
        <w:tc>
          <w:tcPr>
            <w:tcW w:w="1780" w:type="dxa"/>
            <w:vAlign w:val="bottom"/>
            <w:tcBorders>
              <w:top w:val="single" w:sz="8" w:color="2C2C2C"/>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Borders>
              <w:bottom w:val="single" w:sz="8" w:color="2C2C2C"/>
            </w:tcBorders>
          </w:tcPr>
          <w:p>
            <w:pPr>
              <w:spacing w:after="0" w:line="20" w:lineRule="exact"/>
              <w:rPr>
                <w:sz w:val="1"/>
                <w:szCs w:val="1"/>
                <w:color w:val="auto"/>
              </w:rPr>
            </w:pPr>
          </w:p>
        </w:tc>
        <w:tc>
          <w:tcPr>
            <w:tcW w:w="1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3"/>
        </w:trPr>
        <w:tc>
          <w:tcPr>
            <w:tcW w:w="5440" w:type="dxa"/>
            <w:vAlign w:val="bottom"/>
            <w:gridSpan w:val="2"/>
          </w:tcPr>
          <w:p>
            <w:pPr>
              <w:jc w:val="center"/>
              <w:ind w:right="1000"/>
              <w:spacing w:after="0"/>
              <w:rPr>
                <w:sz w:val="20"/>
                <w:szCs w:val="20"/>
                <w:color w:val="auto"/>
              </w:rPr>
            </w:pPr>
            <w:r>
              <w:rPr>
                <w:rFonts w:ascii="Arial" w:cs="Arial" w:eastAsia="Arial" w:hAnsi="Arial"/>
                <w:sz w:val="22"/>
                <w:szCs w:val="22"/>
                <w:color w:val="auto"/>
                <w:w w:val="95"/>
              </w:rPr>
              <w:t>SECURITIES AND EXCHANGE COMMISSION</w:t>
            </w:r>
          </w:p>
        </w:tc>
        <w:tc>
          <w:tcPr>
            <w:tcW w:w="1860" w:type="dxa"/>
            <w:vAlign w:val="bottom"/>
          </w:tcPr>
          <w:p>
            <w:pPr>
              <w:ind w:left="60"/>
              <w:spacing w:after="0"/>
              <w:rPr>
                <w:sz w:val="20"/>
                <w:szCs w:val="20"/>
                <w:color w:val="auto"/>
              </w:rPr>
            </w:pPr>
            <w:r>
              <w:rPr>
                <w:rFonts w:ascii="Arial" w:cs="Arial" w:eastAsia="Arial" w:hAnsi="Arial"/>
                <w:sz w:val="22"/>
                <w:szCs w:val="22"/>
                <w:color w:val="auto"/>
              </w:rPr>
              <w:t>OMB Number:</w:t>
            </w:r>
          </w:p>
        </w:tc>
        <w:tc>
          <w:tcPr>
            <w:tcW w:w="1780" w:type="dxa"/>
            <w:vAlign w:val="bottom"/>
          </w:tcPr>
          <w:p>
            <w:pPr>
              <w:ind w:left="180"/>
              <w:spacing w:after="0"/>
              <w:rPr>
                <w:sz w:val="20"/>
                <w:szCs w:val="20"/>
                <w:color w:val="auto"/>
              </w:rPr>
            </w:pPr>
            <w:r>
              <w:rPr>
                <w:rFonts w:ascii="Arial" w:cs="Arial" w:eastAsia="Arial" w:hAnsi="Arial"/>
                <w:sz w:val="22"/>
                <w:szCs w:val="22"/>
                <w:color w:val="auto"/>
              </w:rPr>
              <w:t>3235-0080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440" w:type="dxa"/>
            <w:vAlign w:val="bottom"/>
            <w:gridSpan w:val="2"/>
            <w:vMerge w:val="restart"/>
          </w:tcPr>
          <w:p>
            <w:pPr>
              <w:jc w:val="center"/>
              <w:ind w:right="1000"/>
              <w:spacing w:after="0"/>
              <w:rPr>
                <w:sz w:val="20"/>
                <w:szCs w:val="20"/>
                <w:color w:val="auto"/>
              </w:rPr>
            </w:pPr>
            <w:r>
              <w:rPr>
                <w:rFonts w:ascii="Arial" w:cs="Arial" w:eastAsia="Arial" w:hAnsi="Arial"/>
                <w:sz w:val="22"/>
                <w:szCs w:val="22"/>
                <w:color w:val="auto"/>
                <w:w w:val="88"/>
              </w:rPr>
              <w:t>Washington, D.C. 20549</w:t>
            </w:r>
          </w:p>
        </w:tc>
        <w:tc>
          <w:tcPr>
            <w:tcW w:w="1860" w:type="dxa"/>
            <w:vAlign w:val="bottom"/>
          </w:tcPr>
          <w:p>
            <w:pPr>
              <w:ind w:left="60"/>
              <w:spacing w:after="0"/>
              <w:rPr>
                <w:sz w:val="20"/>
                <w:szCs w:val="20"/>
                <w:color w:val="auto"/>
              </w:rPr>
            </w:pPr>
            <w:r>
              <w:rPr>
                <w:rFonts w:ascii="Arial" w:cs="Arial" w:eastAsia="Arial" w:hAnsi="Arial"/>
                <w:sz w:val="22"/>
                <w:szCs w:val="22"/>
                <w:color w:val="auto"/>
              </w:rPr>
              <w:t>Expires:</w:t>
            </w:r>
          </w:p>
        </w:tc>
        <w:tc>
          <w:tcPr>
            <w:tcW w:w="1780" w:type="dxa"/>
            <w:vAlign w:val="bottom"/>
          </w:tcPr>
          <w:p>
            <w:pPr>
              <w:ind w:left="100"/>
              <w:spacing w:after="0"/>
              <w:rPr>
                <w:sz w:val="20"/>
                <w:szCs w:val="20"/>
                <w:color w:val="auto"/>
              </w:rPr>
            </w:pPr>
            <w:r>
              <w:rPr>
                <w:rFonts w:ascii="Arial" w:cs="Arial" w:eastAsia="Arial" w:hAnsi="Arial"/>
                <w:sz w:val="22"/>
                <w:szCs w:val="22"/>
                <w:color w:val="auto"/>
              </w:rPr>
              <w:t>March 31, 2018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5440" w:type="dxa"/>
            <w:vAlign w:val="bottom"/>
            <w:gridSpan w:val="2"/>
            <w:vMerge w:val="continue"/>
          </w:tcPr>
          <w:p>
            <w:pPr>
              <w:spacing w:after="0"/>
              <w:rPr>
                <w:sz w:val="17"/>
                <w:szCs w:val="17"/>
                <w:color w:val="auto"/>
              </w:rPr>
            </w:pPr>
          </w:p>
        </w:tc>
        <w:tc>
          <w:tcPr>
            <w:tcW w:w="364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 burden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5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9"/>
        </w:trPr>
        <w:tc>
          <w:tcPr>
            <w:tcW w:w="5440" w:type="dxa"/>
            <w:vAlign w:val="bottom"/>
            <w:gridSpan w:val="2"/>
          </w:tcPr>
          <w:p>
            <w:pPr>
              <w:jc w:val="center"/>
              <w:ind w:right="1000"/>
              <w:spacing w:after="0"/>
              <w:rPr>
                <w:sz w:val="20"/>
                <w:szCs w:val="20"/>
                <w:color w:val="auto"/>
              </w:rPr>
            </w:pPr>
            <w:r>
              <w:rPr>
                <w:rFonts w:ascii="Arial" w:cs="Arial" w:eastAsia="Arial" w:hAnsi="Arial"/>
                <w:sz w:val="22"/>
                <w:szCs w:val="22"/>
                <w:color w:val="auto"/>
                <w:w w:val="92"/>
              </w:rPr>
              <w:t>FORM 25</w:t>
            </w:r>
          </w:p>
        </w:tc>
        <w:tc>
          <w:tcPr>
            <w:tcW w:w="1860" w:type="dxa"/>
            <w:vAlign w:val="bottom"/>
            <w:tcBorders>
              <w:bottom w:val="single" w:sz="8" w:color="808080"/>
            </w:tcBorders>
          </w:tcPr>
          <w:p>
            <w:pPr>
              <w:ind w:left="60"/>
              <w:spacing w:after="0"/>
              <w:rPr>
                <w:sz w:val="20"/>
                <w:szCs w:val="20"/>
                <w:color w:val="auto"/>
              </w:rPr>
            </w:pPr>
            <w:r>
              <w:rPr>
                <w:rFonts w:ascii="Arial" w:cs="Arial" w:eastAsia="Arial" w:hAnsi="Arial"/>
                <w:sz w:val="22"/>
                <w:szCs w:val="22"/>
                <w:color w:val="auto"/>
                <w:w w:val="90"/>
              </w:rPr>
              <w:t>hours per response:</w:t>
            </w:r>
          </w:p>
        </w:tc>
        <w:tc>
          <w:tcPr>
            <w:tcW w:w="1780" w:type="dxa"/>
            <w:vAlign w:val="bottom"/>
            <w:tcBorders>
              <w:bottom w:val="single" w:sz="8" w:color="808080"/>
            </w:tcBorders>
          </w:tcPr>
          <w:p>
            <w:pPr>
              <w:ind w:left="180"/>
              <w:spacing w:after="0"/>
              <w:rPr>
                <w:sz w:val="20"/>
                <w:szCs w:val="20"/>
                <w:color w:val="auto"/>
              </w:rPr>
            </w:pPr>
            <w:r>
              <w:rPr>
                <w:rFonts w:ascii="Arial" w:cs="Arial" w:eastAsia="Arial" w:hAnsi="Arial"/>
                <w:sz w:val="22"/>
                <w:szCs w:val="22"/>
                <w:color w:val="auto"/>
              </w:rPr>
              <w:t>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4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60" w:type="dxa"/>
            <w:vAlign w:val="bottom"/>
            <w:tcBorders>
              <w:bottom w:val="single" w:sz="8" w:color="2C2C2C"/>
            </w:tcBorders>
          </w:tcPr>
          <w:p>
            <w:pPr>
              <w:spacing w:after="0" w:line="20" w:lineRule="exact"/>
              <w:rPr>
                <w:sz w:val="1"/>
                <w:szCs w:val="1"/>
                <w:color w:val="auto"/>
              </w:rPr>
            </w:pPr>
          </w:p>
        </w:tc>
        <w:tc>
          <w:tcPr>
            <w:tcW w:w="1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4580255</wp:posOffset>
            </wp:positionH>
            <wp:positionV relativeFrom="page">
              <wp:posOffset>182880</wp:posOffset>
            </wp:positionV>
            <wp:extent cx="2366010" cy="10629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66010" cy="1062990"/>
                    </a:xfrm>
                    <a:prstGeom prst="rect">
                      <a:avLst/>
                    </a:prstGeom>
                    <a:noFill/>
                  </pic:spPr>
                </pic:pic>
              </a:graphicData>
            </a:graphic>
          </wp:anchor>
        </w:drawing>
      </w:r>
    </w:p>
    <w:p>
      <w:pPr>
        <w:ind w:left="1520"/>
        <w:spacing w:after="0"/>
        <w:rPr>
          <w:sz w:val="20"/>
          <w:szCs w:val="20"/>
          <w:color w:val="auto"/>
        </w:rPr>
      </w:pPr>
      <w:r>
        <w:rPr>
          <w:rFonts w:ascii="Arial" w:cs="Arial" w:eastAsia="Arial" w:hAnsi="Arial"/>
          <w:sz w:val="22"/>
          <w:szCs w:val="22"/>
          <w:color w:val="auto"/>
        </w:rPr>
        <w:t>NOTIFICATION OF REMOVAL FROM LISTING AND/OR REGISTRATION</w:t>
      </w:r>
    </w:p>
    <w:p>
      <w:pPr>
        <w:spacing w:after="0" w:line="8" w:lineRule="exact"/>
        <w:rPr>
          <w:sz w:val="24"/>
          <w:szCs w:val="24"/>
          <w:color w:val="auto"/>
        </w:rPr>
      </w:pPr>
    </w:p>
    <w:p>
      <w:pPr>
        <w:ind w:left="1560"/>
        <w:spacing w:after="0"/>
        <w:rPr>
          <w:sz w:val="20"/>
          <w:szCs w:val="20"/>
          <w:color w:val="auto"/>
        </w:rPr>
      </w:pPr>
      <w:r>
        <w:rPr>
          <w:rFonts w:ascii="Arial" w:cs="Arial" w:eastAsia="Arial" w:hAnsi="Arial"/>
          <w:sz w:val="22"/>
          <w:szCs w:val="22"/>
          <w:color w:val="auto"/>
        </w:rPr>
        <w:t>UNDER SECTION 12(b) OF THE SECURITIES EXCHANGE ACT OF 1934.</w:t>
      </w:r>
    </w:p>
    <w:p>
      <w:pPr>
        <w:spacing w:after="0" w:line="26" w:lineRule="exact"/>
        <w:rPr>
          <w:sz w:val="24"/>
          <w:szCs w:val="24"/>
          <w:color w:val="auto"/>
        </w:rPr>
      </w:pPr>
    </w:p>
    <w:p>
      <w:pPr>
        <w:ind w:left="4000"/>
        <w:spacing w:after="0"/>
        <w:rPr>
          <w:rFonts w:ascii="Arial" w:cs="Arial" w:eastAsia="Arial" w:hAnsi="Arial"/>
          <w:sz w:val="22"/>
          <w:szCs w:val="22"/>
          <w:color w:val="auto"/>
        </w:rPr>
      </w:pPr>
      <w:r>
        <w:rPr>
          <w:rFonts w:ascii="Arial" w:cs="Arial" w:eastAsia="Arial" w:hAnsi="Arial"/>
          <w:sz w:val="22"/>
          <w:szCs w:val="22"/>
          <w:color w:val="auto"/>
        </w:rPr>
        <w:t xml:space="preserve">Commission File Number </w:t>
      </w:r>
      <w:hyperlink r:id="rId9">
        <w:r>
          <w:rPr>
            <w:rFonts w:ascii="Arial" w:cs="Arial" w:eastAsia="Arial" w:hAnsi="Arial"/>
            <w:sz w:val="22"/>
            <w:szCs w:val="22"/>
            <w:u w:val="single" w:color="auto"/>
            <w:color w:val="0000EE"/>
          </w:rPr>
          <w:t>001-39463</w:t>
        </w:r>
      </w:hyperlink>
    </w:p>
    <w:p>
      <w:pPr>
        <w:spacing w:after="0" w:line="125" w:lineRule="exact"/>
        <w:rPr>
          <w:sz w:val="24"/>
          <w:szCs w:val="24"/>
          <w:color w:val="auto"/>
        </w:rPr>
      </w:pPr>
    </w:p>
    <w:p>
      <w:pPr>
        <w:ind w:left="2700"/>
        <w:spacing w:after="0"/>
        <w:tabs>
          <w:tab w:leader="none" w:pos="3660" w:val="left"/>
        </w:tabs>
        <w:rPr>
          <w:rFonts w:ascii="Arial" w:cs="Arial" w:eastAsia="Arial" w:hAnsi="Arial"/>
          <w:sz w:val="22"/>
          <w:szCs w:val="22"/>
          <w:color w:val="0000EE"/>
        </w:rPr>
      </w:pPr>
      <w:r>
        <w:rPr>
          <w:rFonts w:ascii="Arial" w:cs="Arial" w:eastAsia="Arial" w:hAnsi="Arial"/>
          <w:sz w:val="22"/>
          <w:szCs w:val="22"/>
          <w:color w:val="auto"/>
        </w:rPr>
        <w:t>Issuer:</w:t>
      </w:r>
      <w:r>
        <w:rPr>
          <w:sz w:val="20"/>
          <w:szCs w:val="20"/>
          <w:color w:val="auto"/>
        </w:rPr>
        <w:tab/>
      </w:r>
      <w:hyperlink r:id="rId10">
        <w:r>
          <w:rPr>
            <w:rFonts w:ascii="Arial" w:cs="Arial" w:eastAsia="Arial" w:hAnsi="Arial"/>
            <w:sz w:val="22"/>
            <w:szCs w:val="22"/>
            <w:u w:val="single" w:color="auto"/>
            <w:color w:val="0000EE"/>
          </w:rPr>
          <w:t>Colonnade Acquisition Corp</w:t>
        </w:r>
        <w:r>
          <w:rPr>
            <w:rFonts w:ascii="Arial" w:cs="Arial" w:eastAsia="Arial" w:hAnsi="Arial"/>
            <w:sz w:val="22"/>
            <w:szCs w:val="22"/>
            <w:color w:val="0000EE"/>
          </w:rPr>
          <w:t>.</w:t>
        </w:r>
      </w:hyperlink>
    </w:p>
    <w:p>
      <w:pPr>
        <w:spacing w:after="0" w:line="44" w:lineRule="exact"/>
        <w:rPr>
          <w:sz w:val="24"/>
          <w:szCs w:val="24"/>
          <w:color w:val="auto"/>
        </w:rPr>
      </w:pPr>
    </w:p>
    <w:p>
      <w:pPr>
        <w:ind w:left="2700"/>
        <w:spacing w:after="0"/>
        <w:rPr>
          <w:sz w:val="20"/>
          <w:szCs w:val="20"/>
          <w:color w:val="auto"/>
        </w:rPr>
      </w:pPr>
      <w:r>
        <w:rPr>
          <w:rFonts w:ascii="Arial" w:cs="Arial" w:eastAsia="Arial" w:hAnsi="Arial"/>
          <w:sz w:val="22"/>
          <w:szCs w:val="22"/>
          <w:color w:val="auto"/>
        </w:rPr>
        <w:t>Exchange: NEW YORK STOCK EXCHANGE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41275</wp:posOffset>
            </wp:positionV>
            <wp:extent cx="55378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92" w:lineRule="exact"/>
        <w:rPr>
          <w:sz w:val="24"/>
          <w:szCs w:val="24"/>
          <w:color w:val="auto"/>
        </w:rPr>
      </w:pPr>
    </w:p>
    <w:p>
      <w:pPr>
        <w:ind w:left="900"/>
        <w:spacing w:after="0"/>
        <w:rPr>
          <w:sz w:val="20"/>
          <w:szCs w:val="20"/>
          <w:color w:val="auto"/>
        </w:rPr>
      </w:pPr>
      <w:r>
        <w:rPr>
          <w:rFonts w:ascii="Arial" w:cs="Arial" w:eastAsia="Arial" w:hAnsi="Arial"/>
          <w:sz w:val="21"/>
          <w:szCs w:val="21"/>
          <w:color w:val="auto"/>
        </w:rPr>
        <w:t>(Exact name of Issuer as specified in its charter, and name of Exchange where security is listed</w:t>
      </w:r>
    </w:p>
    <w:p>
      <w:pPr>
        <w:spacing w:after="0" w:line="20"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and/or registered)</w:t>
      </w:r>
    </w:p>
    <w:p>
      <w:pPr>
        <w:spacing w:after="0" w:line="67" w:lineRule="exact"/>
        <w:rPr>
          <w:sz w:val="24"/>
          <w:szCs w:val="24"/>
          <w:color w:val="auto"/>
        </w:rPr>
      </w:pPr>
    </w:p>
    <w:p>
      <w:pPr>
        <w:ind w:left="2800"/>
        <w:spacing w:after="0"/>
        <w:rPr>
          <w:sz w:val="20"/>
          <w:szCs w:val="20"/>
          <w:color w:val="auto"/>
        </w:rPr>
      </w:pPr>
      <w:r>
        <w:rPr>
          <w:rFonts w:ascii="Arial" w:cs="Arial" w:eastAsia="Arial" w:hAnsi="Arial"/>
          <w:sz w:val="22"/>
          <w:szCs w:val="22"/>
          <w:color w:val="auto"/>
        </w:rPr>
        <w:t>Address: 1400 Centrepark Blvd</w:t>
      </w:r>
    </w:p>
    <w:p>
      <w:pPr>
        <w:spacing w:after="0" w:line="44" w:lineRule="exact"/>
        <w:rPr>
          <w:sz w:val="24"/>
          <w:szCs w:val="24"/>
          <w:color w:val="auto"/>
        </w:rPr>
      </w:pPr>
    </w:p>
    <w:p>
      <w:pPr>
        <w:jc w:val="center"/>
        <w:ind w:right="-359"/>
        <w:spacing w:after="0"/>
        <w:rPr>
          <w:sz w:val="20"/>
          <w:szCs w:val="20"/>
          <w:color w:val="auto"/>
        </w:rPr>
      </w:pPr>
      <w:r>
        <w:rPr>
          <w:rFonts w:ascii="Arial" w:cs="Arial" w:eastAsia="Arial" w:hAnsi="Arial"/>
          <w:sz w:val="22"/>
          <w:szCs w:val="22"/>
          <w:color w:val="auto"/>
        </w:rPr>
        <w:t>West Palm Beach FLORIDA 33401</w:t>
      </w:r>
    </w:p>
    <w:p>
      <w:pPr>
        <w:spacing w:after="0" w:line="44" w:lineRule="exact"/>
        <w:rPr>
          <w:sz w:val="24"/>
          <w:szCs w:val="24"/>
          <w:color w:val="auto"/>
        </w:rPr>
      </w:pPr>
    </w:p>
    <w:tbl>
      <w:tblPr>
        <w:tblLayout w:type="fixed"/>
        <w:tblInd w:w="1900" w:type="dxa"/>
        <w:tblCellMar>
          <w:top w:w="0" w:type="dxa"/>
          <w:left w:w="0" w:type="dxa"/>
          <w:bottom w:w="0" w:type="dxa"/>
          <w:right w:w="0" w:type="dxa"/>
        </w:tblCellMar>
      </w:tblPr>
      <w:tr>
        <w:trPr>
          <w:trHeight w:val="274"/>
        </w:trPr>
        <w:tc>
          <w:tcPr>
            <w:tcW w:w="3300" w:type="dxa"/>
            <w:vAlign w:val="bottom"/>
          </w:tcPr>
          <w:p>
            <w:pPr>
              <w:spacing w:after="0"/>
              <w:rPr>
                <w:sz w:val="20"/>
                <w:szCs w:val="20"/>
                <w:color w:val="auto"/>
              </w:rPr>
            </w:pPr>
            <w:r>
              <w:rPr>
                <w:rFonts w:ascii="Arial" w:cs="Arial" w:eastAsia="Arial" w:hAnsi="Arial"/>
                <w:sz w:val="22"/>
                <w:szCs w:val="22"/>
                <w:color w:val="auto"/>
              </w:rPr>
              <w:t>Telephone number:</w:t>
            </w:r>
          </w:p>
        </w:tc>
        <w:tc>
          <w:tcPr>
            <w:tcW w:w="2920" w:type="dxa"/>
            <w:vAlign w:val="bottom"/>
          </w:tcPr>
          <w:p>
            <w:pPr>
              <w:jc w:val="right"/>
              <w:spacing w:after="0"/>
              <w:rPr>
                <w:sz w:val="20"/>
                <w:szCs w:val="20"/>
                <w:color w:val="auto"/>
              </w:rPr>
            </w:pPr>
            <w:r>
              <w:rPr>
                <w:rFonts w:ascii="Arial" w:cs="Arial" w:eastAsia="Arial" w:hAnsi="Arial"/>
                <w:sz w:val="22"/>
                <w:szCs w:val="22"/>
                <w:color w:val="auto"/>
              </w:rPr>
              <w:t>(561)712-7860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27940</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jc w:val="center"/>
        <w:spacing w:after="0" w:line="250" w:lineRule="auto"/>
        <w:rPr>
          <w:sz w:val="20"/>
          <w:szCs w:val="20"/>
          <w:color w:val="auto"/>
        </w:rPr>
      </w:pPr>
      <w:r>
        <w:rPr>
          <w:rFonts w:ascii="Arial" w:cs="Arial" w:eastAsia="Arial" w:hAnsi="Arial"/>
          <w:sz w:val="22"/>
          <w:szCs w:val="22"/>
          <w:color w:val="auto"/>
        </w:rPr>
        <w:t>(Address, including zip code, and telephone number, including area code, of Issuer's principal executive offices)</w:t>
      </w:r>
    </w:p>
    <w:p>
      <w:pPr>
        <w:spacing w:after="0" w:line="13" w:lineRule="exact"/>
        <w:rPr>
          <w:sz w:val="24"/>
          <w:szCs w:val="24"/>
          <w:color w:val="auto"/>
        </w:rPr>
      </w:pPr>
    </w:p>
    <w:p>
      <w:pPr>
        <w:jc w:val="center"/>
        <w:spacing w:after="0" w:line="313" w:lineRule="auto"/>
        <w:rPr>
          <w:sz w:val="20"/>
          <w:szCs w:val="20"/>
          <w:color w:val="auto"/>
        </w:rPr>
      </w:pPr>
      <w:r>
        <w:rPr>
          <w:rFonts w:ascii="Arial" w:cs="Arial" w:eastAsia="Arial" w:hAnsi="Arial"/>
          <w:sz w:val="22"/>
          <w:szCs w:val="22"/>
          <w:color w:val="auto"/>
        </w:rPr>
        <w:t>Units, each consisting of one Class A ordinary share and one-half of one redeemable warrant (Description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-241935</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ind w:right="140"/>
        <w:spacing w:after="0" w:line="250" w:lineRule="auto"/>
        <w:rPr>
          <w:sz w:val="20"/>
          <w:szCs w:val="20"/>
          <w:color w:val="auto"/>
        </w:rPr>
      </w:pPr>
      <w:r>
        <w:rPr>
          <w:rFonts w:ascii="Arial" w:cs="Arial" w:eastAsia="Arial" w:hAnsi="Arial"/>
          <w:sz w:val="22"/>
          <w:szCs w:val="22"/>
          <w:color w:val="auto"/>
        </w:rPr>
        <w:t>Please place an X in the box to designate the rule provision relied upon to strike the class of securities from listing and registration:</w:t>
      </w:r>
    </w:p>
    <w:p>
      <w:pPr>
        <w:spacing w:after="0" w:line="188"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240.12d2-2(a)(1)</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240.12d2-2(a)(2)</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240.12d2-2(a)(3)</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240.12d2-2(a)(4)</w:t>
      </w:r>
    </w:p>
    <w:p>
      <w:pPr>
        <w:spacing w:after="0" w:line="179" w:lineRule="exact"/>
        <w:rPr>
          <w:sz w:val="24"/>
          <w:szCs w:val="24"/>
          <w:color w:val="auto"/>
        </w:rPr>
      </w:pPr>
    </w:p>
    <w:p>
      <w:pPr>
        <w:ind w:left="780" w:right="1200" w:firstLine="54"/>
        <w:spacing w:after="0" w:line="292" w:lineRule="auto"/>
        <w:rPr>
          <w:rFonts w:ascii="Arial" w:cs="Arial" w:eastAsia="Arial" w:hAnsi="Arial"/>
          <w:sz w:val="20"/>
          <w:szCs w:val="20"/>
          <w:color w:val="auto"/>
        </w:rPr>
      </w:pPr>
      <w:r>
        <w:rPr>
          <w:sz w:val="1"/>
          <w:szCs w:val="1"/>
          <w:color w:val="auto"/>
        </w:rPr>
        <w:drawing>
          <wp:inline distT="0" distB="0" distL="0" distR="0">
            <wp:extent cx="111125" cy="1111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0"/>
          <w:szCs w:val="20"/>
          <w:color w:val="auto"/>
        </w:rPr>
        <w:t xml:space="preserve"> Pursuant to 17 CFR 240.12d2-2(b), the Exchange has complied with its rules to strike the class of securities from listing and/or withdraw registration on the Exchange. </w:t>
      </w:r>
      <w:hyperlink w:anchor="page1">
        <w:r>
          <w:rPr>
            <w:rFonts w:ascii="Arial" w:cs="Arial" w:eastAsia="Arial" w:hAnsi="Arial"/>
            <w:sz w:val="32"/>
            <w:szCs w:val="32"/>
            <w:u w:val="single" w:color="auto"/>
            <w:color w:val="0000EE"/>
            <w:vertAlign w:val="superscript"/>
          </w:rPr>
          <w:t>1</w:t>
        </w:r>
      </w:hyperlink>
    </w:p>
    <w:p>
      <w:pPr>
        <w:spacing w:after="0" w:line="1" w:lineRule="exact"/>
        <w:rPr>
          <w:sz w:val="24"/>
          <w:szCs w:val="24"/>
          <w:color w:val="auto"/>
        </w:rPr>
      </w:pPr>
    </w:p>
    <w:p>
      <w:pPr>
        <w:ind w:left="780" w:right="800" w:firstLine="54"/>
        <w:spacing w:after="0"/>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73" w:lineRule="exact"/>
        <w:rPr>
          <w:sz w:val="24"/>
          <w:szCs w:val="24"/>
          <w:color w:val="auto"/>
        </w:rPr>
      </w:pPr>
    </w:p>
    <w:p>
      <w:pPr>
        <w:ind w:right="40"/>
        <w:spacing w:after="0" w:line="297" w:lineRule="auto"/>
        <w:rPr>
          <w:sz w:val="20"/>
          <w:szCs w:val="20"/>
          <w:color w:val="auto"/>
        </w:rPr>
      </w:pPr>
      <w:r>
        <w:rPr>
          <w:rFonts w:ascii="Arial" w:cs="Arial" w:eastAsia="Arial" w:hAnsi="Arial"/>
          <w:sz w:val="19"/>
          <w:szCs w:val="19"/>
          <w:color w:val="auto"/>
        </w:rPr>
        <w:t>Pursuant to the requirements fo the Securities Exchange Act of 1934, NEW YORK STOCK EXCHANGE LLC certifies that it has reasonable grounds to believe that it meets all of the requirements for filing the Form 25 and has caused this notification to be signed on its behalf by the undersigned duly authorized person.</w:t>
      </w:r>
    </w:p>
    <w:p>
      <w:pPr>
        <w:spacing w:after="0" w:line="12" w:lineRule="exact"/>
        <w:rPr>
          <w:sz w:val="24"/>
          <w:szCs w:val="24"/>
          <w:color w:val="auto"/>
        </w:rPr>
      </w:pPr>
    </w:p>
    <w:tbl>
      <w:tblPr>
        <w:tblLayout w:type="fixed"/>
        <w:tblInd w:w="640" w:type="dxa"/>
        <w:tblCellMar>
          <w:top w:w="0" w:type="dxa"/>
          <w:left w:w="0" w:type="dxa"/>
          <w:bottom w:w="0" w:type="dxa"/>
          <w:right w:w="0" w:type="dxa"/>
        </w:tblCellMar>
      </w:tblPr>
      <w:tr>
        <w:trPr>
          <w:trHeight w:val="276"/>
        </w:trPr>
        <w:tc>
          <w:tcPr>
            <w:tcW w:w="2060" w:type="dxa"/>
            <w:vAlign w:val="bottom"/>
            <w:tcBorders>
              <w:bottom w:val="single" w:sz="8" w:color="auto"/>
            </w:tcBorders>
          </w:tcPr>
          <w:p>
            <w:pPr>
              <w:jc w:val="right"/>
              <w:ind w:right="412"/>
              <w:spacing w:after="0"/>
              <w:rPr>
                <w:sz w:val="20"/>
                <w:szCs w:val="20"/>
                <w:color w:val="auto"/>
              </w:rPr>
            </w:pPr>
            <w:r>
              <w:rPr>
                <w:rFonts w:ascii="Arial" w:cs="Arial" w:eastAsia="Arial" w:hAnsi="Arial"/>
                <w:sz w:val="22"/>
                <w:szCs w:val="22"/>
                <w:color w:val="auto"/>
              </w:rPr>
              <w:t>2021-03-12</w:t>
            </w:r>
          </w:p>
        </w:tc>
        <w:tc>
          <w:tcPr>
            <w:tcW w:w="940" w:type="dxa"/>
            <w:vAlign w:val="bottom"/>
          </w:tcPr>
          <w:p>
            <w:pPr>
              <w:ind w:left="640"/>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tcPr>
          <w:p>
            <w:pPr>
              <w:ind w:left="1020"/>
              <w:spacing w:after="0"/>
              <w:rPr>
                <w:sz w:val="20"/>
                <w:szCs w:val="20"/>
                <w:color w:val="auto"/>
              </w:rPr>
            </w:pPr>
            <w:r>
              <w:rPr>
                <w:rFonts w:ascii="Arial" w:cs="Arial" w:eastAsia="Arial" w:hAnsi="Arial"/>
                <w:sz w:val="22"/>
                <w:szCs w:val="22"/>
                <w:color w:val="auto"/>
              </w:rPr>
              <w:t>Lauren Frawley</w:t>
            </w:r>
          </w:p>
        </w:tc>
        <w:tc>
          <w:tcPr>
            <w:tcW w:w="260" w:type="dxa"/>
            <w:vAlign w:val="bottom"/>
          </w:tcPr>
          <w:p>
            <w:pPr>
              <w:spacing w:after="0"/>
              <w:rPr>
                <w:sz w:val="24"/>
                <w:szCs w:val="24"/>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1"/>
              </w:rPr>
              <w:t>Regulation Analyst</w:t>
            </w:r>
          </w:p>
        </w:tc>
      </w:tr>
      <w:tr>
        <w:trPr>
          <w:trHeight w:val="289"/>
        </w:trPr>
        <w:tc>
          <w:tcPr>
            <w:tcW w:w="2060" w:type="dxa"/>
            <w:vAlign w:val="bottom"/>
          </w:tcPr>
          <w:p>
            <w:pPr>
              <w:jc w:val="center"/>
              <w:spacing w:after="0"/>
              <w:rPr>
                <w:sz w:val="20"/>
                <w:szCs w:val="20"/>
                <w:color w:val="auto"/>
              </w:rPr>
            </w:pPr>
            <w:r>
              <w:rPr>
                <w:rFonts w:ascii="Arial" w:cs="Arial" w:eastAsia="Arial" w:hAnsi="Arial"/>
                <w:sz w:val="22"/>
                <w:szCs w:val="22"/>
                <w:color w:val="auto"/>
                <w:w w:val="85"/>
              </w:rPr>
              <w:t>Date</w:t>
            </w:r>
          </w:p>
        </w:tc>
        <w:tc>
          <w:tcPr>
            <w:tcW w:w="940" w:type="dxa"/>
            <w:vAlign w:val="bottom"/>
          </w:tcPr>
          <w:p>
            <w:pPr>
              <w:spacing w:after="0"/>
              <w:rPr>
                <w:sz w:val="24"/>
                <w:szCs w:val="24"/>
                <w:color w:val="auto"/>
              </w:rPr>
            </w:pPr>
          </w:p>
        </w:tc>
        <w:tc>
          <w:tcPr>
            <w:tcW w:w="3400" w:type="dxa"/>
            <w:vAlign w:val="bottom"/>
          </w:tcPr>
          <w:p>
            <w:pPr>
              <w:ind w:left="1560"/>
              <w:spacing w:after="0"/>
              <w:rPr>
                <w:sz w:val="20"/>
                <w:szCs w:val="20"/>
                <w:color w:val="auto"/>
              </w:rPr>
            </w:pPr>
            <w:r>
              <w:rPr>
                <w:rFonts w:ascii="Arial" w:cs="Arial" w:eastAsia="Arial" w:hAnsi="Arial"/>
                <w:sz w:val="22"/>
                <w:szCs w:val="22"/>
                <w:color w:val="auto"/>
              </w:rPr>
              <w:t>Name</w:t>
            </w:r>
          </w:p>
        </w:tc>
        <w:tc>
          <w:tcPr>
            <w:tcW w:w="26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Arial" w:cs="Arial" w:eastAsia="Arial" w:hAnsi="Arial"/>
                <w:sz w:val="22"/>
                <w:szCs w:val="22"/>
                <w:color w:val="auto"/>
                <w:w w:val="96"/>
              </w:rPr>
              <w:t>Title</w:t>
            </w:r>
          </w:p>
        </w:tc>
      </w:tr>
    </w:tbl>
    <w:p>
      <w:pPr>
        <w:spacing w:after="0" w:line="104" w:lineRule="exact"/>
        <w:rPr>
          <w:sz w:val="24"/>
          <w:szCs w:val="24"/>
          <w:color w:val="auto"/>
        </w:rPr>
      </w:pPr>
    </w:p>
    <w:p>
      <w:pPr>
        <w:ind w:left="1260" w:right="900" w:hanging="597"/>
        <w:spacing w:after="0" w:line="250" w:lineRule="auto"/>
        <w:tabs>
          <w:tab w:leader="none" w:pos="1260" w:val="left"/>
        </w:tabs>
        <w:numPr>
          <w:ilvl w:val="0"/>
          <w:numId w:val="1"/>
        </w:numPr>
        <w:rPr>
          <w:rFonts w:ascii="Arial" w:cs="Arial" w:eastAsia="Arial" w:hAnsi="Arial"/>
          <w:sz w:val="18"/>
          <w:szCs w:val="18"/>
          <w:color w:val="auto"/>
        </w:rPr>
      </w:pPr>
      <w:r>
        <w:rPr>
          <w:rFonts w:ascii="Arial" w:cs="Arial" w:eastAsia="Arial" w:hAnsi="Arial"/>
          <w:sz w:val="22"/>
          <w:szCs w:val="22"/>
          <w:color w:val="auto"/>
        </w:rPr>
        <w:t xml:space="preserve">Form 25 and attached Notice will be considered compliance with the provisions of 17 CFR 240.19d-1 as applicable. </w:t>
      </w:r>
      <w:r>
        <w:rPr>
          <w:rFonts w:ascii="Arial" w:cs="Arial" w:eastAsia="Arial" w:hAnsi="Arial"/>
          <w:sz w:val="22"/>
          <w:szCs w:val="22"/>
          <w:u w:val="single" w:color="auto"/>
          <w:color w:val="0000EE"/>
        </w:rPr>
        <w:t>See</w:t>
      </w:r>
      <w:r>
        <w:rPr>
          <w:rFonts w:ascii="Arial" w:cs="Arial" w:eastAsia="Arial" w:hAnsi="Arial"/>
          <w:sz w:val="22"/>
          <w:szCs w:val="22"/>
          <w:color w:val="auto"/>
        </w:rPr>
        <w:t xml:space="preserve"> General Instructions.</w:t>
      </w:r>
    </w:p>
    <w:p>
      <w:pPr>
        <w:spacing w:after="0" w:line="53" w:lineRule="exact"/>
        <w:rPr>
          <w:sz w:val="24"/>
          <w:szCs w:val="24"/>
          <w:color w:val="auto"/>
        </w:rPr>
      </w:pPr>
    </w:p>
    <w:p>
      <w:pPr>
        <w:ind w:right="180"/>
        <w:spacing w:after="0" w:line="250"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309" w:right="959" w:bottom="1440" w:gutter="0" w:footer="0" w:header="0"/>
        </w:sectPr>
      </w:pPr>
    </w:p>
    <w:bookmarkStart w:id="1" w:name="page2"/>
    <w:bookmarkEnd w:id="1"/>
    <w:p>
      <w:pPr>
        <w:spacing w:after="0" w:line="273" w:lineRule="auto"/>
        <w:rPr>
          <w:sz w:val="20"/>
          <w:szCs w:val="20"/>
          <w:color w:val="auto"/>
        </w:rPr>
      </w:pPr>
      <w:r>
        <w:rPr>
          <w:rFonts w:ascii="Arial" w:cs="Arial" w:eastAsia="Arial" w:hAnsi="Arial"/>
          <w:sz w:val="19"/>
          <w:szCs w:val="19"/>
          <w:color w:val="auto"/>
        </w:rPr>
        <w:t>NOTIFICATION OF THE REMOVAL FROM LISTING AND REGISTRATION OF THE STATED SECURITIES The New York Stock Exchange hereby notifies the SEC of its intention to remove the entire class of the stated securities from listing and registration on the Exchange at the opening of business on March 23, 2021, pursuant to the provisions of Rule 12d2-2 (a). [ X ] 17 CFR 240.12d2-2(a)(3) That on March 11, 2021 the instruments representing the securities comprising the entire class of this security came to evidence, by operation of law or otherwise, other securities in substitution therefore and represent no other right except, if such be the fact, the right to receive an immediate cash payment. The merger between Colonnade Acquisition Corp. and Ouster, Inc. became effective on March 11, 2021. Each unit of Colonnade Acquisition Corp. will be automatically separated into the component securities, and, as a result, will no longer trade as a separate security. The Exchange also notifies the Securities and Exchange Commission that as a result of the above indicated conditions this security was suspended from trading before market open on March 12, 2021.</w:t>
      </w:r>
    </w:p>
    <w:sectPr>
      <w:pgSz w:w="11900" w:h="16838" w:orient="portrait"/>
      <w:cols w:equalWidth="0" w:num="1">
        <w:col w:w="11140"/>
      </w:cols>
      <w:pgMar w:left="320" w:top="118"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9" Type="http://schemas.openxmlformats.org/officeDocument/2006/relationships/hyperlink" Target="file:///cgi-bin/browse-edgar?action=getcompany&amp;filenum=001-39463" TargetMode="External"/><Relationship Id="rId10" Type="http://schemas.openxmlformats.org/officeDocument/2006/relationships/hyperlink" Target="http://www.sec.gov/cgi-bin/browse-edgar?action=getcompany&amp;CIK=000181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2021-03-12T10:35:12Z</dcterms:created>
  <dcterms:modified xsi:type="dcterms:W3CDTF">2021-03-12T10:35:12Z</dcterms:modified>
</cp:coreProperties>
</file>