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3920" w:right="1980" w:hanging="3894"/>
        <w:spacing w:after="0" w:line="507" w:lineRule="auto"/>
        <w:tabs>
          <w:tab w:leader="none" w:pos="4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0" w:lineRule="exact"/>
        <w:rPr>
          <w:sz w:val="24"/>
          <w:szCs w:val="24"/>
          <w:color w:val="auto"/>
        </w:rPr>
      </w:pPr>
    </w:p>
    <w:p>
      <w:pPr>
        <w:ind w:left="3600" w:right="1580" w:hanging="3574"/>
        <w:spacing w:after="0" w:line="427" w:lineRule="auto"/>
        <w:tabs>
          <w:tab w:leader="none" w:pos="5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7180" w:type="dxa"/>
            <w:vAlign w:val="bottom"/>
            <w:gridSpan w:val="4"/>
          </w:tcPr>
          <w:p>
            <w:pPr>
              <w:jc w:val="center"/>
              <w:ind w:left="3969"/>
              <w:spacing w:after="0"/>
              <w:rPr>
                <w:sz w:val="20"/>
                <w:szCs w:val="20"/>
                <w:color w:val="auto"/>
              </w:rPr>
            </w:pPr>
            <w:r>
              <w:rPr>
                <w:rFonts w:ascii="Times New Roman" w:cs="Times New Roman" w:eastAsia="Times New Roman" w:hAnsi="Times New Roman"/>
                <w:sz w:val="18"/>
                <w:szCs w:val="18"/>
                <w:b w:val="1"/>
                <w:bCs w:val="1"/>
                <w:color w:val="auto"/>
              </w:rPr>
              <w:t>Commission file number 001-39463</w:t>
            </w:r>
          </w:p>
        </w:tc>
        <w:tc>
          <w:tcPr>
            <w:tcW w:w="4080" w:type="dxa"/>
            <w:vAlign w:val="bottom"/>
          </w:tcPr>
          <w:p>
            <w:pPr>
              <w:spacing w:after="0"/>
              <w:rPr>
                <w:sz w:val="20"/>
                <w:szCs w:val="20"/>
                <w:color w:val="auto"/>
              </w:rPr>
            </w:pPr>
          </w:p>
        </w:tc>
      </w:tr>
      <w:tr>
        <w:trPr>
          <w:trHeight w:val="273"/>
        </w:trPr>
        <w:tc>
          <w:tcPr>
            <w:tcW w:w="4340" w:type="dxa"/>
            <w:vAlign w:val="bottom"/>
          </w:tcPr>
          <w:p>
            <w:pPr>
              <w:spacing w:after="0"/>
              <w:rPr>
                <w:sz w:val="23"/>
                <w:szCs w:val="23"/>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4080" w:type="dxa"/>
            <w:vAlign w:val="bottom"/>
          </w:tcPr>
          <w:p>
            <w:pPr>
              <w:spacing w:after="0"/>
              <w:rPr>
                <w:sz w:val="23"/>
                <w:szCs w:val="23"/>
                <w:color w:val="auto"/>
              </w:rPr>
            </w:pPr>
          </w:p>
        </w:tc>
      </w:tr>
      <w:tr>
        <w:trPr>
          <w:trHeight w:val="604"/>
        </w:trPr>
        <w:tc>
          <w:tcPr>
            <w:tcW w:w="4340" w:type="dxa"/>
            <w:vAlign w:val="bottom"/>
          </w:tcPr>
          <w:p>
            <w:pPr>
              <w:spacing w:after="0"/>
              <w:rPr>
                <w:sz w:val="24"/>
                <w:szCs w:val="24"/>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43"/>
                <w:szCs w:val="43"/>
                <w:b w:val="1"/>
                <w:bCs w:val="1"/>
                <w:color w:val="231F20"/>
                <w:w w:val="98"/>
              </w:rPr>
              <w:t>Ouster, Inc.</w:t>
            </w:r>
          </w:p>
        </w:tc>
        <w:tc>
          <w:tcPr>
            <w:tcW w:w="4080" w:type="dxa"/>
            <w:vAlign w:val="bottom"/>
          </w:tcPr>
          <w:p>
            <w:pPr>
              <w:spacing w:after="0"/>
              <w:rPr>
                <w:sz w:val="24"/>
                <w:szCs w:val="24"/>
                <w:color w:val="auto"/>
              </w:rPr>
            </w:pPr>
          </w:p>
        </w:tc>
      </w:tr>
      <w:tr>
        <w:trPr>
          <w:trHeight w:val="245"/>
        </w:trPr>
        <w:tc>
          <w:tcPr>
            <w:tcW w:w="112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(Exact name of registrant as specified in its charter)</w:t>
            </w:r>
          </w:p>
        </w:tc>
      </w:tr>
      <w:tr>
        <w:trPr>
          <w:trHeight w:val="190"/>
        </w:trPr>
        <w:tc>
          <w:tcPr>
            <w:tcW w:w="4340" w:type="dxa"/>
            <w:vAlign w:val="bottom"/>
          </w:tcPr>
          <w:p>
            <w:pPr>
              <w:spacing w:after="0"/>
              <w:rPr>
                <w:sz w:val="16"/>
                <w:szCs w:val="16"/>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4080" w:type="dxa"/>
            <w:vAlign w:val="bottom"/>
          </w:tcPr>
          <w:p>
            <w:pPr>
              <w:spacing w:after="0"/>
              <w:rPr>
                <w:sz w:val="16"/>
                <w:szCs w:val="16"/>
                <w:color w:val="auto"/>
              </w:rPr>
            </w:pPr>
          </w:p>
        </w:tc>
      </w:tr>
      <w:tr>
        <w:trPr>
          <w:trHeight w:val="496"/>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86-2528989</w:t>
            </w:r>
          </w:p>
        </w:tc>
      </w:tr>
      <w:tr>
        <w:trPr>
          <w:trHeight w:val="252"/>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340" w:type="dxa"/>
            <w:vAlign w:val="bottom"/>
          </w:tcPr>
          <w:p>
            <w:pPr>
              <w:jc w:val="center"/>
              <w:ind w:right="209"/>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302"/>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b w:val="1"/>
                <w:bCs w:val="1"/>
                <w:color w:val="auto"/>
                <w:w w:val="97"/>
              </w:rPr>
              <w:t>350 Treat Avenue</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8"/>
        </w:trPr>
        <w:tc>
          <w:tcPr>
            <w:tcW w:w="4340" w:type="dxa"/>
            <w:vAlign w:val="bottom"/>
          </w:tcPr>
          <w:p>
            <w:pPr>
              <w:jc w:val="center"/>
              <w:ind w:right="209"/>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94110</w:t>
            </w:r>
          </w:p>
        </w:tc>
      </w:tr>
      <w:tr>
        <w:trPr>
          <w:trHeight w:val="270"/>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540"/>
        </w:trPr>
        <w:tc>
          <w:tcPr>
            <w:tcW w:w="112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(415) 949-0108</w:t>
            </w:r>
          </w:p>
        </w:tc>
      </w:tr>
      <w:tr>
        <w:trPr>
          <w:trHeight w:val="67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43"/>
        </w:trPr>
        <w:tc>
          <w:tcPr>
            <w:tcW w:w="4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r>
      <w:tr>
        <w:trPr>
          <w:trHeight w:val="243"/>
        </w:trPr>
        <w:tc>
          <w:tcPr>
            <w:tcW w:w="4340" w:type="dxa"/>
            <w:vAlign w:val="bottom"/>
            <w:tcBorders>
              <w:left w:val="single" w:sz="8" w:color="auto"/>
              <w:bottom w:val="single" w:sz="8" w:color="auto"/>
            </w:tcBorders>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8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0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434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OUST</w:t>
            </w:r>
          </w:p>
        </w:tc>
        <w:tc>
          <w:tcPr>
            <w:tcW w:w="300" w:type="dxa"/>
            <w:vAlign w:val="bottom"/>
          </w:tcPr>
          <w:p>
            <w:pPr>
              <w:spacing w:after="0"/>
              <w:rPr>
                <w:sz w:val="20"/>
                <w:szCs w:val="20"/>
                <w:color w:val="auto"/>
              </w:rPr>
            </w:pPr>
          </w:p>
        </w:tc>
        <w:tc>
          <w:tcPr>
            <w:tcW w:w="40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2"/>
        </w:trPr>
        <w:tc>
          <w:tcPr>
            <w:tcW w:w="434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4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color w:val="auto"/>
                <w:w w:val="99"/>
              </w:rPr>
              <w:t>Warrants to purchase common stock expiring 2026</w:t>
            </w:r>
          </w:p>
        </w:tc>
        <w:tc>
          <w:tcPr>
            <w:tcW w:w="5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OUSTZ</w:t>
            </w:r>
          </w:p>
        </w:tc>
        <w:tc>
          <w:tcPr>
            <w:tcW w:w="300" w:type="dxa"/>
            <w:vAlign w:val="bottom"/>
          </w:tcPr>
          <w:p>
            <w:pPr>
              <w:spacing w:after="0"/>
              <w:rPr>
                <w:sz w:val="19"/>
                <w:szCs w:val="19"/>
                <w:color w:val="auto"/>
              </w:rPr>
            </w:pPr>
          </w:p>
        </w:tc>
        <w:tc>
          <w:tcPr>
            <w:tcW w:w="40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2"/>
        </w:trPr>
        <w:tc>
          <w:tcPr>
            <w:tcW w:w="434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bl>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1" w:lineRule="exact"/>
        <w:rPr>
          <w:sz w:val="24"/>
          <w:szCs w:val="24"/>
          <w:color w:val="auto"/>
        </w:rPr>
      </w:pPr>
    </w:p>
    <w:p>
      <w:pPr>
        <w:spacing w:after="0" w:line="242"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231" w:lineRule="exact"/>
        <w:rPr>
          <w:sz w:val="24"/>
          <w:szCs w:val="24"/>
          <w:color w:val="auto"/>
        </w:rPr>
      </w:pPr>
    </w:p>
    <w:p>
      <w:pPr>
        <w:spacing w:after="0" w:line="242" w:lineRule="exact"/>
        <w:tabs>
          <w:tab w:leader="none" w:pos="932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275" w:lineRule="exact"/>
        <w:rPr>
          <w:sz w:val="24"/>
          <w:szCs w:val="24"/>
          <w:color w:val="auto"/>
        </w:rPr>
      </w:pPr>
    </w:p>
    <w:p>
      <w:pPr>
        <w:ind w:right="3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56" w:lineRule="exact"/>
        <w:rPr>
          <w:sz w:val="24"/>
          <w:szCs w:val="24"/>
          <w:color w:val="auto"/>
        </w:rPr>
      </w:pPr>
    </w:p>
    <w:p>
      <w:pPr>
        <w:ind w:right="14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5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60" w:orient="portrait"/>
          <w:cols w:equalWidth="0" w:num="1">
            <w:col w:w="11260"/>
          </w:cols>
          <w:pgMar w:left="320" w:top="212" w:right="31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2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12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54" w:lineRule="exact"/>
        <w:rPr>
          <w:sz w:val="20"/>
          <w:szCs w:val="20"/>
          <w:color w:val="auto"/>
        </w:rPr>
      </w:pPr>
    </w:p>
    <w:p>
      <w:pPr>
        <w:ind w:right="40"/>
        <w:spacing w:after="0" w:line="250"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21"/>
          <w:szCs w:val="21"/>
          <w:color w:val="auto"/>
        </w:rPr>
        <w:t>☐</w:t>
      </w:r>
    </w:p>
    <w:p>
      <w:pPr>
        <w:spacing w:after="0" w:line="156"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7"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of the registrant, as of June 30, 2025, the last business day of the registrant’s most recently completed second fiscal quarter, was approximately $1,309.7 million. The registrant is no longer a smaller reporting company for the fiscal year ended December 31, 2026, but relies on applicable exemptions as a former smaller reporting company (through December 31, 2025)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62,803,991 shares of common stock outstanding as of February 25, 2026.</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8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Specifically identified portions of the registrant’s definitive proxy statement relating to its 2026 annual meeting of stockholders are incorporated by reference in Part III of this Annual Report on Form 10-K where indicated. The registrant's definitive proxy statement will be filed with the U.S. Securities and Exchange Commission (the “SEC”) within 120 days after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03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 Business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1A. 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1C. Cybersecurity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2. Properties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3. Legal Proceedings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34"/>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481"/>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6. [Reserved]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234"/>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481"/>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12. Security Ownership of Certain Beneficial Owner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34"/>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481"/>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34"/>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16. Form 10-K Summary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891"/>
        </w:trPr>
        <w:tc>
          <w:tcPr>
            <w:tcW w:w="10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U.S.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on Form 10-K may be forward-looking statements. The words “anticipates,” “believe(s),” “could,” “contemplates,”, “continue,” “expects,” “estimates,” “forecasts,” “intends,” “may,” “plans,” “projects,” “predicts,” “potential” “should,” “targets,” or “will” and similar expressions or the negative of these terms or expressions are intended to identify forward-looking statements, though not all forward-looking statements use these words or expressions. Forward-looking statements contained in this Annual Report on Form 10-K include, but are not limited to statements regarding our ability to maintain or grow our global sales and bolster our financial position; impacts from our recent acquisition of Stereolabs SAS; our expected contractual obligations and capital expenditures; the capabilities of and demand for our products; our anticipated new product launches and updates of existing products and anticipated impacts from recent product launches; our future results of operations and financial position; industry and business trends; the impact of market conditions and other macroeconomic factors on our business, financial condition and results of operation; expectations regarding legal proceedings; our future business strategy, plans, distribution partnerships, market growth and our objectives for future operations.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2025.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While we may elect to update such forward-looking statements at some point in the future, we disclaim any obligation to do so, even if subsequent events cause our views to change.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10-K to “we”, “our”, “Ouster” and “the Company” refer to the business and operations of Ouster, Inc. and its consolidated subsidiaries. The Company was incorporated in the Cayman Islands on June 4, 2020 as “Colonnade Acquisition Corp.”, Following the closing of a business combination between the Company and Ouster Technologies, Inc. (formerly, Ouster, Inc.) in March 2021 (the “Colonnade Merger”), the Company domesticated as a Delaware corporation and changed its name to Ouster, Inc. References to “CLA” refer to the Company prior to the business combination. Ouster Technologies, Inc., the Company’s operating predecessor was founded on June 30, 2015.</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may announce material business and financial information to our investors using our investor relations website at </w:t>
      </w:r>
      <w:r>
        <w:rPr>
          <w:rFonts w:ascii="Times New Roman" w:cs="Times New Roman" w:eastAsia="Times New Roman" w:hAnsi="Times New Roman"/>
          <w:sz w:val="18"/>
          <w:szCs w:val="18"/>
          <w:i w:val="1"/>
          <w:iCs w:val="1"/>
          <w:color w:val="auto"/>
        </w:rPr>
        <w:t>https://investors.ouster.com</w:t>
      </w:r>
      <w:r>
        <w:rPr>
          <w:rFonts w:ascii="Times New Roman" w:cs="Times New Roman" w:eastAsia="Times New Roman" w:hAnsi="Times New Roman"/>
          <w:sz w:val="18"/>
          <w:szCs w:val="18"/>
          <w:color w:val="auto"/>
        </w:rPr>
        <w:t>. We therefore encourage investors and others interested in Ouster to review the information that we make available on our website, in addition to following our filings with the U.S. Securities and Exchange Commission (“SEC”), webcasts, press releases and conference calls. Information contained on our website is not part of this Annual Report on Form 10-K.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products are frequently used in applications that are subject to evolving regulations and standards.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76" w:lineRule="exact"/>
        <w:rPr>
          <w:rFonts w:ascii="Arial" w:cs="Arial" w:eastAsia="Arial" w:hAnsi="Arial"/>
          <w:sz w:val="22"/>
          <w:szCs w:val="22"/>
          <w:color w:val="auto"/>
        </w:rPr>
      </w:pPr>
    </w:p>
    <w:p>
      <w:pPr>
        <w:ind w:left="660" w:right="22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have incurred significant losses to date and may never achieve or sustain profitability. If we are unable to overcome our limited sales history and establish and maintain confidence in our long-term business prospects among customers in our target markets or if our revenue opportunity does not materialize into sales and revenue, then our financial condition, operating results, business prospects and access to capital may suffer materially.</w:t>
      </w:r>
    </w:p>
    <w:p>
      <w:pPr>
        <w:spacing w:after="0" w:line="73" w:lineRule="exact"/>
        <w:rPr>
          <w:rFonts w:ascii="Arial" w:cs="Arial" w:eastAsia="Arial" w:hAnsi="Arial"/>
          <w:sz w:val="22"/>
          <w:szCs w:val="22"/>
          <w:color w:val="auto"/>
        </w:rPr>
      </w:pPr>
    </w:p>
    <w:p>
      <w:pPr>
        <w:ind w:left="660" w:right="22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and margins could be adversely affected if we fail to maintain competitive average selling prices, high sales volumes, and/or fail to reduce product costs.</w:t>
      </w:r>
    </w:p>
    <w:p>
      <w:pPr>
        <w:spacing w:after="0" w:line="37" w:lineRule="exact"/>
        <w:rPr>
          <w:rFonts w:ascii="Arial" w:cs="Arial" w:eastAsia="Arial" w:hAnsi="Arial"/>
          <w:sz w:val="22"/>
          <w:szCs w:val="22"/>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cancellation or postponement of our contracts with customers or the unsuccessful implementation of our products, which may adversely affect our business, results of operations and financial condition.</w:t>
      </w:r>
    </w:p>
    <w:p>
      <w:pPr>
        <w:spacing w:after="0" w:line="40" w:lineRule="exact"/>
        <w:rPr>
          <w:rFonts w:ascii="Times New Roman" w:cs="Times New Roman" w:eastAsia="Times New Roman" w:hAnsi="Times New Roman"/>
          <w:sz w:val="18"/>
          <w:szCs w:val="18"/>
          <w:color w:val="auto"/>
        </w:rPr>
      </w:pPr>
    </w:p>
    <w:p>
      <w:pPr>
        <w:ind w:left="660" w:right="5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currently target many customers that are large corporations with substantial negotiating power and exacting product standards. If we are unable to sell our products to these customers, our prospects and results of operations will be adversely affected.</w:t>
      </w:r>
    </w:p>
    <w:p>
      <w:pPr>
        <w:spacing w:after="0" w:line="72" w:lineRule="exact"/>
        <w:rPr>
          <w:rFonts w:ascii="Arial" w:cs="Arial" w:eastAsia="Arial" w:hAnsi="Arial"/>
          <w:sz w:val="22"/>
          <w:szCs w:val="22"/>
          <w:color w:val="auto"/>
        </w:rPr>
      </w:pPr>
    </w:p>
    <w:p>
      <w:pPr>
        <w:ind w:left="660" w:right="30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compete against established market participants that have substantially greater resources than us and against known and unknown market entrants who may disrupt our target markets. If our products are not selected for inclusion in our target markets, our business will be materially and adversely affected.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Market adoption of lidar remains uncertain, and it is difficult to forecast long-term end-customer adoption rates and demand for our products.</w:t>
      </w:r>
    </w:p>
    <w:p>
      <w:pPr>
        <w:spacing w:after="0" w:line="76"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spacing w:after="0" w:line="78"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we choose to acquire or invest in other new businesses, products, or technologies, such acquisitions or investments may not be completed or result in the anticipated benefits and may present risks not originally contemplated and adversely impact our business.</w:t>
      </w:r>
    </w:p>
    <w:p>
      <w:pPr>
        <w:spacing w:after="0" w:line="78" w:lineRule="exact"/>
        <w:rPr>
          <w:rFonts w:ascii="Arial" w:cs="Arial" w:eastAsia="Arial" w:hAnsi="Arial"/>
          <w:sz w:val="22"/>
          <w:szCs w:val="22"/>
          <w:color w:val="auto"/>
        </w:rPr>
      </w:pPr>
    </w:p>
    <w:p>
      <w:pPr>
        <w:jc w:val="both"/>
        <w:ind w:left="660" w:right="120" w:hanging="328"/>
        <w:spacing w:after="0" w:line="246"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Key components in our products come from limited or single source third-party suppliers, and we expect to rely on third parties to manufacture a significant portion of our products for the foreseeable future. Interruptions in our relationships with these third parties could adversely impact our business.</w:t>
      </w:r>
    </w:p>
    <w:p>
      <w:pPr>
        <w:spacing w:after="0" w:line="5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may require additional capital in order to execute our business plan, which may not be available on terms acceptable to us, or at all.</w:t>
      </w:r>
    </w:p>
    <w:p>
      <w:pPr>
        <w:spacing w:after="0" w:line="35" w:lineRule="exact"/>
        <w:rPr>
          <w:rFonts w:ascii="Arial" w:cs="Arial" w:eastAsia="Arial" w:hAnsi="Arial"/>
          <w:sz w:val="22"/>
          <w:szCs w:val="22"/>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intellectual property rights or prevent competitors or other unauthorized parties from copying or reverse engineering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Ouster, Inc. is a leader in sensing and perception for Physical Artificial Intelligence (Physical AI). Ouster enables machines to “Sense, Think, Act, and Learn” and independently execute tasks without human intervention. Physical AI allows machines to move beyond fixed, preprogrammed behavior into adaptive, intelligent action by focusing on perception, understanding, and learning from the physical world. As a pioneer in Physical AI, Ouster offers a unified sensing and perception platform that combines high-performance digital lidar, cameras, AI compute, sensor fusion and perception software, and cutting-edge AI models to our customers.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anticipate that 3D vision technologies, coupled with artificial intelligence, will power autonomy that in turn will fundamentally disrupt business models across many existing industries and enable entirely new industries and capabilities. We believe that our digital lidar sensors are one of the highest performing, lowest cost solutions available today, which we believe positions us at the center of a global revolution in autonomy.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four target markets each have unique use cases for our lidar sensors:</w:t>
      </w:r>
    </w:p>
    <w:p>
      <w:pPr>
        <w:spacing w:after="0" w:line="115" w:lineRule="exact"/>
        <w:rPr>
          <w:sz w:val="20"/>
          <w:szCs w:val="20"/>
          <w:color w:val="auto"/>
        </w:rPr>
      </w:pPr>
    </w:p>
    <w:p>
      <w:pPr>
        <w:ind w:left="660" w:right="80" w:hanging="328"/>
        <w:spacing w:after="0" w:line="315"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Industrial.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industrial customers use our lidar sensors to increase safety and automate operations across the global supply chain. This includes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handling vehicles at ports and warehouses, off-highway vehicles in mines and on farms, and manufacturing equipment in factories.</w:t>
      </w:r>
    </w:p>
    <w:p>
      <w:pPr>
        <w:spacing w:after="0" w:line="26" w:lineRule="exact"/>
        <w:rPr>
          <w:rFonts w:ascii="Times New Roman" w:cs="Times New Roman" w:eastAsia="Times New Roman" w:hAnsi="Times New Roman"/>
          <w:sz w:val="17"/>
          <w:szCs w:val="17"/>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Smart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smart infrastructure customers are in both the public and private sectors. Cities are prioritizing safety and efficiency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use of lidar technology on roads and sidewalks in public spaces. We believe our products can enhance public welfare through security and smart city applications. Security companies are also looking to improve intrusion detection and tracking by augmenting existing closed-circuit television (CCTV) systems with the spatial tracking capabilities of lidar.</w:t>
      </w:r>
    </w:p>
    <w:p>
      <w:pPr>
        <w:spacing w:after="0" w:line="71"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Robotics.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robotics customers are pioneering an automated future that can affect many aspects of our daily lives as they take on tasks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redundant, cumbersome, expensive or dangerous for humans.</w:t>
      </w:r>
    </w:p>
    <w:p>
      <w:pPr>
        <w:spacing w:after="0" w:line="50"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Automotive.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automotive industry is shifting towards advanced/enhanced safety and autonomy features, in part powered by lidar.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uniquely positioned to support this transformation. We work with companies across the entire automotive ecosystem, from technology providers to direct automotive parts suppliers and original equipment manufacturers (“OEMs”), to design and manufacture lidar sensors for these advanced vehicle systems.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markets present a significant growth opportunity for us.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envision a future where our technology that combines sensing, compute, applications and artificial intelligence will become universal for empowering 3D perception capabilities within robots, cars, trucks, and drones, as well as factories, warehouses, roads, sidewalks, public spaces, retail stores, stadiums, docks, and airport terminals. We believe our patents and ongoing development of perception, analytics, mapping, and localization software will better position us in this evolutionary environment.</w:t>
      </w:r>
    </w:p>
    <w:p>
      <w:pPr>
        <w:spacing w:after="0" w:line="7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believe the simplicity of our digital lidar design gives us meaningful cost advantages in manufacturing, supply chain, and production yields. Our main manufacturing partners are Benchmark Electronics, Inc. (“Benchmark”) and Fabrinet. Benchmark and Fabrinet manufacture the majority of our products, which we expect will reduce our product costs and allow us to rapidly scale production to meet our anticipated product demand. Based on cost quotes for our products in mass production, we anticipate our manufacturing costs per unit will decrease as production volumes increase.</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Ouster's mission is to make the physical world safer and more efficient. As a leader in sensing and perception we bring Physical AI to life, with a foundational end-to-end sensing and perception platform and delivering intelligent digital lidar and camera solutions that improve quality of life in the physical world.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our success, competitive advantages, and growth prospects depend in part upon our ability to develop and protect our core technology and intellectual property (“IP”). Being at the forefront of innovation in the lidar market depends in part on our ability to obtain and maintain intellectual property rights relating to our digital and analog products and solutions, including our software, real-time 3D vision for autonomous systems, manufacturing processes, and calibration methodology. The Company owns and controls various intellectual property rights, including patents, designs, copyrights, trademarks, trade names, trade secrets and other forms of intellectual property rights in the U.S. and various foreign countries. The Company regularly files applications to protect innovations arising from its research, development, design and marketing, and has accumulated a large portfolio of issued and registered intellectual property rights around the world. The Company licenses certain patents and receives annual royalties. We do not consider any single patent, trademark, or intellectual property right or a license for intellectual property right as solely or materially responsible for protecting the Company’s product offerings or business.</w:t>
      </w:r>
    </w:p>
    <w:p>
      <w:pPr>
        <w:spacing w:after="0" w:line="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protect our proprietary rights through agreements with our commercial partners, supply chain vendors, employees, and consultants, and by closely monitoring the developments and products in the industry. In addition to seeking intellectual property protection originating from us, we continually evaluate opportunities to acquire or in-license intellectual property (inclusive of patents) to the extent we believe such intellectual property are useful or relevant to our business. By leveraging our deep knowledge of lidar technology, we have invented and patented an integrated, semiconductor-based lidar technology, which for our digital products consists of the following key features: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digital lidar architecture</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Our patents contain a broad range of claims related to devices and methods for implementing digital lidar, among other things. Our patents cover our micro-optic technology that enables improved digital lidar performance; our digital lidar architecture combining vertical cavity surface emitting lasers (“VCSEL”) and single photon avalanche diodes (“SPAD”); our data processing circuits for in-silicon digital signal processing; and our lidar-camera convergence, combining active and passive sensing technologies.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 system-on-a-chip (“SoC”) with SPAD detectors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sensors contain a custom-designed SoC that replaces the functionality of hundreds of discrete analog components and integrates those capabilities onto a single complementary metal-oxide-semiconductor (“CMOS”) chip.</w:t>
      </w:r>
    </w:p>
    <w:p>
      <w:pPr>
        <w:spacing w:after="0" w:line="5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 our Ouster Sensor (“OS”) product line, we are currently on our “L3” generation of SoC, which combines significant processing power with a 128-channel SPAD array onto a single piece of silicon and powers all of our REV7 products. Our SoC is capable of counting individual photons in order to detect very weak laser light pulses from long range targets. This digital SPAD-based approach enables our OS sensors to be compact, high-performance, and low-cost in order to provide advanced autonomy functionality to our industrial, robotics, smart infrastructure, and automotive customers.</w:t>
      </w:r>
    </w:p>
    <w:p>
      <w:pPr>
        <w:spacing w:after="0" w:line="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Digital Flash (“DF”) lidar is under development and utilizes our first generation CMOS SoC for solid-state sensors. In 2021, we announced our second generation DF SoC, “Chronos”. Powered by this chip, the solid-state DF lidar features short, medium, and long-range sensing options that we believe has the potential to meet the performance, reliability, design, and cost requirements of global industrial and automotive OEMs.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Vertical cavity surface emitting laser array</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Paired with our digital SPAD SoC is an array of VCSELs. By using VCSEL technology, we can place our laser emitters into a dense array. This dense, compact approach enables us to increase our resolution without increasing the size or complexity of our sensors.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micro-optical system</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our detector SoC and VCSEL array, our sensors feature patented micro-optical systems that enhance the performance of both our emitters and detectors. The combined effect of these micro-optical systems on sensor performance is equivalent to an increase in detector efficiency of multiple orders of magnitude.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software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existing embedded software is field-upgradeable, which enables us to customize and improve our sensors’ capabilities. We believe that the flexibility of this existing embedded software, together with embedded software that we develop in the future, will create an avenue for software-based enhancements of performance and customization of our products that will be capable of addressing myriad end-market customers’ specific technical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technology breakthroughs are central to our competitive advantage and dramatically improve sensor performance.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Portfolio</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Ouster offers a unified platform of high-performance digital lidar, cameras, AI compute, sensor fusion and perception software, and cutting-edge AI models. Using an array of eye-safe lasers, our lidar solutions provide exceptional depth accuracy and perform exceedingly well in dark and obscure conditions. Cameras complement this by providing high resolution context, color, and texture, providing further data to interpret complex environments. Compared to radar, lidar and cameras provide better resolution, perceiving objects’ shapes for superior object detection and classification. Lidar systems are designed to detect pedestrians equally well during daytime and nighttime conditions because the systems provide self-illumination by means of laser beams.</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October of 2021, Ouster acquired Sense Photonics, Inc. (“Sense”) a developer of solid-state flash lidar based on VCSEL and SPAD technology. This acquisition has supported the development of our DF sensor which leverages technology and engineering expertise from both companies. In February 2023, Ouster completed the merger (the “Velodyne Merger”) with Velodyne Lidar, Inc. (“Velodyne”) pursuant to the terms of the Agreement and Plan of Merger, dated as of November 4, 2022. As a result, we currently offer the OS and Velodyne scanning sensors and are developing the DF solid-state flash sensors.</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February 4, 2026, Ouster acquired Stereolabs SAS (“Stereolabs”), a developer, manufacturer and seller of AI camera vision and perception solutions. The acquisition expanded the Company's product portfolio, and is expected to further strengthen its software capabilities and accelerate customer development. With this acquisition, Ouster now offers Physical AI's first unified sensing and perception platform, combining high-performance digital lidar, cameras, AI compute, sensor fusion and perception software, and cutting-edge AI models. This acquisition provides Ouster the ability to deliver foundational end-to-end sensing and perception platform for Physical AI.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 Product line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Introduced in 2018, the OS product line is available in four different models to meet the needs of our end customers. The model options include the hemispheric field of view “OSDome”, the ultra-wide view “OS0,” the mid-range “OS1,” and the long-range “OS2.” Within each of these models, we offer numerous configuration options, including but not limited to different resolutions, connection standards, and data output structures. As we continue to release new generations of the silicon CMOS SoCs that power the OS product line, we expect the performance of our sensors to improve.</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2022, we launched our REV7 OS series scanning sensors powered by our L3 chip. Compared to our earlier generation sensors, REV7 delivers double the range, enhanced object detection, increased precision and accuracy, and greater reliability.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DF Series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DF series is a suite of short, mid, and long-range solid-state digital lidar sensors with superior reliability, durability, and affordability. The DF series is designed to meet automaker requirements and certifications for advanced driver assistance systems (“ADAS”) and autonomous driving, while seamlessly integrating into the vehicle architecture and design. The DF series is also suitable for non-ADAS use cases where a full 360 degree field of view is not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key features include high resolution, adaptability, and scalability.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High resolution. </w:t>
      </w:r>
      <w:r>
        <w:rPr>
          <w:rFonts w:ascii="Times New Roman" w:cs="Times New Roman" w:eastAsia="Times New Roman" w:hAnsi="Times New Roman"/>
          <w:sz w:val="18"/>
          <w:szCs w:val="18"/>
          <w:color w:val="auto"/>
        </w:rPr>
        <w:t>The patented breakthrough solid-state digital flash architecture produces high-resolution 3D point clouds.</w:t>
      </w:r>
    </w:p>
    <w:p>
      <w:pPr>
        <w:spacing w:after="0" w:line="11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Adaptability. </w:t>
      </w:r>
      <w:r>
        <w:rPr>
          <w:rFonts w:ascii="Times New Roman" w:cs="Times New Roman" w:eastAsia="Times New Roman" w:hAnsi="Times New Roman"/>
          <w:sz w:val="18"/>
          <w:szCs w:val="18"/>
          <w:color w:val="auto"/>
        </w:rPr>
        <w:t>The multi-sensor suite is a flexible platform that can be easily adapted to different form-factors and sensor configurations to provide varying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ranges, fields of view, and vehicle design freedoms – all with a simple change in optics or housing.</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The solid-state DF series is designed to be highly manufacturable and to offer durability, reliability, and affordability. We expect to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solid-state sensors as well as a multi-sensor lidar suite at a price point that we believe could enable broad adoption. We believe that we are well-positioned to deliver on OEM requirements with a single supplier offering, reducing overall costs and making us a preferred potential partner.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Velodyne product lines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also offer certain surround-view lidar sensors that Velodyne previously marketed prior to the Velodyne Merger. These scanning lidar products include the VLP-16, VLP-16 Lite, VLP-16 Hi-Res, VLP-32, and VLS-128, and are in the final stages of their product lifecycle. We stopped manufacturing these products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Ouster Gemini</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Ouster Gemini is a perception platform designed for smart infrastructure deployments like security, yard management, and crowd analytics, and is optimized exclusively for Ouster’s digital lidar sensors. The Gemini platform consists of OS series lidar sensors, edge processor hardware, perception software, and cloud analytics.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Ouster Gemini platform provides people and object detection, classification, and tracking for actionable, intuitive, and customizable insights while preserving personally identifiable information. Gemini enables our customers to detect, classify, and track objects through a covered area which can be expanded by meshing lidar sensors together to form a single, cohesive 3D view. This approach has multiple advantages compared to other similar solutions and can be used to replace or enhance existing camera, radar, or RF beacon-based systems:</w:t>
      </w:r>
    </w:p>
    <w:p>
      <w:pPr>
        <w:spacing w:after="0" w:line="7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Detection accuracy</w:t>
      </w:r>
      <w:r>
        <w:rPr>
          <w:rFonts w:ascii="Times New Roman" w:cs="Times New Roman" w:eastAsia="Times New Roman" w:hAnsi="Times New Roman"/>
          <w:sz w:val="18"/>
          <w:szCs w:val="18"/>
          <w:color w:val="auto"/>
        </w:rPr>
        <w:t>. Gemini perception software is specifically optimized to take advantage of the rich and robust data provided by Ouster’s digital lidar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sensors. The high resolution and improved range of our digital lidar sensors combined with a state of the art deep neural network based perception algorithms enhance the detection, classification, and tracking accuracy of the perception software.</w:t>
      </w:r>
    </w:p>
    <w:p>
      <w:pPr>
        <w:spacing w:after="0" w:line="6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Uninterrupted tracking</w:t>
      </w:r>
      <w:r>
        <w:rPr>
          <w:rFonts w:ascii="Times New Roman" w:cs="Times New Roman" w:eastAsia="Times New Roman" w:hAnsi="Times New Roman"/>
          <w:sz w:val="18"/>
          <w:szCs w:val="18"/>
          <w:color w:val="auto"/>
        </w:rPr>
        <w:t>. Gemini enables seamless tracking of objects across an entire area. Users can easily mesh multiple lidar sensors together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software interface, allowing a seamless 3D view of object movement throughout the space.</w:t>
      </w:r>
    </w:p>
    <w:p>
      <w:pPr>
        <w:spacing w:after="0" w:line="5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Easy setup and administration</w:t>
      </w:r>
      <w:r>
        <w:rPr>
          <w:rFonts w:ascii="Times New Roman" w:cs="Times New Roman" w:eastAsia="Times New Roman" w:hAnsi="Times New Roman"/>
          <w:sz w:val="18"/>
          <w:szCs w:val="18"/>
          <w:color w:val="auto"/>
        </w:rPr>
        <w:t>. The simplicity of the Gemini platform, along with its intuitive user interface, enables customers to install, configure,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the system with ease.</w:t>
      </w:r>
    </w:p>
    <w:p>
      <w:pPr>
        <w:spacing w:after="0" w:line="5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Privacy-preserving</w:t>
      </w:r>
      <w:r>
        <w:rPr>
          <w:rFonts w:ascii="Times New Roman" w:cs="Times New Roman" w:eastAsia="Times New Roman" w:hAnsi="Times New Roman"/>
          <w:sz w:val="18"/>
          <w:szCs w:val="18"/>
          <w:color w:val="auto"/>
        </w:rPr>
        <w:t>. Gemini does not output any personally identifiable information, allowing customers to deploy advanced monitoring systems in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sensitive areas without privacy concerns.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BlueCity</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BlueCity is a Gemini-powered solution for traffic operations, planning, and safety. In addition to traffic signal actuation, BlueCity provides real-time data analytics and predictions, which can be used to improve traffic and crowd flow efficiency, improve urban planning, advance sustainability, and protect vulnerable road users in a wide range of weather and lighting conditions.</w:t>
      </w:r>
    </w:p>
    <w:p>
      <w:pPr>
        <w:spacing w:after="0" w:line="66"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7"/>
          <w:szCs w:val="17"/>
          <w:i w:val="1"/>
          <w:iCs w:val="1"/>
          <w:color w:val="auto"/>
        </w:rPr>
        <w:t>Improve flow efficiency</w:t>
      </w:r>
      <w:r>
        <w:rPr>
          <w:rFonts w:ascii="Times New Roman" w:cs="Times New Roman" w:eastAsia="Times New Roman" w:hAnsi="Times New Roman"/>
          <w:sz w:val="17"/>
          <w:szCs w:val="17"/>
          <w:color w:val="auto"/>
        </w:rPr>
        <w:t>. Connecting BlueCity’s intelligent solution to existing traffic controllers helps optimize signal timing and traffic and crowd flow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real-time, multimodal traffic data. This can result in reduced traffic congestion, decreased vehicle delays, and maximized system capacity.</w:t>
      </w:r>
    </w:p>
    <w:p>
      <w:pPr>
        <w:spacing w:after="0" w:line="2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Improve urban planning</w:t>
      </w:r>
      <w:r>
        <w:rPr>
          <w:rFonts w:ascii="Times New Roman" w:cs="Times New Roman" w:eastAsia="Times New Roman" w:hAnsi="Times New Roman"/>
          <w:sz w:val="18"/>
          <w:szCs w:val="18"/>
          <w:color w:val="auto"/>
        </w:rPr>
        <w:t>. BlueCity can help improve mobility and urban growth management for all modes of transport with data-based decision-making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insights on the volume, speed, and direction of pedestrians, cyclists, and vehicles.</w:t>
      </w:r>
    </w:p>
    <w:p>
      <w:pPr>
        <w:spacing w:after="0" w:line="5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Data analytics dashboard</w:t>
      </w:r>
      <w:r>
        <w:rPr>
          <w:rFonts w:ascii="Times New Roman" w:cs="Times New Roman" w:eastAsia="Times New Roman" w:hAnsi="Times New Roman"/>
          <w:sz w:val="18"/>
          <w:szCs w:val="18"/>
          <w:color w:val="auto"/>
        </w:rPr>
        <w:t>. BlueCity provides a user dashboard with actionable insights such as number of near misses, pedestrian crossing time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illegal turn detection, and red-light violations.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ZED Cameras and Sensing and Perception Platform</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the acquisition of Stereolabs, Ouster now offers ZED cameras and AI Compute. ZED is a high-performance camera that provides 2D and 3D color data with ultra-low latency. The ZED cameras leverage Stereolabs’ Neural Depth engine that delivers up to a 10x sensing price-to-performance advantage over traditional cameras. These products have been ruggedized for harsh industrial conditions with a compact form factor that simplifies robotics integration. The embedded AI compute hardware facilitates native, real-time sensor fusion at the edge.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Development</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continue to invest in growing our digital lidar, camera, and compute product portfolio and increasing the capabilities of our sensing and perception platform and our software solutions.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currently expect that our future digital lidar product developments will be primarily driven by improvements to our semiconductors—the receiver SoC and VCSEL laser array— with little to no impact on the designs or architecture of our sensors.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digital lidar product roadmap primarily consists of designing, building, and integrating improved semiconductors into the OS product line, which we anticipate will improve the range and resolution of our sensors, among other features, without substantial changes to the form factor of our sensors.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manufactured prototypes of our DF sensors for the automotive ADAS market. The DF series is also suitable for non-ADAS use cases where a full 360 degree field of view is not required. After the initial release, we anticipate our DF sensors will improve in performance over time as we improve our core SoC and laser components.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software solutions include BlueCity for intelligent transportation systems, and Ouster Gemini for security, logistics automation, and crowd monitoring. We continue to work to improve the performance and expand the capabilities of these platforms through our artificial intelligence perception software and application-specific integrations, analytics, and dashboards.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target four markets globally: automotive, industrial, robotics, and smart infrastructure. For the year ended December 31, 2025, two customers accounted for more than 10% of our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Automation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customers in the industrial market are generally engaged in the manufacturing, operation, or after-market modification of heavy industrial machinery, which includes automated guided vehicles (“AGVs”), autonomous mobile robots (“AMRs”), mining vehicles, large material handling vehicles such as forklifts, construction vehicles, agricultural vehicles, and port machinery among other machines. Lidar is used on heavy machinery to enable autonomous usage of the machinery and to improve worker safety. We believe that our industrial customers value the high resolution, range, small form factor, and high reliability of our digital lidar sensors.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Smart Infrastructure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customers in the smart infrastructure market are generally engaged in monitoring and analyzing human and vehicle movements for the purpose of providing building security and improving roadway safety and efficiency. This market includes federal, state, and local governments as well as private commercial businesses. Unlike traditional cameras, our lidar sensors provide accurate spatial data in low lighting conditions while safeguarding privacy concerns. We believe that our smart infrastructure customers value the high resolution, 360° horizontal field-of-view, and high reliability of our digital lidar sensors. Our lidar sensors and software solutions provide smart infrastructure customers the ability to detect, classify, and track people and vehicles through an easy to use software user interface, allowing them to interact with lidar data indirectly and in a task-relevant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Robotics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customers in the robotics industry are generally engaged in the design, production, operation, or after-market modification of small mobile human-less vehicles, which includes wheeled robots, legged robots, and drones among other vehicles. Our customers in the robotics market include both commercial entities and nonprofit entities, such as research institutions. Our customers in the robotics market are installing lidar sensors for autonomous navigation, collision avoidance, and mapping in order to provide services such as last-mile delivery, street sweeping, and asset inspection. We believe our robotics customers value the high resolution, precision, wide vertical field-of-view, and high reliability of our lidar sensors.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in the automotive industry fall into two categories: customers developing various forms of self-driving technology for driverless mobility and freight applications, and customers developing consumer ADAS. Both groups are generally engaged in the design, production, manufacture, operation, or after-market modification of automobiles, which includes consumer and commercial vehicles, commercial heavy trucks, and buses among other vehicles. Automotive customers use lidar as a core component in ADAS and for autonomous driving. We believe that our automotive customers value the high resolution, high reliability, and cost of our lidar technology.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will allow us to maintain and extend our position as a leading provider in high-resolution lidar solutions.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digital lidar technology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we invented and patented our digital lidar technology in 2015, we have launched a suite of products built on a shared architecture. Our proprietary SoC replaces hundreds to thousands of discrete components with a single, tightly-integrated, custom SPAD receiver array, and our high-efficiency VCSEL array integrates every laser into a single die. Moreover, our patented micro-optical system increases digital lidar performance by the equivalent of an orders-of-magnitude increase in detector efficiency. We believe that this architecture will allow us to continue to increase sensor performance while reducing its cost for many years to come. The Sense acquisition and the Velodyne Merger have enabled us to acquire additional intellectual property, which we believe will continue to distinguish us in the lidar space.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performance at a competitive price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we introduce future generations of our proprietary SoC, we expect to be able to offer improved resolution, range, precision, and reliability, and unlock new data types. Our simple digital architecture shared across our products has allowed for a single manufacturing process and common supply chain for all of our sensor models that we believe results in cost advantages that help us offer lower prices to our customers while maintaining gross margins.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and scalable product architecture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products employ a software-defined architecture, enabling low-cost development of new industry-specific applications, and a simple shared hardware architecture for scalable manufacturing.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diversified customer base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diversified and strive to continue to diversify our customer base by growing our business in automotive, industrial, robotics, and smart infrastructure, which we believe gives us key advantages. Our customer and market diversity add stability to our business and we are able to reduce our exposure to the risk of development delays or regulatory changes that may affect our sales to a single customer or in a particular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 manufacturing today</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designed our technology for high-volume manufacturing. At our San Francisco, California facility, we manufacture sensors, including new product introductions and Buy America and Buy American-compliant sensors. While we continue to manufacture certain sensors in San Francisco, the Company outsources higher volume product manufacturing to our manufacturing partners Benchmark and Fabrinet, both of which have manufacturing facilities in Thailand. We believe these relationships provide multiple benefits, including allowing us to reduce our operating costs and the ability to leverage our partners’ manufacturing capacity to quickly respond to changes in demand.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solid-state technology positioned to capture high volume OEM opportunities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expect that our prospective customers will select lidar suppliers primarily based on the anticipated ability to meet performance, reliability, design, and cost requirements. We believe that the solid-state digital lidar technology in our DF sensors will meet these requirements and lead to production wins and growth in this segment.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reliable and rugged technology</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to high performance, comparatively low cost, and high customization flexibility, our sensors are designed to be highly reliable. We believe Ouster has one of the lowest field failure rates in the industry, which reduces the total cost of ownership of our sensors and we believe results in greater loyalty of our customers to our products.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management team</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Innovation is central to our corporate culture. Ouster’s co-founders Angus Pacala and Mark Frichtl have over two decades of combined experience in lidar engineering. In collaboration with our seasoned executive management team, they drive our vision and corporate strategy. We believe that the digital lidar technology invented by our founders will continue to drive significant improvements in autonomous technology. As the Company has developed, we have built a strong and stable supporting team, with long-tenured leaders in sales, marketing, operations, engineering, manufacturing, legal and finance.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growth strategy is based upon three components: the attractive performance and cost economics of our digital lidar technology, accelerating adoption with our software solutions, and focused commercial execution.</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Today, our digital lidar technology powers OS and DF sensors that are high performance, highly customizable, reliable, and cost competitive. As we continue to upgrade the SoCs powering our OS and DF sensors, we expect to improve the performance of our sensors without significant negative impact to sensor cost or form factor. We plan to leverage this dynamic to grow our sensor sales by steadily improving our product performance while consistently maintaining a competitive price point.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software solutions for multiple end markets present a significant growth opportunity. For existing lidar users, software has the potential to decrease development time and improve system performance. For customers who historically rely on other sensor modalities or lack technical expertise, the introduction of software such as Ouster Gemini can catalyze the adoption of lidar by lowering the engineering resources required to transform raw data into actionable insights.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our sensor and software growth opportunities, we believe we can increase our growth through commercial execution excellence. By building a commercial organization with highly-skilled employees and efficient processes and systems, we believe we can improve our customer acquisition, accelerate existing customer growth, increase sales through distribution networks, and build valuable strategic partnerships.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With the acquisition of Stereolabs, we are expanding our product portfolio to featuring new camera vision solutions and AI compute. Ouster is positioned to secure a greater share of the sensing and perception market, including new high-growth use cases such as humanoid robotics, industrial automation, and visual inspection.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growth strategy include: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Execute on our product roadmap</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continue to place a priority on innovation and product development. We plan to continue improving our product performance and adding unique functionality while maintaining a competitive price point. We believe that improving our products at a consistently competitive price positions us to win new and expanded business opportunities in our target markets over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sales volumes from existing accounts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aim to create an established customer base in each of our four target markets that can be further strengthened as our relationships with customers mature. As our customers move through our pipeline from benchtop evaluation to pilot evaluation, to pre-production, and finally to production—we believe our order volumes will increase at each stage in the sales process. We expect that moving to series production can provide a material increase of up to several orders of magnitude in annual sales volume for a given customer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Commercialize digital lidar for emerging high volume OEM opportunities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that our solid-state DF sensor will meet industry requirements for performance, cost, and reliability in high volume OEM applications. As development progresses, we will strive to build and maintain relationships with global OEMs and Tier 1s to further strengthen demand.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distribution network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While the majority of our sales are direct to customers, we also sell our sensors through a domestic and international distribution network, which has expanded as a result of the Velodyne Merger. We believe these distributors enable us to reach more end customers in an operationally efficient manner. We plan to grow our existing network and establish new distribution partnerships in regions where we do not currently have partnerships. By leveraging these relationships, we believe we will be able to reach more customers faster and rapidly grow our sales.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partner ecosystem</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Effectively integrating and using a lidar sensor can be a complex task for some end customers. An ecosystem of value-added software and integrator companies is growing across the world, offering perception software and tailored solutions for our target markets. We have relationships with many of these companies, and have collaborated with some of them to develop software and services based on our sensors. We intend to further develop complementary solutions and integration services that we believe will provide potential customers with the requisite technical know-how and we expect that this will accelerate our sales growth.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 our worldwide sales and marketing presence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further grow our market share in our target markets, we intend to opportunistically scale our commercial team to serve the needs of each end market. As our market presence grows through targeted sales and marketing activity, we believe our customer base will grow. In addition, we are increasingly cross-selling within accounts, accessing new projects and opportunities within accounts where we have a beachhead position and increasing the number of addressable opportunities.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strategic transactions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explored and may continue to explore strategic acquisitions, mergers or other transactions as a means to improve our competitive position. For example, in February 2023, we completed our merger of equals with Velodyne which helped us to strengthen our financial position, technology portfolio and software offering, and in February 2026, we completed our acquisition of Stereolabs, which is intended to help us broaden our Physical AI offerings by adding vision-based perceptions systems to our portfolio. While we see significant and growing demand for our products today, we believe selective transactions can create more expansive use cases for our products, provide greater access to target markets, improve our operating efficiency, or accelerate our product roadmap.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Our San Francisco, California facility manufactures sensors, including new product introductions: Buy America and Buy American-compliant sensors. For higher volume manufacturing where we can leverage bigger companies’ resources, we have invested in relationships with key manufacturing partners</w:t>
      </w:r>
    </w:p>
    <w:p>
      <w:pPr>
        <w:spacing w:after="0" w:line="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Benchmark and Fabrinet. We have also invested a significant amount of time and resources in streamlining our production process. Our optical alignment processes are partially or completely automated, which reduces manufacturing time and increases our production output. Our sensors also undergo application-focused final testing, which allows us to understand the real-world performance of our sensors before they are shipped to customers. We continue to invest in building manufacturing process control systems, which provide real-time production information on the sensors produced at the facilities in Thailand and San Francisco through integrated data stores and dashboards. This streamlined production process aims at lowering manufacturing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an increasing demand for lidar to help advance automated systems with the intended goal of increasing safety, improving efficiency and enhancing productivity. Lidar’s status as a critical sensor in many applications gives us the opportunity to add enhanced value to customers by providing comprehensive solutions. There is increasing adoption of lidar across a wide variety of industries. As a result, we compete against several companies developing lidar solutions for incorporation into these developing applications, some of which may be similar to ours. Our competitors may include and are not limited to: AEye, Aeva Inc., Cepton, Hesai Technology, Innoviz Technologies, Koito Manufacturing Co. Ltd., Luminar Technologies, MicroVision, Pepperl+Fuchs, Quanergy, RoboSense, Seyond, and SICK.</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some of our targeted customers may have their own internal lidar development programs. Our software products may also compete against companies that provide standalone software solutions. Although we believe our line of products and innovation support position us as a leader in the lidar market, we will continue to face competition from existing, established market competitors with greater resources and new companies developing lidar solutions.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maintain a global sales presence across the Americas, Europe, and Asia and Pacific markets. We sell directly to many of our customers and have also developed a global network of active distributors to sell, install, and support our solutions. Our commercial team is made up of experienced leaders who have been developing a focused sales organization geared towards ramping our sales pipeline. We continue to maintain a robust sales and marketing team to meet the demands of our existing customers and expect to expand our sales efforts to attract new customers. We plan to continue to expand and optimize our dealer network to ensure that we have sufficient geographic coverage across both existing and new markets.</w:t>
      </w:r>
    </w:p>
    <w:p>
      <w:pPr>
        <w:spacing w:after="0" w:line="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take a targeted marketing approach to each of our four focused markets. We develop and publish digital content designed to educate our audience on how to use Ouster’s products, and selectively use other channels and advertising methods to attract customers. We leverage opportunities to present and speak at market-specific conferences, executive events, trade shows and industry events to further develop our brand and reputation. These opportunities also allow us to showcase our technology and attract additional customer interest. Through customer feedback, industry events and strategic relationships, we continue to identify the evolving needs of our customers and, as a result, develop new and improved solutions. In addition, we have a robust social media presence and are investing in various digital marketing strategies and tools to further reach customers as well as build our brand. We also sponsor universities and other non-profit organizations to increase awareness of our technology and showcase its capabilities.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invested significant resources into research and development of our lidar-based technologies. We believe our ability to maintain a leadership position depends in part on our ongoing research and development activities.</w:t>
      </w:r>
    </w:p>
    <w:p>
      <w:pPr>
        <w:spacing w:after="0" w:line="54"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are primarily based in San Francisco, California; Ottawa, Canada; and Edinburgh, Scotland. Our research and development team is responsible for the design, development, manufacturing, and testing of our products. We focus our efforts on the development of digital lidar technology, developer tooling, software solutions, and innovative manufacturing technologies. The research and development team also partners with our operations and supply chain teams to develop scalable and reliable manufacturing processes and aid in supply chain planning and diversification. Our team consists of engineers, technicians, scientists, operators and professionals with experience from a wide variety of the world’s leading sensing, engineering, consumer electronics, and automotive organizations.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worldwide business activities are subject to the various laws, rules, and regulations of the United States as well as of foreign governments. Compliance with laws, rules, and regulations has not had a material effect upon our competitive position but changes to laws, rules, and regulations, and enforcement of such, including but not limited to those pertaining to export controls, foreign exchange controls and cash repatriation restrictions, taxes, tariffs, IP ownership and infringement, cybersecurity, data privacy requirements, AI use and ethics, competition and antitrust, business acquisition, advertising, anti-corruption, climate change, environmental, health and safety requirements, employment, and product regulations, could impact our competitive position or otherwise have adverse impact on our business in subsequent periods (see Part I, Item 1A. Risk Factors).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lidar technology company, we are subject to the Electronic Product Radiation Control Provisions of the Federal Food, Drug, and Cosmetic Act. These requirements are enforced by the U.S. Food and Drug Administration (“FDA”). Electronic product radiation includes laser technology. Regulations governing these products are intended to protect the public from hazardous or unnecessary exposure. Manufacturers are required to certify in product labeling and report to the FDA that their products comply with applicable performance standards as well as maintain manufacturing, testing and distribution records for their products. Furthermore, we are also subject to similar internationally harmonized standards and regulations governing the safe use of laser products. Based upon successful evaluations of the applicable laser products, followed by written attestation by international third-party certification agencies, manufacturers are required to create Self Declarations of Compliance (“SDOC”) of their products to such regulations, and label their products accordingly.</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products and solutions are also subject to U.S. and foreign trade and customs product classifications, including the U.S. Export Administration Regulations, U.S. Customs regulations and various economic and trade sanctions regulations administered by the U.S. Treasury Department’s Office of Foreign Assets Controls. Rising geopolitical tensions have led to new and/or increased compliance costs associated with export control laws and regulations and economic sanctions that impose licensing requirements or prohibition of the shipment of certain products to countries, governments, entities and persons. Adherence to these requirements could adversely affect our business and financial results, including ability to sell or ship our inventory of products or develop replacement products not subject to export control regulations, effectively excluding us from certain countries or regions.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Similarly, we are also subject to sourcing regulations such as the requirements under the Dodd-Frank Wall Street Reform and Consumer Protection Act of 2010 and the EU Conflict Minerals Regulation 2017/821, that require us to carefully monitor our supply chain. Adherence to these requirements could adversely affect the sourcing, availability and pricing of the materials that may be used in the manufacture of components used in our products.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customers may use our products in applications that are regulated and/or subject to industry standards. Such applications require that our products comply with the applicable regulations and standards, including, but not limited to, functional safety, cybersecurity, product safety and product performance standards. For example, we continue to add features to our existing OS product line, and we expect to design, engineer and test our new DF sensors, to meet evolving U.S. and international consumer product safety and performance requirements as well as Automotive and Industrial Functional Safety, Cybersecurity and performance certifications designed to ensure the safe deployment and operation of autonomous vehicles, automotive ADAS, industrial machines and robots. Significant foreign markets also continue to develop their own respective standards to define deployment requirements for higher levels of autonomy in these jurisdictions.</w:t>
      </w:r>
    </w:p>
    <w:p>
      <w:pPr>
        <w:spacing w:after="0" w:line="8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Our operations are subject to various international, federal, state and local laws and regulations governing the occupational health and safety of our employees and wage regulations. We are subject to the requirements of the federal Occupational Safety and Health Administration, as amended, (“OSHA”), and comparable international, state and local laws that protect and regulate employee health and safety.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climate-related, sustainability and environmental laws, rules and regulations that are evolving and changing.</w:t>
      </w:r>
    </w:p>
    <w:p>
      <w:pPr>
        <w:spacing w:after="0" w:line="104" w:lineRule="exact"/>
        <w:rPr>
          <w:sz w:val="20"/>
          <w:szCs w:val="20"/>
          <w:color w:val="auto"/>
        </w:rPr>
      </w:pPr>
    </w:p>
    <w:p>
      <w:pPr>
        <w:jc w:val="both"/>
        <w:ind w:right="160"/>
        <w:spacing w:after="0" w:line="242" w:lineRule="auto"/>
        <w:rPr>
          <w:sz w:val="20"/>
          <w:szCs w:val="20"/>
          <w:color w:val="auto"/>
        </w:rPr>
      </w:pPr>
      <w:r>
        <w:rPr>
          <w:rFonts w:ascii="Times New Roman" w:cs="Times New Roman" w:eastAsia="Times New Roman" w:hAnsi="Times New Roman"/>
          <w:sz w:val="18"/>
          <w:szCs w:val="18"/>
          <w:color w:val="auto"/>
        </w:rPr>
        <w:t>This is not an exhaustive list of laws, rules, and regulations. Compliance with these laws, rules and regulations may require us to incur significant costs to comply, including obtaining permits, licenses, inspections of our facilities and products, and implementation of additional internal controls and additional oversight obligations.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As of December 31, 2025, we employed 204 people on a full-time basis in the United States and 116 people on a full-time basis internationally, either directly through our international subsidiaries or through a professional employer organization. We also engaged a certain number of consultants and independent contractors to supplement our permanent workforce. None of our employees are currently represented by a labor union or covered by collective bargaining agreements. We believe we have strong and positive relations with our employees.</w:t>
      </w:r>
    </w:p>
    <w:p>
      <w:pPr>
        <w:spacing w:after="0" w:line="1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Inclusion and Belonging. </w:t>
      </w:r>
      <w:r>
        <w:rPr>
          <w:rFonts w:ascii="Times New Roman" w:cs="Times New Roman" w:eastAsia="Times New Roman" w:hAnsi="Times New Roman"/>
          <w:sz w:val="18"/>
          <w:szCs w:val="18"/>
          <w:color w:val="auto"/>
        </w:rPr>
        <w:t>To attract, motivate and retain a highly-skilled workforce throughout our organization, we are focused on facilitating a safe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work environment that leverages the capabilities of our employees and encourages diversity of thought. In furtherance of these objectives, we provide training in various topics including anti-harassment, ethics and regulatory compliance for our employees to promote a healthy and inclusive organizational culture. The Company is committed to the principles of equal employment and non-harassment. We are committed to complying with all federal, state, and local laws providing equal employment opportunities, and all other employment laws and regulations.</w:t>
      </w:r>
    </w:p>
    <w:p>
      <w:pPr>
        <w:spacing w:after="0" w:line="2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engagement. </w:t>
      </w:r>
      <w:r>
        <w:rPr>
          <w:rFonts w:ascii="Times New Roman" w:cs="Times New Roman" w:eastAsia="Times New Roman" w:hAnsi="Times New Roman"/>
          <w:sz w:val="18"/>
          <w:szCs w:val="18"/>
          <w:color w:val="auto"/>
        </w:rPr>
        <w:t>We prioritize employee engagement and value employee feedback, which we gauge through periodic employee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surveys that help us monitor both engagement and satisfaction and provides an additional reference point for evaluating initiatives aimed at enhancing our employees’ experience.</w:t>
      </w:r>
    </w:p>
    <w:p>
      <w:pPr>
        <w:spacing w:after="0" w:line="1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offer what we consider attractive compensation and benefit packages. This may include depending on location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eligibility, paid time-off, 401(k) plan with a Company match (subject to the IRS annual limit), stock-based awards, employee stock purchase plan, health and wellness programs, and other benefits. Our long-term equity compensation is intended to align management interests with those of our stockholders and to encourage the creation of long-term value.</w:t>
      </w:r>
    </w:p>
    <w:p>
      <w:pPr>
        <w:spacing w:after="0" w:line="18"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Training and Development. </w:t>
      </w:r>
      <w:r>
        <w:rPr>
          <w:rFonts w:ascii="Times New Roman" w:cs="Times New Roman" w:eastAsia="Times New Roman" w:hAnsi="Times New Roman"/>
          <w:sz w:val="18"/>
          <w:szCs w:val="18"/>
          <w:color w:val="auto"/>
        </w:rPr>
        <w:t>We provide management and leadership development sessions on a regular basis. We continue to expand our offerings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additional activities which bring together managers of all levels from across the organization.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https://ouster.com</w:t>
      </w:r>
      <w:r>
        <w:rPr>
          <w:rFonts w:ascii="Times New Roman" w:cs="Times New Roman" w:eastAsia="Times New Roman" w:hAnsi="Times New Roman"/>
          <w:sz w:val="18"/>
          <w:szCs w:val="18"/>
          <w:color w:val="auto"/>
        </w:rPr>
        <w:t xml:space="preserve">. At our Investor Relations website, </w:t>
      </w:r>
      <w:r>
        <w:rPr>
          <w:rFonts w:ascii="Times New Roman" w:cs="Times New Roman" w:eastAsia="Times New Roman" w:hAnsi="Times New Roman"/>
          <w:sz w:val="18"/>
          <w:szCs w:val="18"/>
          <w:i w:val="1"/>
          <w:iCs w:val="1"/>
          <w:color w:val="auto"/>
        </w:rPr>
        <w:t>https://investors.ouster.com</w:t>
      </w:r>
      <w:r>
        <w:rPr>
          <w:rFonts w:ascii="Times New Roman" w:cs="Times New Roman" w:eastAsia="Times New Roman" w:hAnsi="Times New Roman"/>
          <w:sz w:val="18"/>
          <w:szCs w:val="18"/>
          <w:color w:val="auto"/>
        </w:rPr>
        <w:t xml:space="preserve">,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 Our filings with the SEC can also be accessed through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Our website and the information included in or linked to our website are not part of this Annual Report on Form 10-K or any other report we file with, or furnish to, the SEC.</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and uncertainties, some of which are described below. You should carefully consider the risks and uncertainties described below, together with all of the other information contained in this Annual Report on Form 10-K.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12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Our company has a limited operating history, having been in operation since 2015. Our limited operating history makes it difficult for us to evaluate our future prospects. Certain factors that could alone or in combination prevent us from successfully commercializing our products include:</w:t>
      </w:r>
    </w:p>
    <w:p>
      <w:pPr>
        <w:ind w:left="660" w:hanging="328"/>
        <w:spacing w:after="0" w:line="23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recession or economic downturn globally or in the jurisdictions in which we do business;</w:t>
      </w:r>
    </w:p>
    <w:p>
      <w:pPr>
        <w:spacing w:after="0" w:line="35" w:lineRule="exact"/>
        <w:rPr>
          <w:rFonts w:ascii="Arial" w:cs="Arial" w:eastAsia="Arial" w:hAnsi="Arial"/>
          <w:sz w:val="22"/>
          <w:szCs w:val="22"/>
          <w:color w:val="auto"/>
        </w:rPr>
      </w:pPr>
    </w:p>
    <w:p>
      <w:pPr>
        <w:ind w:left="660" w:right="1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or deflation, as well as changes in existing and expected rates of inflation or deflation, which may vary across the jurisdictions in which we do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 or supply significant parts needed for our production process;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successful relationships with our manufacturers and suppliers;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tailor our commercial production depending on scale and on a cost-effective basis in a timely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product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intellectual property;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market acceptance of our products with customers and maintain and expand customer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adaptability of our products and the ability of our customers to integrate our products into their products in a timely and effective manner;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direct and indirect competitors that may seek to enter the markets in which we expect to compete or that may seek to impose barriers to one or more markets that we intend to target;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long-lead time for development of market opportunities, for which we are only at an early stage of development;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revenue, budget, and manage our expenses;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or failure to collect, accounts receivable, as well as longer collection periods;</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and new or modified local laws and regulations applicable to our business, or laws and regulations applicable to our customers for applications in which they may use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plan for and manage capital expenditures for our current and future products, and manage our supply chain and supplier relationships related to these current and future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changes and changes in the markets in which we operate and expect to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the value of our reputation and brand;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business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talented people at all levels of our organization.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understand fully or adequately address the challenges that we are currently encountering or that we may encounter in the future, including those challenges described here and elsewhere in this Part I, Item 1A. “Risk Factors,” our business, financial condition and results of operations could be adversely and materially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to date and may never achieve or sustain profitability.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experienced net losses in each year since our inception. In the years ended December 31, 2025 and 2024, we incurred net losses of $60.4 million and $97.0 million, respectively. We expect to continue to incur losses for the foreseeable future as we expand our product offering and continue to scale our commercial operations and research and development program. As of December 31, 2025, we had an accumulated deficit of $973.4 million. Even if we are able to increase the sales of our products, there can be no assurance that we will be profitable.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we will continue to incur significant losses for the foreseeable future as we:</w:t>
      </w:r>
    </w:p>
    <w:p>
      <w:pPr>
        <w:spacing w:after="0" w:line="63" w:lineRule="exact"/>
        <w:rPr>
          <w:sz w:val="20"/>
          <w:szCs w:val="20"/>
          <w:color w:val="auto"/>
        </w:rPr>
      </w:pPr>
    </w:p>
    <w:p>
      <w:pPr>
        <w:ind w:left="660" w:right="30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as needed, to support investments in research and development (“R&amp;D”), in order to develop technology and related software and to support the compliance needs in connection with being a public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functions, including expansion of our customer support and distribution capabilities;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and manufacturing.</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our products do not achieve sufficient market acceptance, we will not become profitable. If we fail to become profitable, or if we are unable to fund our business we may be unable to continue our operations. There can be no assurance that we will ever achieve or sustain profitability.</w:t>
      </w:r>
    </w:p>
    <w:p>
      <w:pPr>
        <w:spacing w:after="0" w:line="5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R&amp;D costs and devote significant resources to developing and commercializing new products, which could significantly affect our ability to become profitable and may not result in revenue to us. Any delay or interruption of the development and commercialization of new products may adversely affect our existing business and prospects for securing future business.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 customer requirements, and introducing new and effective products at an opportune time that may then achieve market acceptance. To remain competitive, we continue to develop new products and expand our existing product offerings. For instance, in January 2023, we announced the release of our software, Ouster Gemini, a cloud-backed digital lidar perception platform for crowd analytics, security, and intelligent transportation systems. Since then, we have continued to improve Ouster Gemini and its ability to detect, classify, and track moving objects in real-time using the 3D data from a single or multiple fused Ouster lidar sensors. In connection with the development of our products, we incur and expect to continue to incur substantial R&amp;D costs, which may increase over time. Our R&amp;D expenses were $65.2 million and $58.1 million during the years ended December 31, 2025 and 2024, respectively. R&amp;D expenditures will adversely affect our results of operations in the future.</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our R&amp;D program may be delayed and may not produce timely results. If we cannot produce successful results in time to accommodate customers’ or potential customers’ development timelines, we may lose business. If we are unsuccessful in introducing these products in accordance with our product launch plans or any publicly announced launch dates, it may be injurious to our reputation and brand and adversely affect our ability to be competitive in our four target markets and potential new markets. In launching such products, we may face foreseen and unforeseen difficulties that adversely affect such commercialization and could have a material adverse effect on our operations and business. Additionally, the success of our competitors’ R&amp;D efforts, including producing higher performing products or providing products competitive to our new products to our customers before us, may result in loss of business to us.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promise of new products and successful R&amp;D may even decrease our expected and actual revenue attributable to existing products, as historically, customers have delayed or cancelled outstanding purchasing commitments for certain products in anticipation of the release of new generation products from the Company. There is no guarantee that these delays and cancellations will not occur again in the future as we develop, announce and commercialize new products like our DF solid-state lidar sensor or our complementary software solutions.</w:t>
      </w:r>
    </w:p>
    <w:p>
      <w:pPr>
        <w:spacing w:after="0" w:line="6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overcome our limited sales history and establish and maintain confidence in our long-term business prospects among customers in our target markets or if our revenue opportunity does not materialize into sales and revenue, then our financial condition, operating results, business prospects and access to capital may suffer materially.</w:t>
      </w:r>
    </w:p>
    <w:p>
      <w:pPr>
        <w:spacing w:after="0" w:line="6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Our company has a limited sales history, as we only commenced selling our first revenue grade products in late 2018. Because of our limited sales history, we have limited experience managing and growing our relationships with existing customers and securing new customers in our target industries.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relationships with many of our existing customers are limited as they may not be prepared to select Ouster as a long-term supplier given our limited operating and sales history. To establish preliminary relationships with certain customers and to build their confidence, we have entered, and may continue to enter, into evaluation agreements, spot buy purchase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orders, non-binding letters of intent, and strategic customer agreements. These agreements are largely non-binding, do not include any minimum obligation to purchase any quantities of any products at this time, and do not require that the parties enter into a subsequent definitive, long-term, binding agreements; however, these preliminary agreements assist the Company in building confidence with customers if we are able to effectively perform and otherwise maintain positive relationships with them. If we are unable to build confidence with our existing customers, either through these preliminary agreements (due to any failure to enter into or perform under the agreements) or otherwise, or if we are unable to secure opportunities from these non-binding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including those involving strategic customers, we may be unable to produce accurate forecasts or become profitable.</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new customers may be less confident in us and less likely to purchase our products because of a lack of awareness about our products. They may also not be convinced that our business will succeed because of the absence of an established sales, service, support, and operating history. To address this, we must, among other activities, grow and improve our marketing capability and brand awareness, which may be costly. These activities may not be effective or could delay our ability to capitalize on the opportunities that we believe are suitable to our technology and products and may prevent us from successfully commercializing our products.</w:t>
      </w:r>
    </w:p>
    <w:p>
      <w:pPr>
        <w:spacing w:after="0" w:line="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 build and maintain our business, we must maintain confidence in our products, long-term financial viability and business prospects. Failure to establish and maintain customer confidence may also adversely affect our reputation and business among our suppliers, analysts, ratings agencies, stockholders and other interested parties.</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spacing w:after="0" w:line="5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Our financial results may fluctuate as a result of a variety of factors, including:</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ultimate end market and customer adoption of our products and particular versions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varying length of production cycles for our customers to integrate our products into their broader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considerations and impacts on our costs of goods sold, such as shortages of semiconductor chips;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mix and average selling prices, including negotiated selling prices and long-term customer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raw materials or supplied components critical for the manufacture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relating to our digital lidar technology and related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affecting us, our supply chain, or applications in which our customers use our products or software, including export controls, tariffs, data privacy and security, or new regulatory standards for automotive, industrial, infrastructure, or robotics;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or claims that may give rise to such costs; and</w:t>
      </w:r>
    </w:p>
    <w:p>
      <w:pPr>
        <w:spacing w:after="0" w:line="6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Many of these factors are outside of our control and may not accurately reflect the underlying performance of our business. The individual or cumulative effects of factors discussed above could result in large fluctuations and unpredictability in our quarterly and annual operating results. As a result, comparing our operating results on a period-to-period basis may not be meaningful.</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if our performance is consistent with any previously publicly stated guidance.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margins could be adversely affected if we fail to maintain competitive average selling prices, high sales volumes, and/or fail to reduce product costs.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Cost-cutting initiatives adopted by our customers often place increased downward pressure on our average selling prices. We also expect that any long term or high-volume agreements with customers may require step-downs in pricing over the term of the agreement or, if commercialized, over the period of production. We strive to keep our average selling price competitive and expect to achieve profitability by maintaining competitive average sales prices and through continually lower product costs. Our average selling price may be driven down by customer-specific selling price fluctuations such as non-standard discounts on large volume purchases. These lower average selling prices on large volume purchases may cause fluctuations in revenue and gross margins on a quarterly and annual basis and ultimately adversely affect our profitability. We have experienced and may in the future experience declines in the average selling prices of our products generally as our customers seek to commercialize autonomous systems at prices low enough to achieve market acceptance and as our competitors continue to produce and commercialize lower cost competing technologies. To achieve profitability and maintain margins, we will also need to continually reduce product and manufacturing costs. Reductions in product and manufacturing costs are principally achieved by scaling our production volumes and through step changes in manufacturing and continued engineering of the most cost-effective designs for our products. Further, as we continue to provide support for REV6, we anticipate downward pressure on our margins. In addition, we must continuously drive initiatives to reduce labor cost, improve worker efficiency, reduce the cost of materials, further lower overall product costs by carefully managing component prices, inventory and shipping cost, and minimize the impacts of tariffs and other regulatory impacts. We need to continually increase sales volume and introduce new, lower-cost products in order to maintain our overall gross margin. If we are unable to maintain competitive average selling prices, increase our sales volume or successfully introduce new, low-cost products, our revenue and overall gross margin will likely decline.</w:t>
      </w:r>
    </w:p>
    <w:p>
      <w:pPr>
        <w:spacing w:after="0" w:line="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market participants that have substantially greater resources than us and against known and unknown market entrants who may disrupt our target markets.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target markets are highly competitive and we may not be able to compete effectively in the market against these competitors. Competitors may offer lidar products at lower prices than ours, including pricing that we believe is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have entered into commercial relationships with key customers and have built relationships and dependencies between themselves and those key customers.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current market competitors, new competitors may enter the lidar market or create products that function as an alternative to lidar, which may</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disrupt the commercial landscape of our target markets in ways that we may not be able to adapt to adequately or in a timely fashion. The already competitive landscape of the lidar market, including both foreseeable and unforeseeable entries of competitors and lidar technology from those competitors in our target markets, along with the potential emergence of new non-lidar solutions, may result in downward pricing pressure, reduced margins and may impede our ability to increase the sales of our products or cause us to lose market share, any of which will adversely affect our business, results of operations and financial condition.</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many customers that are large corporations with substantial negotiating power and exacting product standards. If we are unable to sell our products to these customers, our prospects and results of operations will be adversely affected.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current and potential customers are large corporations that often possess significant leverage over their suppliers, and can successfully demand contract terms favorable to themselves, such as reserving the right to terminate their supply contracts for convenience. The disparities in negotiating power between us and larger corporations have required, and may require in the future, that we accept less favorable contract terms. These large corporations also have exacting technical specifications and requirements that we have been unable to, and may continue to be unable to, meet, thereby precluding our ability to secure sales. Meeting the technical requirements to secure and maintain significant contracts with any of these companies will require a substantial investment of our time and resources, and if we fail to comply with our customers’ technical specifications and standards, we may lose existing and future business. Even when we succeed in securing contracts, these large companies have required, and may require in the future, evolving technical specifications for our products and may terminate our agreement or make a later determination that our products are not satisfactory, and even set a standard for the industry that we may not be able to meet. We therefore have no assurance that we can establish relationships with these companies, that our products will meet the needs of these or other companies, or that a contract with these companies will culminate in significant or any product sales.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Furthermore, in some instances, these large companies may have internally developed products and solutions that are competitive to our products. These companies may have substantial research and development resources, which may allow them to acquire or develop independently, or in partnership with others, competitive technologies. Such activities may foreclose significant sales opportunities for our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are not selected for inclusion in our target markets, our business will be materially and adversely affected.</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Although our products are designed for use in multiple markets, each of our target or new markets may have unique features and demands. If we are unsuccessful in meeting this demand, it may affect our entrance into these target or new markets which could adversely affect our future results of operations.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products are used in a wide variety of existing and emerging use cases in the industrial market, where our target customers are generally engaged in the manufacturing, operation, or after-market modification of heavy industrial machinery. These customers tend to be large companies that move slowly to larger scale production, often with years-long timelines. If our products are not chosen for deployment in these projects, or we lose a program under any circumstances, we may not have an opportunity to obtain that business again for many years. Industrial automation is a demanding industry with product specifications that our products may not always meet.</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products also are used in a wide variety of existing and emerging use cases in the smart infrastructure market, which generally consists of public bodies and private commercial businesses engaging in the monitoring and analysis of pedestrian and vehicle movements for the purpose of providing building security, improving road user safety, and increasing roadway efficiency. This is still a nascent market, and while this industry is experimenting with the use of lidar in these applications, our customers may decide that lidar is not a viable solution for a variety of reasons, including price points, interoperability, and integration of lidar sensors. Customers in this market are often local governments, such as city governments, which may be subject to political pressures, and may not control their own budgets. For example, programs could be cancelled due to executive or legislative action that is out of a local government’s control.</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products also may be purchased by automotive OEMs and their suppliers in connection with their design and development of autonomous driving and ADAS technology. These programs are time and resource intensive, requiring thousands of man hours and several years. Automotive OEMs and suppliers undertake extensive testing or qualification processes prior to placing orders for large quantities of products such as ours, because such products will function as part of a larger system or platform and must meet other specifications. We spend significant time and resources to pursue the business of having our products selected by automotive OEMs and their suppliers for use in the manufacture of a particular vehicle model. If we are not chosen to supply products to Tiers 1s, OEMs may be less inclined to select our products for a particular vehicle model, which could turn into a lost opportunity to supply our products to this automotive OEM for a period of several years. If our products are not selected by an automotive OEM or its suppliers for one vehicle model or if our products are not successful in that vehicle model, it is less likely that our products will be deployed in other vehicle models of that OEM. If we fail to win a significant number of vehicle models from one or more of automotive OEMs or their suppliers, our business, results of operations and financial condition may be adversely affected.</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products also are used in a wide variety of existing and emerging use cases in the robotics market, in which our customers are generally engaged in the design, production, operation, or after-market modification of small mobile unmanned vehicles, which includes wheeled robots, legged robots, and drones. This is a competitive market that often has strict functional and pricing requirements for products. If we are unable to make products that meet these requirements, or sell products at the required price point, we could lose this business to competitors or competitive technologies. There are diverse and potentially conflicting requirements across the robotics industry that may force us to prioritize certain segments over others, resulting in a lower total available market. Our target markets involve risks of program delay, loss, and cancellation.</w:t>
      </w:r>
    </w:p>
    <w:p>
      <w:pPr>
        <w:spacing w:after="0" w:line="7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could result in unforeseen delays or expenses from undetected defects, errors or reliability issues in hardware or software which could reduce the market adoption of our new products, damage our reputation with current or prospective customers, expose us to product liability and other claims and adversely affect our operating costs.</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products are highly technical and very complex and require high standards to manufacture and have in the past and will likely in the future experience defects, errors or reliability issues at various stages of development. We may be unable to timely release new products, manufacture existing products, correct problems that have arisen or correct such problems to our customers’ satisfaction. Additionally, undetected errors, defects or reliability issues, especially as new products are introduced or as new versions are released, could result in serious injury to the end users of technology incorporating our products, or those in the surrounding area, our customers never being able to commercialize technology incorporating our products, litigation against us, negative publicity and other consequences. These risks are particularly prevalent in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autonomous driving and ADAS markets. Some errors or defects in our products may only be discovered after they have been tested, commercialized and deployed by customers. If that is the case, we may incur significant additional development costs and product recall expenses, repair and/or replacement costs. These problems may also result in claims, including class actions, against us by our customers or others. Our reputation or brand may be damaged as a result of these problems and customers may be reluctant to buy our products, which could adversely affect our ability to retain existing customers and attract new customers and could adversely affect our financial results.</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us and our products. In addition, our business liability insurance coverage could prove inadequate with respect to a claim and future coverage may be unavailable on acceptable terms or at all. These product-related issues could result in claims against us and our business could be adversely affected.</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customers use our solutions in autonomous driving and ADAS applications, which present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or autonomous driving or certain ADAS applications increased the risk of injury to all or a subset of our customers, they may pass laws or adopt regulations that limit the use of our products or increase our liability associated with the use of our products or that regulate the use of or delay the deployment of autonomous driving and ADAS technology. Any of these events could adversely affect our brand, relationships with customers, operating results or financial condition.</w:t>
      </w:r>
    </w:p>
    <w:p>
      <w:pPr>
        <w:spacing w:after="0" w:line="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direct or indirect liabilities in connection with our product warranties which could adversely affect our business and operating results.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typically offer a limited product warranty that requires our products to conform to the applicable specifications and be free from defects in materials and workmanship for one to two years.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particular, the usage of our products by target customers could make us liable for warranty claims and pecuniary and reputational damages. In our target markets, our products may be placed in physical locations and environments that present harsh operating conditions, or that present a risk of product damage due to accidents or vandalism. This may result in more product failures than we anticipate, and may require us to provide warranties for our products beyond our knowledge of their performance. This could increase the rate of customer returns and warranty claims, resulting in higher-than-expected operating costs for us. Product failures may also affect market acceptance of our products and our ability to win future business. Any negative publicity related to the perceived quality of our products could affect our brand image, partner and customer demand, and adversely affect our operating results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order to execute our business plan, which may not be available on terms acceptable to us, or at all.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require additional capital in order to execute on our business plan, and we may require additional capital to fund our R&amp;D efforts and to respond to technological advancements, competitive dynamics or technologies, customer demands, business opportunities, challenges, acquisitions or unforeseen circumstances and we may determine to utilize an “at-the-market” offering program or engage in other equity or debt financings or enter into credit facilities for other reasons. In order to stay on our growth trajectory and further business relationships with current or potential customers or partners, or for other reasons, we may issue equity or equity-linked securities to such current or potential customers or partners. We may not be able to timely secure additional debt or equity financing on favorable terms, or at all, particularly in an uncertain economic environment.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including through an “at-the-market” offering program, or other equity-linked securities or if we issue equity or equity-linked securities to current or potential customers to further business relationships,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 and our business results and operations could be materially and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adoption of lidar remains uncertain, and it is difficult to forecast long-term end-customer adoption rates and demand for our products.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majority of our revenue is generated by the sale of our digital lidar sensors and accessories. Given the evolving nature of the markets in which we operate, it is difficult to predict the customer demand or adoption rates for lidar technology generally or our products specifically. If demand does not develop or if we cannot accurately forecast customer demand, our future financial results, business, results of operations and financial condition will be adversely affected. If current or prospective customers have a negative perception of, or experience with, lidar or a competitor’s lidar products they may be reluctant to adopt lidar in general or specifically our products. Any negative publicity, regardless of its accuracy, could materially and adversely affect our business.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existing or new non-lidar technologies may emerge as customers’ preferred alternative to lidar and may adversely affect the adoption of our lidar solutions and of lidar generally. Significant developments in alternative technologies, such as cameras and radar, may materially and adversely affect our business, prospects, financial condition and operating results in ways we do not currently anticipate. Any failure by us or the lidar market generally to develop new or enhanced technologies or processes, or to react to changes in existing technologies, could adversely affect the adoption of lidar and sales of our current products or materially delay the development and introduction of new and enhanced products, which could result in the loss of competitiveness of our products, decreased revenue and a loss of market share to competitors.</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pursuing opportunities in markets that involve novel applications that are rapidly evolving, and that include both technological and regulatory uncertainties, making it difficult to predict the size and timing of market opportunities. For example, autonomous driving and lidar-based ADAS applications require complex technology, stringent testing, and rigorous safety controls. Because these automotive systems are both themselves complex, and also depend on complex technologies from many suppliers, commercialization of autonomous driving or ADAS products could be delayed or impaired on account of technological capabilities that are not sufficiently advanced for deployment in vehicles. These standards may never be met at all. Additionally, ADAS has yet to, and may never, achieve widespread adoption, which would reduce demand for lidar in that market. Similar concerns are also applicable to our other three verticals.</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Although we currently have contracts with numerous commercial customers across diverse markets, these customers may not be able to utilize our technology in the foreseeable future,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the correct market opportunities in this environment.</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Many of our customers are still in the testing and development phases of applications with our products and it cannot be certain that they will commercialize products or systems with our digital lidar sensors or at all. We believe adoption of lidar products, including our digital lidar sensors, will depend on numerous factors, including: whether the technological capabilities of lidar and lidar-based products meet users’ current and evolving needs; whether the benefits of designing lidar into larger sensing systems outweigh the costs, complexity and time needed to deploy such technology or replace or modify existing systems that may have used other modalities such as cameras and radars; whether users in other applications can move beyond the testing and development phases and proceed to commercializing systems supported by lidar technology and whether lidar developers can keep pace with rapid technological changes in certain developing markets. If lidar technology generally does not achieve commercial success or if the market adoption is slower than expected, our business, results of operation and financial condition will be materially and adversely affected.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experiencing significant growth in the scope and nature of our operations. Our ability to manage our operations and future growth will require us to continue to improve our operational, financial and management controls, compliance programs and reporting systems. We are currently in the process of strengthening our compliance programs, including our compliance programs related to product certifications, quality management systems certifications, environmental certifications, export controls, privacy and cybersecurity and anti-corruption.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the Middle East.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spacing w:after="0" w:line="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focusing our current commercial efforts across four distinct target markets. We will be required to prioritize our limited financial and managerial resources as we pursue particular development and commercialization efforts in each target market. Any resources we expend on one or more of these efforts could be at the expense of other potentially profitable opportunities.</w:t>
      </w:r>
    </w:p>
    <w:p>
      <w:pPr>
        <w:spacing w:after="0" w:line="6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maintain or grow our global sales and marketing organization, or maintain or grow an effective network of distributors, resellers, and integrators, our business prospects, results of operations and financial condition could be adversely affected.</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order to generate future sales growth, we will need to maintain or grow the size and geographic coverage of our field organization, including marketing, direct sales, customer support and technical services. Accordingly, our future success will depend largely on our ability to hire, train, retain, and motivate skilled regional sales managers and direct sales representatives with significant technical knowledge and understanding of our products. Because of the competition for their skillset, we may not be able to attract or retain such personnel on reasonable terms, if at all. If we are unable to maintain or grow our global sales and marketing organizations, we may not be able to increase our revenue, which would adversely affect our business, financial condition and results of operations.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we rely on a network of independent distributors to help generate sales of our products internationally. If a dispute arises with a distributor or if we terminate our relationship with a distributor or a distributor goes out of business, it may take time to identify an alternative distributor, to train new personnel to market our products, and our ability to sell our products in a region formerly serviced by a terminated distributor could be harmed. In addition, our distributors may not successfully market and sell our products and may not devote sufficient time and resources that we believe are necessary to enable our products to develop, achieve or sustain market acceptance. Any of these factors could reduce our revenue or impair our revenue growth in affected markets, increase our costs in those markets or damage our reputation. In addition, if an independent distributor were to depart and be retained by one of our competitors, we may be unable to prevent that distributor from soliciting business from our existing customers, which could further adversely affect us. As a result of our reliance on third-party distributors, we may be subject to disruptions and increased costs due to factors beyond our control, including labor strikes, third-party errors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forecasts of market growth and estimates of total addressable market may not be accurate.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on Form 10-K and in our other public disclosures are subject to significant uncertainty and are based on assumptions and estimates that may not prove to be accurate. The forecasts and estimates relating to the expected size and growth of the markets for lidar-based technology and sensing and perception solutions may prove to be inaccurate. Even if these markets experience the forecasted growth, we may not grow our business at similar rates, or at all. Our future growth is subject to many factors, including market adoption of our products, which is subject to many risks and uncertainties. Accordingly, the forecasts and estimates of market size and growth described in this Annual Report on Form 10-K and in our other public disclosures, should not be taken as indicative of our future growth.</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operations in international markets expose us to operational, financial and regulatory risks.</w:t>
      </w:r>
    </w:p>
    <w:p>
      <w:pPr>
        <w:spacing w:after="0" w:line="12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International sales comprise a significant amount of our overall revenue and while growing our international sales is an important part of our growth strategy, these efforts may not be successful. International operations are subject to a number of other risks, including:</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laws and the impact of tariffs;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63"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war, international terrorism and anti-American sentiment, particularly in emerging markets and the geographic regions affected by the Russia-Ukraine and Israel-Hamas wars;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trade relationships among the United States, Canada, Thailand, China and Taiwan, as well as other countries, and related impacts to our supply chain;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violations of anti-corruption laws and regulations, such as those related to bribery and fraud;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branded products, and laws and business practices favoring local competition;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difficulty in managing inventory;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in collecting trade receivables;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revenue recognition;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and/or lack of enforceability of intellectual property;</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regulation of the autonomous or other systems or products using our products and stringent consumer protection and product compliance regulations, including but not limited to General Data Protection Regulation in the European Union, European competition law, the Restriction of Hazardous Substances Directive, the Waste Electrical and Electronic Equipment Directive and the Ecodesign for Sustainable Products Regulation that are costly to comply with and may vary from country to country;</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63"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severe weather events including earthquakes, wildfires, hurricanes, tsunamis, floods, rising sea levels, as well as other impacts of climate change;</w:t>
      </w:r>
    </w:p>
    <w:p>
      <w:pPr>
        <w:spacing w:after="0" w:line="1"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from, or renegotiation of existing trade agreements by the United States (or other jurisdictions) potentially affecting countries in which we do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tax and customs duty laws or changes in the enforcement, application or interpretation of such laws;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government’s restrictions on certain technology transfer to certain countries of concern.</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business, operating results, and financial condition.</w:t>
      </w:r>
    </w:p>
    <w:p>
      <w:pPr>
        <w:spacing w:after="0" w:line="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cancellation or postponement of our contracts with customers or the unsuccessful implementation of our products, which may adversely affect our business, results of operations and financial condition.</w:t>
      </w:r>
    </w:p>
    <w:p>
      <w:pPr>
        <w:spacing w:after="0" w:line="5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have experienced, and may experience in the future, unexpected cancellations of major purchases of our products, which has affected and may adversely affect our results of operations. Prospective customers across our target markets generally must make significant commitments of resources to test and validate our products and confirm that they can be integrated with other technologies before including them in any particular system, product or model. Our products must meet customer specifications for quality, reliability and performance. Integration of our products may reveal errors, defects or incompatibilities with other sensing modalities that, if we are unable to correct them, may result in loss of customers, loss of market share, damage to our brand and reputation, increased service and replacement costs, lack of profitability, and constitute a hindrance to market acceptance. Although our agreements may contain provisions that aim at limiting our liability for damages resulting from defects in our products, such limitations and disclaimers may not be enforceable or otherwise effectively protect us from such claims, and we may have to indemnify our customers against liabilities arising from defects in our products or in their solutions that incorporate our products. These liabilities may also include costs incurred by our channel partners or end users to correct problems or replace our products, which could adversely affect our operating results and business prospects. These inherent operational risks are all the more important since the development cycles of our products with new customers vary widely depending on the application, market, customer and the complexity of the product. In our four target markets, development cycles can be six months to seven or more years. These development cycles require us to invest significant resources prior to realizing any revenue from the commercialization. Our revenue growth may be impaired if the system, product or vehicle model that includes our products is unsuccessful, including for reasons unrelated to our technology or software. Long development cycles and product cancellations or postponements may adversely affect our business, results of operations and financial condition.</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manage our inventory, we could lose sales or incur higher inventory-related expenses, which could negatively affect our operating results.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forecast inventory needs and expenses, place orders sufficiently in advance with our suppliers and manufacturing partners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rapidly changing nature of our current target markets, the uncertainty surrounding the market acceptance and commercialization of lidar technology, the emergence of new markets, an increase or decrease in customer demand for our products or for products and services of our competitors, product introductions by competitors, market or supply chain disruptions due to public health crises, and any associated work stoppages or interruptions, unanticipated changes in general market conditions and the weakening of economic conditions or consumer confidence in future economic conditions. We may face challenges acquiring adequate supplies to manufacture our products and we, Benchmark and Fabrinet may not be able to manufacture our sensors at a rate necessary to satisfy the levels of demand, which would negatively affect our short-term and long-term growth. This risk may be exacerbated by the fact that we may not carry or be able to obtain from our suppliers a significant amount of inventory to satisfy short-term demand increases. If we fail to accurately forecast customer demand, we may experience excess inventory levels or a shortage of products available for sale, which has forced us to record inventory write-downs in the past</w:t>
      </w:r>
    </w:p>
    <w:p>
      <w:pPr>
        <w:spacing w:after="0" w:line="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Inventory levels in excess of customer demand have resulted and may in the future result in inventory write-downs or write-offs and the sale of excess inventory at discounted prices, which would adversely affect our financial results, including our gross margin, and have a negative effect on our brand. Conversely, if we underestimate customer demand for our products, we may not be able to deliver products to meet our requirements, and this could result in damage to our brand and customer relationships and adversely affect our revenue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 of write-downs on the value of our inventory and other assets, in addition to purchase commitment cancellation risk.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record a write-down for product and component inventories that have become obsolete or exceed anticipated demand, or for which cost exceeds net realizable value. We also accrue necessary cancellation fee reserves for orders of excess products and components. We review long-lived assets, including capital assets held at our suppliers’ facilities, for impairment whenever events or circumstances indicate the assets may not be recoverable. If we determine that an impairment has occurred, we record a write-down equal to the amount by which the carrying value of the asset exceeds its fair value. No assurance can be given that we will not incur write-downs, fees, impairments and other charges given the rapid and unpredictable pace of product obsolescence in the industries in which we compete.</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order components for our products and build inventory in advance of product manufacturing and shipments. Manufacturing purchase obligations cover our forecasted component and manufacturing requirements, typically for periods up to three months. Because our target markets are volatile, competitive and subject to rapid technology and price changes, and because we have limited sales history, there is a risk we will forecast incorrectly and order or produce excess or insufficient amounts of components or products, or not fully utilize our firm purchase commitments.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our customers become unable to, or otherwise do not, pay their invoices.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one or more of our major customers is unable to pay our invoices as they become due or a customer simply refuses to make such payments if it experiences financial difficulties, our business would be adversely affected. If a major customer were to enter into bankruptcy proceedings or similar proceedings whereby contractual commitments are subject to stay of execution and the possibility of legal or other modification, payments received may be subject to clawback and we could be forced to record a substantial loss. Additionally, a number of our customers are startup companies, small and mid-sized businesses, that are privately funded, have limited resources, and do not have a history of creditworthiness that we can audit to determine reliability and increase the potential risk to record potential losses. These companies could fail to raise enough capital and have to shut down operations. Even if they are financially solvent and stable and we are successful in securing a commercial relationship with them, their business plans for future programs may be inherently uncertain and unpredictable, and less structured than established companies. We generally do not require collateral or other security deposits for accounts receivable. To reduce credit risk, the Company considers customer creditworthiness, past transaction history with the customer as well as changes in customer payment terms when determining the collectability of specific customer accounts. Periodically, we may require a customer to make advanced payments in advance of product shipments. These measures to reduce credit risk may not be sufficient and our accounts receivable could be impaired or our revenues adversely impacted.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on our trade accounts receivable, supplier non-trade receivables and prepayments related to long-term supply agreements, and this risk is heightened during periods when economic conditions worsen.</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sell our products directly to businesses of a range of sizes, including small and mid-sized businesses. Our outstanding trade receivables are not covered by collateral, third-party bank support or financing arrangements, or credit insurance. Our exposure to credit and collectability risk on our trade receivables is higher in certain international markets and our ability to mitigate such risks may be limited. We also have unsecured supplier non-trade receivables resulting from purchases of components by outsourcing partners and other vendors that manufacture sub-assemblies or assemble final products for us. In addition, from time to time, we may make prepayments associated with long-term supply agreements to secure supply of inventory components. While we are implementing procedures to monitor and limit exposure to credit risk on our trade and supplier non-trade receivables, there can be no assurance such procedures will effectively limit our credit risk and avoid losses.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possible that we will not generate taxable income in time to use our net operating loss carryforwards and certain tax credits before their expiration (if we generate taxable income at all).</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federal and state net operating loss carryforwards and certain tax credits may be subject to significant limitations under Section 382 and Section 383 of the Internal Revenue Code, respectively, and similar provisions of state law. Under those sections of the Internal Revenue Code, if a corporation undergoes an “ownership change,” the corporation’s ability to use its pre-change net operating loss carryforwards and other pre-change tax attributes, such as research tax credits, to offset its post-change income or taxes may be limited. In general, an “ownership change” will occur if there is a cumulative change in our ownership by certain significant shareholders that exceeds 50 percentage points over a rolling three-year period. Similar rules may apply under state tax laws. We have completed an analysis of Section 382 ownership changes in our stock through February 10, 2023 and have concluded that we have experienced ownership changes that will result in limitations in our ability to use an immaterial amount of tax credit carryforwards. We may experience ownership changes in the future as a result of future transactions in our stock. If it is determined that we undergo one or more ownership changes in the future, then our ability to utilize our federal and state net operating loss carryforwards or other tax attributes may be limited or eliminated.</w:t>
      </w:r>
    </w:p>
    <w:p>
      <w:pPr>
        <w:spacing w:after="0" w:line="8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Key components in our products come from limited or single source third-party suppliers, and we expect to rely on third parties to manufacture a significant portion of our products for the foreseeable future. Interruptions in our relationships with these third parties could adversely impact our business.</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rely on third-party manufacturers, including Benchmark and Fabrinet, to supply a substantial portion of our products. These arrangements are intended to lower our operating costs, but they also reduce our direct control over production and distribution. This diminished control may have an adverse effect on the quality or quantity of products or services, or our flexibility to respond to changing conditions. If Benchmark or any of our third-party component suppliers or logistics and transportation partners experience interruptions, delays or disruptions in supplying their products or services, including by natural disasters, trade restrictions, public health crises, or work stoppages or capacity constraints, our ability to ship products to distributors and customers may be delayed. Similarly, we source components from countries that have been impacted by tariffs under the current U.S. government, including Thailand, Canada, China and Taiwan. If the cost of products sourced from these or certain other countries increase significantly due to tariffs or trade restrictions, we may not be able to change suppliers or otherwise avoid or mitigate such costs. Various tariffs enacted in 2025 have been subject to successful legal challenge, but it remains unclear whether and to whom those tariffs may be refunded, and the federal government may attempt to impose new or similar tariffs under alternative statutory mechanisms. Any prolonged uncertainty or volatility in tariff policy could disrupt supply chain planning and increase our costs. In addition, unfavorable economic conditions could result in financial distress among third-party suppliers or manufacturers upon which we rely, thereby increasing the risk of disruption of supplies necessary to fulfill our production requirements and meet customer demands. Additionally, if any of these third parties on whom we rely were to experience quality control problems in their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customers, distributors, value added software resellers, and integrators.</w:t>
      </w:r>
    </w:p>
    <w:p>
      <w:pPr>
        <w:spacing w:after="0" w:line="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these third parties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 consuming, and could be costly and impracticable, to begin to use new manufacturers, components or designs, and such changes could cause significant interruptions in supply and could have 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adverse effect on our ability to meet our scheduled product deliveries and may subsequently lead to the loss of sales. While we take measures to protect our trade secrets, the use of third-party suppliers and manufacturers may also risk disclosure of our innovative and proprietary manufacturing methodologies, which could adversely affect our business.</w:t>
      </w:r>
    </w:p>
    <w:p>
      <w:pPr>
        <w:spacing w:after="0" w:line="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believe there are a limited number of competent, high-quality suppliers in the industry that meet our strict quality and control standards, and as we seek to obtain additional or alternative supplier arrangements in the future, there can be no assurance that we would be able to do so on satisfactory terms, in a timely manner, or at all. Our suppliers could also discontinue or modify components used in our products. In some cases, the lead times associated with certain components are lengthy and preclude rapid changes in quantities and delivery schedules. We may in the future experience component shortages and price fluctuations of certain key components and materials, and the predictability of the availability and pricing of these components may be limited. Component shortages or pricing fluctuations could be material in the future. In the event of a component shortage, supply interruption or material pricing change from suppliers of these components, we may not be able to develop alternate sources in a timely manner or at all in the case of sole or limited sources.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customers and distributors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it is possible to do so, such that we must absorb the increased cost. If we are unable to buy these components in quantities sufficient to meet our requirements on a timely basis, we will not be able to deliver our products to our customers, and cause our customers to use competitors’ products instead of ours.</w:t>
      </w:r>
    </w:p>
    <w:p>
      <w:pPr>
        <w:spacing w:after="0" w:line="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Should operations at our third-party suppliers, including Benchmark and Fabrinet, encounter disruptions or losses that may be caused by work stoppages, disease outbreaks or pandemics, acts of war, terrorism, fire, earthquakes, flooding or other natural disasters, it could result in delays, postponement or reduce production of our products, which could have a material adverse effect on our business, results of operations and financial condition until such time as such production disruption is resolved or an alternate source of production or supply is secured.</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Outsourcing a substantial percentage of our manufacturing outside of the United States involves certain risks or may not be successful, which could harm our ability to deliver products and recognize revenue.</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Historically, we manufactured all of our digital sensors at our facility in San Francisco, California. We continue to maintain a portion of our manufacturing at this facility, including any production of Buy America and Buy American-compliant sensors; however, in 2019, we began moving a portion of our manufacturing operations to a manufacturing facility in Thailand in connection with our relationship with Benchmark, which for the year ended December 31, 2025, accounted for the majority of our OS sensor manufacturing output. After the merger with Velodyne, we moved manufacturing operations of Velodyne sensors to a Fabrinet facility in Thailand. The Company expects to continue to outsource the higher volume product line manufacturing to its manufacturing partners, Benchmark and Fabrinet. We have invested in manufacturing process equipment which is held at Benchmark and Fabrinet facilities. We expect to make additional capital expenditures and to continue to devote the attention of our management and other personnel to the operations located at our outsourced manufacturing partners. We may also need to make prepayments to some of our suppliers associated with long-term supply agreements. While these arrangements help ensure the supply of components and finished goods, if any of the Company’s manufacturing partners or suppliers experiences severe financial problems or other disruptions in their business, such continued supply would be reduced or terminated, and the recoverability of manufacturing process equipment or prepayments would be negatively impacted. In such cases the efforts and attention of our management and other personnel to these relationships that were diverted from our other business operations would not be recoverable.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manufacturing outside the United States is subject to several inherent risks, including:</w:t>
      </w:r>
    </w:p>
    <w:p>
      <w:pPr>
        <w:spacing w:after="0" w:line="6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regulatory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and restrictions;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long-term, committed supply contracts with many of our suppliers. Loss of one or more of these suppliers or our inability to identify and establish relationships with new suppliers could harm our business and impede our growth.</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Because we do not maintain long-term supply contracts with many of our suppliers, they could seek to alter or terminate their relationship with us at any time, leaving us with periods during which we have limited or no ability to manufacture our products. The production of our products is dependent on producing or sourcing certain key components, including semiconductor chips, and raw materials at acceptable price levels. If we are unable to adequately reduce and control the costs of such key components, we will be unable to realize manufacturing costs targets, which could reduce the market adoption of our products, damage our reputation with current or prospective customers, and materially and adversely impact our brand, business, prospects, financial condition and operating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industries we target or the global economy more generally could have adverse effects on our results of operations.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While we make our strategic planning decisions based on the assumption that the markets we are targeting will grow, our business is dependent, in large part on, and directly affected by, business cycles and other factors affecting the robotics, industrial automation, smart infrastructure, and transportation industries and global economy generally. Our target markets are highly cyclical and depend on general economic conditions and other factors, including consumer spending and preferences, changes in interest rates and credit availability, consumer confidence, inflation, environmental impact, governmental incentives and regulatory requirements, political volatility, labor relations issues, trade agreements and other factors.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example, general inflation in the United States, Europe and other geographies has risen significantly in recent years.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w:t>
      </w:r>
    </w:p>
    <w:p>
      <w:pPr>
        <w:spacing w:after="0" w:line="77"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in part on recruiting and retaining key personnel and if we fail to do so, it may be more difficult for us to execute our business strategy. We are currently a small organization and may need to hire additional qualified personnel to effectively implement our strategic plan.</w:t>
      </w:r>
    </w:p>
    <w:p>
      <w:pPr>
        <w:spacing w:after="0" w:line="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highly qualified management, technical, manufacturing, engineering and sales personnel. In particular, our success may depend on our ability to recruit and retain management personnel who are qualified to manage a public company. We are highly dependent on our senior management, including our founders, Angus Pacala and Mark Frichtl. If any of such persons left, our business could be harmed. All of our U.S. based employees are “at-will” employees. The loss of the services of one or more of our key employees could delay or have an impact on the successful commercialization of our products. We do not maintain key man insurance.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ability to successfully execute on our strategic plan depends in part on our ability to continue to appropriately build our organization and hire qualified personnel, especially with engineering, sales, technical, and manufacturing expertise. Competition for qualified personnel is especially severe in the San Francisco Bay Area. We may not be able to attract and retain qualified personnel on acceptable terms given the competition for such personnel. If we are unsuccessful in our recruitment and retention efforts, it may adversely affect our business and our growth prospects.</w:t>
      </w:r>
    </w:p>
    <w:p>
      <w:pPr>
        <w:spacing w:after="0" w:line="6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employees are employed by professional employer organizations which may have unexpected costs that could adversely impact our business.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contract with non-US professional employer organizations (“PEOs”), to administer our human resources, payroll and employee benefits functions for some of our subsidiaries’ employees outside of the United States. Although our subsidiaries recruit and select these employees, their employment relationship is with the relevant PEO. Accordingly, these employees are compensated through the PEO, are governed by the work policies created by the PEO and receive their annual wage statements and other payroll-related reports from the PEO. In addition, some of these employees may receive stock compensation directly from the Company. The PEO relationship streamlines hiring and employee maintenance, and enables management to focus on issues other than payroll administration, but this relationship also exposes us to some risks. For example, if the PEO is unable to or otherwise fails to adequately withhold or pay employer taxes or to comply with other applicable laws, we may be held liable for such violations notwithstanding any indemnification provisions provided to us by the PEOs. In certain non-US jurisdictions, despite the PEO relationship, there is a risk that the employee may nonetheless be deemed our direct employee and that the Company may be deemed to have a permanent operation in a</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non-US jurisdiction. Court and administrative proceedings related to matters of employment tax, labor law and other laws applicable to PEO arrangements could distract management from our business and cause us to incur significant expense. If we were held liable for violations by PEOs, such monetary penalties may adversely affect our profitability and could negatively affect our business and results of operations.</w:t>
      </w:r>
    </w:p>
    <w:p>
      <w:pPr>
        <w:spacing w:after="0" w:line="6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or invest in new businesses, products, or technologies, such acquisitions or investments may not be completed or result in the anticipated benefits and may present risks not originally contemplated, which may have a material adverse effect on our business, consolidated results of operations and consolidated financial condition.</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enhance and broaden our product offerings in response to changing customer demands, competitive pressures and advances in technologies. Failure to successfully identify, complete, manage and integrate acquisitions could materially and adversely affect our business, financial condition and results of operations and could cause our stock price to decline. We continue to search for viable acquisition candidates or strategic transactions that would expand our market sector and/or global presence, as well as additional products appropriate for current distribution channels. Accordingly, we have previously pursued and may in the future pursue the acquisition of new businesses, products or technologies instead of developing them internally. Our future success will depend, in part, upon our ability to manage the expanded business following these acquisitions, including challenges related to the management and monitoring of new operations and associated increased costs and complexity associated with such acquisitions. For example, in February 2026, we completed the acquisition of Stereolabs, a company with operations outside of the United States. In connection with any acquisitions, we could issue additional equity securities, which would dilute our stockholders, incur substantial debt to fund the acquisitions or assume significant liabilities.</w:t>
      </w:r>
    </w:p>
    <w:p>
      <w:pPr>
        <w:spacing w:after="0" w:line="8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Acquisitions involve many and diverse risks and uncertainties, including risks associated with conducting due diligence, problems integrating the purchased operations, assets, technologies or products, unanticipated costs, liabilities, and economic, political, legal and regulatory challenges due to our inexperience operating in new regions or countries, inability to achieve anticipated synergies, overpaying for acquisitions, invalid sales assumptions underlying potential acquisitions, issues maintaining uniform standards, procedures, controls and policies, diversion of management attention, adverse effects on existing business relationships or acquired company business relationships, risks associated with entering new markets, potential loss of key</w:t>
      </w:r>
    </w:p>
    <w:p>
      <w:pPr>
        <w:spacing w:after="0" w:line="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employees of acquired businesses, increased legal, accounting and compliance costs, and failure to successfully integrate acquired companies, or retain key personnel from the acquired company.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compete with other companies for these opportunities, and we may be unable to consummate such acquisitions or other strategic transactions on commercially reasonable terms, or at all. In addition, acquired businesses may have ongoing or potential liabilities, legal claims (including tort and/or personal injury claims) or adverse operating issues that we fail to discover through due diligence prior to the acquisition. Even if we are aware of such liabilities, claims or issues, we may not be able to accurately estimate the magnitude of the related liabilities and damages. In particular, to the extent that prior owners of any acquired businesses or properties failed to comply with or otherwise violated applicable laws or regulations, failed to fulfill their contractual obligations to their customers, or failed to satisfy legal obligations to employees or third parties, we, as the successor,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If we were to issue additional equity in connection with such acquisitions, this may dilute our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 Related to Our Business</w:t>
      </w:r>
    </w:p>
    <w:p>
      <w:pPr>
        <w:spacing w:after="0" w:line="11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frequently used in applications that are subject to evolving regulations and standards. Similarly, our operations are subject to evolving regulations and laws.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customers may use our products for regulated and standardized applications that require our products to comply with regulations and standards that are applicable to both our products and to those industries and applications, including functional safety and product reliability standards. New regulations and industry standards may be adopted that result in delays or cancellations of programs. If we decide not to pursue or fail to achieve these regulatory or industry certifications, we may lose existing or potential commercial opportunities or be exposed to legal liability from regulators.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Similarly, our operations are subject to an evolving regulatory environment. New and changing laws, regulations, executive orders and enforcement priorities can also create uncertainty about how such laws and regulations will be interpreted and applied, which may decrease customer spending, increase our costs or otherwise adversely impact our business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economic sanctions laws and regulations. Our failure to comply with these laws and regulations could have an adverse effect on our business, prospects, financial condition and results of operations.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products and solutions are subject to certain U.S. and foreign export controls, trade sanctions, and import laws and regulations,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 Even though we take precautions to prevent our productions and solutions from being provided to entities subject to these restrictions, our products could find their way to such prohibited entities. Any such provision could have negative consequences, including government investigations, penalties, or reputational harm.</w:t>
      </w:r>
    </w:p>
    <w:p>
      <w:pPr>
        <w:spacing w:after="0" w:line="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complying with export control and sanctions regulations for a particular sale may be time-consuming and create delays in the introduction of our products and solutions in some international markets, and, in some cases, prevent the export of our software and services to some countries altogether. Exports of our products and technology must be made in compliance with these laws and regulations. If a license is required from a government agency prior to sale, no exports may occur until the appropriate approvals are obtained. If we fail to comply with these laws and regulations, penalties could be imposed, including substantial monetary fines and/or denial of export privileges. In addition, in extreme cases responsible employees or managers can be held criminally liable for such violations.</w:t>
      </w:r>
    </w:p>
    <w:p>
      <w:pPr>
        <w:spacing w:after="0" w:line="7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has been and can be impacted by political events, political and regulatory scrutiny, trade and other international disputes, which may expose the Company to increasing regulation, media scrutiny, business interruptions, government investigations, legal actions and penalties.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Political events, trade and other international disputes and geopolitical tensions can have a material adverse effect on the Company and its customers, suppliers and contract manufacturers. Restrictions on international trade, such as tariffs and other controls on imports or exports of goods, technology or data, can materially adversely affect the Company’s business and supply chain. The impact can be particularly significant if these restrictive measures apply to countries and regions where the Company derives a significant portion of its revenues and/or has significant supply chain operations. For example, a large majority of the Company’s manufacturing is performed in whole or in part by outsourcing partners located primarily in Thailand. Accordingly, we currently, and will continue to, consider ways to mitigate the impact of any tariffs on goods manufactured by Benchmark and Fabrinet in Thailand.</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Changing the Company’s business and supply chain in accordance with new or changed restrictions on international trade can be expensive, time-consuming and disruptive to the Company’s business and results of operations. Such new restrictions have been and may in the future be announced with little or no advance notice, which have created, and may in the future create uncertainty, and the Company may not be able to effectively mitigate any or all adverse impacts from such measures. For example, in 2025, new tariffs were proposed and/or implemented on certain imports to the United States (the “U.S. Tariffs”). In February 2026, the United States Supreme Court invalidated a significant portion of tariffs that had been in effect since April 2025 based on International Emergency Economic Powers Act (IEEPA). The ruling has created substantial uncertainty regarding the tariff landscape, including the method and timing of any refunds to previously collected tariffs and any imposition of new or similar tariffs under alternative statutory mechanisms.</w:t>
      </w:r>
    </w:p>
    <w:p>
      <w:pPr>
        <w:spacing w:after="0" w:line="8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addition, several countries have imposed, or threatened to impose, and may continue to threaten reciprocal tariffs on imports from the U.S. and other retaliatory measures. The ultimate resolution and consequences of the trade policy developments, and their impact on the Company continues to be uncertain and will depend on several factors, including whether additional or incremental U.S. Tariffs or other measures are announced, imposed or delayed, to what extent other countries implement tariffs or other retaliatory measures in response, and the overall magnitude and duration of these measures. If disputes and conflicts further escalate, actions by governments in response could be significantly more severe and restrictive.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even if we are able to mitigate the direct impacts to our operations from changes in U.S. and foreign trade policy, our sales volumes may in the future be adversely affected by reduced sales of or demand for end product incorporating our products, whether resulting from increased costs of such products attributable to increased tariffs or other trade barriers or the broader economic impact of such measures, such as increased inflation or other adverse macroeconomic trends.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inability to effectively manage the adverse impacts of the foregoing, including changing U.S. and foreign trade policies, could materially and adversely impact our consolidated financial condition, results of operations and stock price.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become involved in legal proceedings, government investigations, or commercial or contractual disputes, which could have a material adverse effect on our profitability and consolidated financial position.</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been and may in the future, be subject to various claims, legal proceedings, and government investigations that arise in the ordinary course of business and these matters may be significant. These matters may include, without limitation, disputes with our distributors, suppliers and customers, intellectual property claims, stockholder litigation, government investigations, class action lawsuits, personal injury claims, environmental issues, customs and value-added tax disputes and employment and tax issues. In addition, we have in the past and could face in the future a variety of labor and employment claims against us, which could include but is not limited to general discrimination, wage and hour, privacy, ERISA or disability claims. In such matters, government agencies or private parties may seek to recover from us large, indeterminate amounts in penalties or monetary damages (including, in some cases, treble or punitive damages) or seek to limit our operations in some way. In addition, the Company enters into agreements that include indemnification provisions that can subject the Company to costs and damages in the event of a claim against an indemnified third party.</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Regardless of the merit of particular claims, these types of legal proceedings or investigations can be expensive, time-consuming and disruptive to the Company’s operations, including significant management time and attention. Often these cases raise complex factual and legal issues and create risks and uncertainties. In recognition of these considerations, we may enter into agreements or other arrangements to settle disputes or litigation and resolve such challenges. However, such agreements may not always be available on acceptable terms, and litigation may still arise. Such agreements can also significantly reduce the Company’s revenue and increase the Company’s cost and operating expenses, materially affecting the Company’s business, results of operations, financial condition and stock price. Additionally, such agreements may require the Company to change its business practice.</w:t>
      </w:r>
    </w:p>
    <w:p>
      <w:pPr>
        <w:spacing w:after="0" w:line="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outcome of litigation or government investigation is inherently uncertain. No assurances can be given that any proceedings and claims will not have a material adverse impact on our operating results and consolidated financial position or that our available insurance will mitigate this impact.</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descriptions of legal proceedings to which we are party, including proceedings assumed in connection with the Velodyne Merger, see Note 8. Commitments and Contingencies included in the notes to our audited consolidated financial statements included elsewhere in this Annual Report on Form 10-K.</w:t>
      </w:r>
    </w:p>
    <w:p>
      <w:pPr>
        <w:spacing w:after="0" w:line="6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numerous complex and changing laws and governmental regulations concerning the manufacturing, use, distribution and sale of our products. Some of our customers also require that we comply with their own unique requirements relating to these matters.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manufacture and sell products that contain components, which may contain materials that are subject to government regulation in both the locations where we manufacture and assemble our products, as well as the locations where we sell our products. Since we operate on a global basis, this is a complex process which requires continual monitoring of regulations and an ongoing compliance process to ensure that we and our suppliers are in compliance with existing regulations in each market where we operate. If there is an unanticipated new regulation that significantly impacts our use and sourcing of various components or requires more expensive components, that regulation could materially adversely affect our business, results of operations and financial condition. If we are not currently in compliance with existing regulations, or we fail to adhere to new regulations or fail to continually monitor the updates, we may incur costs in remedying our non-compliance and it may disrupt our operations. In addition, current or proposed regulations may adversely impact the availability of supplies needed to manufacture our products. For example, the Uyghur Forced Labor Prevention Act effectively bans all products from China’s Xinjiang province due to concerns that the goods were produced with forced labor, which is having adverse impacts on global supply chains. In such circumstances, we may also be subject to litigation, lose customers, suffer negative publicity and our business, results of operations, and financial condition could be adversely affected.</w:t>
      </w:r>
    </w:p>
    <w:p>
      <w:pPr>
        <w:spacing w:after="0" w:line="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vendors are subject to various environmental laws and regulations that could impose substantial costs upon us and cause delays in expanding production facilities.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Environmental pollution and climate change have been the subject of significant legislative and regulatory efforts on a global basis, and we believe this will continue both in scope and in the number of countries participating. In addition, foreign, federal, state and local governments and our customers have had an evolving focus on environmental sustainability, which has resulted in, and may result in new, regulations and customer requirements, which could materially adversely impact our business, results of operations and financial condition. If we are unable to effectively address concerns about environmental impact, our reputation could be negatively impacted, and our business, results of operations or financial condition could suffer. These regulations and requirements apply to our vendors and suppliers, as well. To the extent compliance with, or the effect of, these regulations and requirements on vendors and suppliers result in their inability to deliver their products to us on time or at all, this could materially adversely impact our business,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financial condition. For example, the State of California has enacted a number of laws that require reporting on carbon neutrality claims and use of carbon removal credits and direct and indirect greenhouse gas emissions and climate-related financial risks. Additional local, state, federal and international laws and rules with respect to sustainability and environmental matters which have been passed or proposed and may be enacted in the future and the extent and scope of their requirements and impact on our business are unknown. Such rules, as well as other ESG and sustainability-related regulation and legislation, may require us to incur significant additional costs to comply, including the implementation of significant additional internal controls and impose increased oversight obligations on our management and board of directors.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new or modified environmental regulations or laws may increase the cost of raw materials or components we use in our products. Environmental regulations require us to continually reduce product energy usage, monitor and exclude an expanding list of restricted substances and to participate in required recovery and recycling of our products. Environmental and health and safety laws and regulations can be complex, and we have limited experience complying with them.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contamination is found at properties we operate or formerly operated, this may result in liability for us under environmental laws and regulations, including the Comprehensive Environmental Response, Compensation and Liability Act, which can impose liability for the full amount of remediation-related costs without regard to fault. Costs of complying with environmental laws and regulations and any claims concerning noncompliance, or liability with respect to contamination in the future, could have a material adverse effect on our financial condition or operating results.</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evolving and changing environmental, social, and governance (“ESG”) expectations or standards or to achieve our ESG goals could adversely affect our business, results of operations, financial condition, and stock price.</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experience pressure to make commitments or set goals or targets relating to ESG matters that affect companies in our industry, including the design and implementation of specific risk mitigation strategic initiatives relating to environmental sustainability. If we are not effective in addressing ESG matters affecting our industry, such as greenhouse gas emissions and climate-related risks, renewable energy, water stewardship, waste management, responsible artificial intelligence, human capital matters, responsible sourcing and supply chain, human rights, and social responsibility, among other issues, or setting and meeting relevant sustainability commitments, goals, or targets, our reputation may suffer. As we continue to develop our voluntary ESG program and disclosures, there can be no assurance that regulators, customers, investors, employees, and other stakeholders will determine that these programs and disclosures are sufficiently robust, and we cannot assure that our stakeholders will agree with our ESG strategies. In addition, there can be no assurance that we will be able to attain any announced goals related to our sustainability program, as statements regarding any sustainability goals reflect our current plans and aspirations and are not guarantees that we will be able to achieve them within the timelines we announce or at all. Furthermore, both advocates and opponents of such ESG matters are increasingly resorting to a range of activism forms, including media campaigns, shareholder proposals, and litigation to advance their perspectives. There has similarly been an increase in activism and litigation in opposition to certain ESG or human capital initiatives, such as alleging that corporate diversity, equity and inclusion programs may discriminate against certain groups. To the extent we are subject to such activism or challenges, it may require us to incur costs or otherwise adversely impact or business. Changing stakeholder expectations, changing laws, evolving voluntary and regulatory disclosure standards, and our efforts to manage and report on ESG issues present operational, regulatory, reputational, financial, legal, and other risks, any of which could have a material adverse impact on our business, including on our reputation and stock price.</w:t>
      </w:r>
    </w:p>
    <w:p>
      <w:pPr>
        <w:spacing w:after="0" w:line="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We can face criminal liability and other serious consequences for violations, which can harm our business.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failing to prevent bribery,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we increase our international cross-border business and expand our operations abroad, we may continue to engage with business partners and third-party intermediaries to market our services and to obtain necessary permits, licenses and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7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it fails to comply with the regulatory requirements under the Federal Food, Drug, and Cosmetic Act or the Food and Drug Administration (the “FDA”).</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lidar technology company, we are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or unnecessary exposure. Manufacturers are required to certify in product labeling and in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incorporate artificial intelligence and machine learning technologies, and failures or flaws in these technologies could result in product liability claims, reputational harm, and regulatory action.</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perception software solutions, including Ouster Gemini and BlueCity, rely on artificial intelligence (“AI”) and machine learning algorithms, to detect, classify, and track objects and people. These AI-enabled products are deployed in safety-critical applications, including [autonomous vehicles, advanced driver assistance systems, industrial automation, robotics, and smart infrastructure for traffic safety and security]. We have limited control over how customers implement, configure, or use our products, or how our products interact with other components in customers' systems.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AI and machine learning technologies may generate inaccurate outputs or fail to detect objects, people, or events in certain conditions. The performance of our AI algorithms may be affected by factors outside of our control, including environmental conditions, edge cases not represented in training data, adversarial inputs, or scenarios that differ from the conditions under which the algorithms were developed and tested. If our AI-enabled products fail to perform as expected, particularly in safety-critical applications, we could face:</w:t>
      </w:r>
    </w:p>
    <w:p>
      <w:pPr>
        <w:spacing w:after="0" w:line="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product liability claims, including claims arising from personal injury or property damage;</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damage to our reputation and brand;</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loss of customers and revenue;</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investigations, enforcement actions, or restrictions on our products;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recalls or remediation costs; and</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insurance costs or inability to obtain adequate coverage.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evolving regulatory framework for AI Technologies.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use AI and machine learning technologies, throughout our business, and are making investments in this area. The regulatory framework for AI and machine learning technologies is rapidly evolving as many federal, state, and foreign government bodies and agencies have introduced or are currently considering additional laws and regulations pertaining to AI. Additionally, existing laws and regulations may be interpreted in ways that would affect the operation of our AI and machine learning technologies.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and machine learning technologies for our business, or require us to change the way we use AI and machine learning technologies in a manner that negatively affects the performance of our products, services, and business and the way in which we use these technologies. We may need to expend resources to adjust our products or services in certain jurisdictions if the laws, regulations, or decisions are not consistent across jurisdictions. Further, the cost to comply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 such laws, regulations, or decisions and/or guidance interpreting existing laws, could be significant and would increase our operating expenses (such as by imposing additional reporting obligations regarding our use of AI and machine learning technologies). Such an increase in operating expenses, as well as any actual or perceived failure to comply with such laws and regulations, could adversely affect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AI tools by us and others.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Although we are evaluating and, where we believe appropriate, incorporating the use of AI tools into our operations, such as the use of generative AI tools to assist in the development of code, our use of such tools may subject us to significant competitive, legal, regulatory and other risks, and there can be no assurance that our use of AI tools will enhance our business operations or result in a benefit to us. Our competitors may be more successful in their use of AI tools, including by developing superior products or improving their operations with the assistance of AI. Additionally, there could be adverse impacts from inaccurate or flawed algorithms. Our use of AI tools could also result in the loss of confidential information or intellectual property or an inability to claim or enforce intellectual property rights, as well as subject us to risks related to intellectual property infringement or misappropriation, data privacy, cybersecurity, and the unauthorized use of Company data.</w:t>
      </w:r>
    </w:p>
    <w:p>
      <w:pPr>
        <w:spacing w:after="0" w:line="77"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receive, store, handle, transmit, use, and otherwise process business information and information related to individuals, including from and about actual and prospective customers, employees, business contacts, service providers, and others. We also depend on a number of third-party vendors in relation to the operation of our business, a number of which process data on our behalf. Our current and potential future operations and sales subject us to laws and regulations addressing privacy and the collection, use, storage, disclosure, transfer, processing, and protection of a variety of types of data. For example, we are subject to General Data Protection Regulation (“GDPR”), the Swiss Federal Act on Data Protection (“FADP”), and the California Consumer Privacy Act (“CCPA”), each of which provide for potentially material penalties for non-compliance. These regimes, among other things, impose data security requirements, disclosure requirements, and restrictions on data collection, uses, and sharing that may impact our operations and the development of our business. The full impact of these privacy regimes, and other privacy, data protection, and information security laws we may be subject to, on our business is rapidly evolving across jurisdictions and remains uncertain at this time.</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In addition, we may not be able to monitor and react to all legal developments in a timely manner. Any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 material adverse effect on our reputation, result of operations, financial condition, and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or prevent competitors or other unauthorized parties from copying or reverse engineering our technology.</w:t>
      </w:r>
    </w:p>
    <w:p>
      <w:pPr>
        <w:spacing w:after="0" w:line="5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patents and other intellectual property rights covering our technology and products, and to maintain adequate legal protection for our technology and products in the United States and worldwide. We rely on patent, trademark, copyright, and trade secret laws, as well as confidentiality procedures and contractual restrictions, to establish and protect our proprietary rights, all of which provide only limited protections.</w:t>
      </w:r>
    </w:p>
    <w:p>
      <w:pPr>
        <w:spacing w:after="0" w:line="7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can make no assurances whether any of our pending patent applications will mature into issued patents, or that any of our pending trademark applications will be registered, in a manner that gives us any or adequate defensive protection or competitive advantages. We also do not know whether any patents issued to us or any trademarks registered by us will not be challenged, invalidated or circumvented. Our portfolio of currently-issued patents and registered trademarks, and any patents that may be issued, any copyrights and trademarks that may be registered in the future, may not provide sufficiently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broad protections to us, or may not prove to be enforceable in actions against alleged infringers. We cannot be certain that the actions we have undertaken to protect our technology and products will prevent unauthorized use of our technology or the reverse engineering of our products. Moreover, others may independently develop technologies and products that compete with ours, or infringe our intellectual property.</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filed for patents and trademarks in the United States and in certain international jurisdictions, but such protections may not be available, and we may not have applied for protections in all countries in which we operate or sell our products. Though we may have obtained intellectual property and related proprietary rights in various jurisdictions, it may prove difficult to enforce our intellectual property rights in practice. Discovering and protecting against unauthorized use of our intellectual property, products and other proprietary rights is expensive and difficult, particularly internationally. We believe that our patents are foundational in the area of lidar products, and intend to enforce our intellectual property rights. Competitors and other unauthorized parties may attempt to copy or reverse engineer our lidar technology and other aspects of our solutions that we consider proprietary. Litigation may be necessary in the future to enforce or defend our intellectual property rights, to prevent unauthorized parties from copying or reverse engineering our products, to determine the validity and scope of the proprietary rights of others or to block the importation of infringing products into the United States or other markets. Failure to adequately protect our intellectual property rights could result in our competitors offering infringing products, potentially resulting in the loss of some of our competitive advantage, market share and a decrease in our revenue, which would adversely affect our business, operating results, financial condition and prospects.</w:t>
      </w:r>
    </w:p>
    <w:p>
      <w:pPr>
        <w:spacing w:after="0" w:line="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we are infringing third-party intellectual property, whether successful or not, could subject us to costly and time-consuming litigation or expensive licenses, and adversely affect our business.</w:t>
      </w:r>
    </w:p>
    <w:p>
      <w:pPr>
        <w:spacing w:after="0" w:line="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Any intellectual property and related contractual litigation, if it is initiated in the future by us or a third-party, would result in substantial costs and diversion of management resources, either of which could materially and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attempts to enforce our rights against third parties could also lead these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Lidar is a heavily populated intellectual property field, in which many companies, both within and outside of the lidar industry, hold patents covering lidar products and other adjacent technologies. In addition to patents, companies in the lidar industry typically rely on copyrights and trade secrets to protect their technology. As a result, there has been frequent litigation in the lidar industry based on allegations of patent infringement, misappropriation or other violations of intellectual property rights. We have, and in the future may, receive inquiries from other intellectual property holders and we may become subject to claims that we infringe others’ intellectual property rights, particularly as our market presence increases, as our products expand to new use cases and geographies, and as we face increasing competition. In addition, parties may claim that our name and the branding of our products infringe their trademark rights in certain countries or territories. If such a claim were to prevail, we may have to change the names of and branding of our products in the affected territories which would be costly and could cause market confusion.</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currently have various agreements in effect pursuant to which we have agreed to defend, indemnify and hold harmless our customers, suppliers, and other partners from damages and costs which may arise from the infringement by our products of third-party patents or other intellectual property rights. The scope of these indemnity obligations vary, but may, in some instances, include indemnification for damages and expenses, including attorneys’ fees. Our insurance does not typically cover intellectual property infringement claims. A claim that our products infringe a third-party’s intellectual property rights, even if untrue, could adversely affect our relationships with our customers and deter future customers from purchasing our products. Our defense of intellectual property rights claims brought against us, or our customers, suppliers or partners, with or without merit, could be time-consuming and expensive to litigate or settle.</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Even if we are not a party to any litigation between a customer and a third-party relating to infringement of its products, an adverse outcome in any such litigation could make it more difficult for us to defend our products against intellectual property infringement claims in any subsequent litigation matter in which we are a named party. Any of these results could adversely affect our brand and operating results.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intellectual property and related contractual litigation, if it is initiated in the future by us or a third-party, would result in substantial costs and diversion of management resources, either of which could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rights against third parties could also lead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applications may not issue or be registered, which may have a material adverse effect on our ability to prevent others from commercially exploiting products similar to ours.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any particular patent application, or if we are the first party to file such a patent application. If another party has filed a patent application to, or otherwise publicly disclosed, subject matter that we are seeking to protect in a given patent application, we may not be entitled to the protection sought by the patent application. We also cannot be certain whether the claims included in a patent application will ultimately be granted as an issued patent since the patent office of the jurisdiction in which a patent application is filed may rule that the subject matter we are seeking to patent is not novel or is obvious or otherwise non-inventive or rule that the patent application and/or claims of the patent application do not comply with one or more other requirements of the patent laws of the jurisdiction. Further, the scope of protection of issued patent claims is often difficult to determine. As a result, we cannot be certain that our issued patents will afford protection against competitors with similar technology. In addition, our competitors may design around our issued patents, which may adversely affect our business, prospects, financial condition and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copyrights, trade secrets, proprietary processes and know-how.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proprietary information (including, for example, trade secrets, know-how and confidential information) to protect intellectual property that may not be patentable or subject to copyright or trademark protection, or that we believe is best protected by means that do not require public disclosure. We may seek to protect this proprietary information by entering into confidentiality agreements, or consulting, services or employment agreements that contain non-disclosure and non-use provisions with our employees, consultants, contractors and third parties. We may fail, however, to enter into the necessary agreements, and even if properly executed and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Additionally,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rely on security measures, both physical and electronic,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Also, we may not be able to detect or prevent the unauthorized use of such information or take appropriate and timely steps to enforce our intellectual property rights.</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one or more of an employee’s former employers. Litigation may be necessary to defend us against these claims. If we fail in defending such claims, in addition to paying monetary damages, we may lose valuable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intellectual property rights or personnel. A loss of key personnel or their work product could hamper or prevent our ability to commercialize our products, which could severely harm our business. Even if we are successful in defending against any such claims, litigation could result in substantial costs and demand on management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 and our Capital Structure</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over financial reporting and may identify additional material weaknesses in the future or otherwise fail to maintain effective internal control over financial reporting in the future, which may result in material misstatements of our consolidated financial statements, cause us to fail to meet our periodic reporting obligations, or cause our access to the capital markets to be impaired.</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previously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While we have remediated our prior material weaknesses, our failure to implement and maintain effective internal control over financial reporting in the future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404(a) of the Sarbanes-Oxley Act of 2022 (the “Sarbanes Oxley Act”) to furnish a report by management on, among other things, the effectiveness of our internal control over financial reporting for each annual report on Form 10-K filed with the SEC. This assessment includes disclosure of any material weaknesses identified by our management in internal control over financial reporting. In the future, to the extent we are considered an accelerated filer or a large accelerated filer, our independent registered public accounting firm will also be required pursuant to Section 404(b) of the Sarbanes-Oxley Act to attest to the effectiveness of our internal control over financial reporting in each annual report on Form 10-K to be filed with the SEC. Additionally, any company that Ouster acquires will, subject to certain grace periods in the period immediately following an acquisition, be required to be included in the Company’s assessment as well as the auditors’ attestation, where applicable. We are also required to disclose material changes made in our internal control over financial reporting on a quarterly basis. Failure to comply with the Sarbanes-Oxley Act could potentially subject us to sanctions or investigations by the SEC, the stock exchange on which our securities are listed or other regulatory authorities, which would require additional financial and management resources.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warrants are accounted for as liabilities and the changes in value of such warrants could have a material effect on our financial results.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determined to classify the private placement warrants assumed from CLA as derivative liabilities measured at fair value, with changes in fair value each period reported in earnings. Due to the recurring fair value measurement, we recognize non-cash gains or losses on the private placement warrants each reporting period and the amount of such gains or losses has been material and could continue to be material in the future. Our accounting treatment of our warrants is based on its current interpretation of the SEC Statement and other guidance and may change in light of any further interpretive guidance, as may be applicable.</w:t>
      </w:r>
    </w:p>
    <w:p>
      <w:pPr>
        <w:spacing w:after="0" w:line="7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Amazon owns a warrant to purchase a significant portion of our outstanding common stock, and it may in the future be able to influence the Company’s corporate decisions.</w:t>
      </w:r>
    </w:p>
    <w:p>
      <w:pPr>
        <w:spacing w:after="0" w:line="5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Amazon.com NV Investment Holdings LLC, a wholly-owned subsidiary of Amazon.com, Inc. (“Amazon”), holds a warrant (“Amazon Warrant”) to acquire, following customary antidilution adjustments, up to an aggregate of 3,271,970 (2,728,985 of which are currently vested) shares of our common stock at an exercise price of $50.57 per share, representing 5.2% of our outstanding common stock as of February 25, 2026. We assumed the Amazon Warrant as part of the Velodyne Merger.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If Amazon were to exercise the Amazon Warrant to purchase significant amounts of our common stock, it may be able to exert significant control over us. It also may have interests that differ from other stockholders and may vote or otherwise act in ways with which we or other stockholders disagree or that may be adverse to the interests of our stockholders.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and warrants may be volatile.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as well as our warrants, may fluctuate due to a variety of factors, including:</w:t>
      </w:r>
    </w:p>
    <w:p>
      <w:pPr>
        <w:spacing w:after="0" w:line="6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 including the sale by significant stockholders of any of their shares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our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6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social conditions, such as the effects of public health crises, recessions, interest rates, local and national elections, tariffs, fuel prices, international currency fluctuations, corruption, political instability and acts of war or terrorism.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warrants regardless of our operating performance.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w:t>
      </w:r>
    </w:p>
    <w:p>
      <w:pPr>
        <w:spacing w:after="0" w:line="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publicly traded warrants will not be permitted to exercise their warrants unless the warrants remain registered or certain exemptions are available.</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issuance of the common stock upon exercise of our publicly traded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common stock included in the units.</w:t>
      </w:r>
    </w:p>
    <w:p>
      <w:pPr>
        <w:spacing w:after="0" w:line="7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If the common stock issuable upon exercise of the publicly traded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our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publicly traded warrants may only be able to exercise such warrants on a “cashless basis” under certain circumstances, and if they do so, they will receive fewer shares of common stock from such exercise than if they were to exercise such warrants for cash.</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holder exercises public warrants on a cashless basis, they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an impacted warrant holder would receive fewer shares of common stock from such exercise than if you were to exercise such warrants for cash.</w:t>
      </w:r>
    </w:p>
    <w:p>
      <w:pPr>
        <w:spacing w:after="0" w:line="8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publicly traded warrants in a manner that may be adverse to holders of public warrants with the approval by the holders of at least 50% of the then outstanding public warrants. As a result, the exercise price of the publicly traded warrants could be increased, the exercise period could be shortened and the number of common stock purchasable upon exercise of a warrant could be decreased, all without warrant holder approval.</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publicly traded warrants were issued in registered form under the warrant agreement between Continental Stock Transfer &amp; Trust Company, as warrant agent, and us. The warrant agreement provides that the terms of the warrants may be amended without the consent of any holder for certain limited administrative provisions, and that the approval by the holders of at least 50% of the then-outstanding public warrants is required to make any change that adversely affects the interests of the registered holders of publicly traded warrants. Accordingly, we may amend the terms of our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shares of common stock purchasable upon exercise of a warrant.</w:t>
      </w:r>
    </w:p>
    <w:p>
      <w:pPr>
        <w:spacing w:after="0" w:line="8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warrant agreement for our publicly traded warrants provides that, subject to applicable law, (i) any action, proceeding or claim against us arising out of or relating in any way to the warrant agreements,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in our warrant agreements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publicly traded warrants prior to their exercise at a time that is disadvantageous to warrant holders, thereby making such warrants worthless.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the ability to redeem the outstanding publicly traded warrants at any time prior to their expiration. We may redeem such warrants at a price of $0.10 per warrant, provided that the closing price of our common stock equals or exceeds $180.00 per share (as adjusted for share splits, share capitalizations, reorganizations, recapitalizations and the like) for any 20 trading days within a 30 trading-day period ending on the third trading day prior to the date on which we give proper notice of such redemption to the warrant holders and provided certain other conditions are met.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initially issued by CLA will be redeemable by us so long as they are held by Colonnade Sponsor LLC or its permitted transferees.</w:t>
      </w:r>
    </w:p>
    <w:p>
      <w:pPr>
        <w:spacing w:after="0" w:line="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Certification of Incorporation and Bylaws and the Delaware General Corporations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Certification of Incorporation and Bylaws include provisions regarding:</w:t>
      </w:r>
    </w:p>
    <w:p>
      <w:pPr>
        <w:spacing w:after="0" w:line="7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of directors or management.</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provisions of our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our Bylaws or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w:t>
      </w:r>
    </w:p>
    <w:p>
      <w:pPr>
        <w:spacing w:after="0" w:line="8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will also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spacing w:after="0" w:line="6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class action and derivative lawsuits, which could result in substantial costs and could divert management attention away from other business concerns.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Additionally, securities class action lawsuits and derivative lawsuits are often brought against public companies. Even if the lawsuits are without merit, defending against these claims can result in substantial costs and divert management time and resources from other business concerns, which could seriously harm our business. An adverse judgment could result in monetary damages, which could have a negative impact on our liquidity and financial condition. For a description of our legal proceedings, see Note 8. Commitments and Contingencies included in the notes to our audited consolidated financial statements included elsewhere in the Annual Report on Form 10-K.</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litigation against us could result in substantial costs and divert management’s attention from other business concerns, which could seriously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an earthquake fault and an earthquake or other natural disaster or resource shortage could disrupt our operations.</w:t>
      </w:r>
    </w:p>
    <w:p>
      <w:pPr>
        <w:spacing w:after="0" w:line="5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Important documents and records for our products and manufacturing operations are located in our various facilities in San Francisco, California near active earthquake zones. In the event of a natural disaster such as an earthquake, drought, flood or fire or localized extended outages of critical utilities or transportation we do not have a formal business continuity or disaster recovery plan, and therefore could experience a significant business interruption. In addition, California has from time to time experienced shortages of water, natural gas, and electric power. Future shortages and conservation measures could impact our operations and result in increased expenses. In addition, we rely on information technology systems to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communicate among our workforce and with third parties. Any disruption to our communications, whether caused by a natural disaster or by man-made problems, such as power disruptions, could adversely affect our business. To the extent that any such disruptions result in delays or cancellations of orders or impede our suppliers’ ability to timely deliver product components, our business, operating results and financial condition would be adversely affected.</w:t>
      </w:r>
    </w:p>
    <w:p>
      <w:pPr>
        <w:spacing w:after="0" w:line="4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providers are subject to cybersecurity risks, and any material failure, weakness, interruption, cyber event, incident, or breach of security could materially adversely affect our business, results of operations, and financial condition.</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We and certain of our third-party providers collect, maintain and process data about customers, employees, business partners and others, including information about individuals — as well as proprietary information belonging to our business such as trade secrets (collectively, “Confidential Information”).</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and our third-party vendors and suppliers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including acts of vandalism, malware (including ransomware), social engineering, denial or degradation of service attacks, computer viruses, software bugs or vulnerabilities, supply chain attacks, phishing attacks, ransomware attacks, misplaced or lost data, human errors, malicious insiders or other similar events. Moreover, any integration of artificial intelligence in our or any third-party’s operations, products or services is expected to pose new or unknown cybersecurity risks and challenges.</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and certain of our third-party providers have experienced actual and attempted cyberattacks and other security incidents. For example, we have experienced phishing attacks and incidents involving unauthorized access to Confidential Information. While no attacks or incidents have had a material adverse impact on our operations or financial condition to date, we cannot guarantee that material incidents will not occur in the future. For example, we are at risk for interruptions, outages and breaches of: IT Systems, including in relation to business, financial, accounting, product development, data processing or production processes, owned by us or our third-party vendors or suppliers; facility security systems, owned by us or our third-party vendors or suppliers; in-product technology owned by us or our third-party vendors or suppliers; the integrated software in our lidar solutions; or Confidential Information that we process or our third-party vendors or suppliers process on our behalf. Such cyber incidents could materially disrupt IT Systems; result in loss of Confidential Information including intellectual property, trade secrets or other proprietary or competitively sensitive information, certain information of customers, employees, suppliers, drivers or others; jeopardize the security of our facilities; or affect the performance of in-product technology and the integrated software in our lidar solutions.</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IT Systems, Confidential Information or business. We cannot guarantee that our cybersecurity risk management program and processes, including our policies, controls, or procedures will be fully implemented, complied with, or adequate to detect, prevent or mitigate cyber incidents. Because we make extensive use of third party suppliers and service providers, such as cloud services that support our internal and customer-facing operations, successful cyberattacks that disrupt or result in unauthorized access to third party IT Systems could materially impact our operations and financial results. We have also acquired and are likely to continue to acquire companies with cybersecurity vulnerabilities or unsophisticated security measures, which exposes us to additional cybersecurity risk. In addition, we deploy scanning tools in our IT environment that allow us to identify and track security vulnerabilities, but we cannot guarantee that patches or mitigating measures will be applied before vulnerabilities can be exploited by a threat actor.</w:t>
      </w:r>
    </w:p>
    <w:p>
      <w:pPr>
        <w:spacing w:after="0" w:line="8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Further, the implementation, maintenance, segregation and improvement of these IT Systems require significant management time, support and cost. Moreover, there are inherent risks associated with developing, improving, expanding and updating current programs and processes,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programs and processes upon which we rely, including those of our third-party vendors or suppliers, will be effectively implemented, maintained or expanded as planned. If we do not successfully implement, maintain or expand these programs and processes as planned, our operations may be disrupted, our ability to</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accurately and timely report our financial results could be impaired, and deficiencies may arise in our internal control over financial reporting, which may impact our ability to certify our financial results.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(including class actions), and require significant incident response, system restoration, or remediation and future compliance costs, any of which could materially affect our business, prospects, financial condition and operating results. Moreover, our Confidential Information, including proprietary information or intellectual property, could be compromised or misappropriated and our reputation may be adversely affected. If these programs and processes do not operate as we expect them to, we may be required to expend significant resources to make corrections or find alternative sources for performing these functions.</w:t>
      </w:r>
    </w:p>
    <w:p>
      <w:pPr>
        <w:spacing w:after="0" w:line="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our insurance coverage for cyber-attacks may not be sufficient to cover all the losses we may experience as a result of a cyber incident, and we cannot guarantee that applicable insurance will be available to us or in the future on economically reasonable terms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developed and implemented a cybersecurity program that seeks to ensure the confidentiality, integrity, and availability of the Company’s information assets, including its critical systems. We use the ISO 27001 Information Security Management System (ISMS) standard as a guide to help us identify, assess, and manage cybersecurity risks relevant to our business. Our cybersecurity program is integrated into our overall risk management program; which is reviewed and evaluated by our Board, and shares reporting channels and governance processes that apply across the risk management program to other legal, compliance, strategic, operational, and financial areas.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Key elements of our cybersecurity program include, but are not limited to, (i) raising security awareness of our employees and product development teams, and (ii) implementing and maintaining security controls and operations that are designed to protect identities, networks, systems, and data and provide for detection, response, and recovery, including a cyber incident response plan.</w:t>
      </w:r>
    </w:p>
    <w:p>
      <w:pPr>
        <w:spacing w:after="0" w:line="6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engage external parties to enhance our cybersecurity program and to operate a variety of operational functions. We engage consultants, advisors and vendors who are recognized for their cybersecurity expertise or products to supplement, augment and/or test elements of our security program. We also engage third-party specialists to conduct security assessments and independent audits of the Company’s systems and networks.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adopted a third-party management policy to formalize the baseline of security controls that it expects its partners and other third-party companies (including service providers) to meet, in accordance with their criticality to our operations and respective risk profile based on their level of access to our systems and/or data. To mitigate risks that may arise from the Company’s interactions with service providers, suppliers, and vendors, we strive to ensure that our systems/services are integrated with trustworthy vendors.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Although to date we have not identified risks from cybersecurity threats or experienced any cybersecurity incidents that have materially affected or are reasonably likely to materially affect our operations, business strategy or financial condition, the scope or impact of any future incident cannot be predicted with certainty. For additional information on our cybersecurity risks, see </w:t>
      </w:r>
      <w:r>
        <w:rPr>
          <w:rFonts w:ascii="Times New Roman" w:cs="Times New Roman" w:eastAsia="Times New Roman" w:hAnsi="Times New Roman"/>
          <w:sz w:val="18"/>
          <w:szCs w:val="18"/>
          <w:b w:val="1"/>
          <w:bCs w:val="1"/>
          <w:i w:val="1"/>
          <w:iCs w:val="1"/>
          <w:color w:val="auto"/>
        </w:rPr>
        <w:t>“We and our third-party providers are subject to cybersecurity risks,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material failure, weakness, interruption, cyber event, incident, or breach of security could materially adversely affect our business, results of operations, and financial condition.” </w:t>
      </w:r>
      <w:r>
        <w:rPr>
          <w:rFonts w:ascii="Times New Roman" w:cs="Times New Roman" w:eastAsia="Times New Roman" w:hAnsi="Times New Roman"/>
          <w:sz w:val="18"/>
          <w:szCs w:val="18"/>
          <w:color w:val="auto"/>
        </w:rPr>
        <w:t>in Part 1, Item 1A for more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Governance</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considers cybersecurity risk as part of its overall risk oversight function and has delegated to the Audit Committee oversight of the Company’s cybersecurity program. The Audit Committee receives regular cybersecurity updates and reports from members of the Company’s executive team and the Senior Director of Information Security and Compliance and in turn briefs the full Board on these updates as part of its Committee report. In addition, the full Board receives a full report on the Company’s cybersecurity program at least annually. The Board is also apprised by the executive team and Senior Director of Information Security and Compliance of more significant or serious cybersecurity incidents.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Senior Director of Information Security and Compliance under the direction of our executive team, and is primarily responsible for assessing and managing our material risks from cybersecurity threats. The Senior Director of Information Security and Compliance has day to day responsibility for the Company’s cybersecurity risk management program and supervises both our internal cybersecurity personnel and our retained external cybersecurity consultants. Our Senior Director of Information Security and Compliance has served in various roles in information security for over 15 years, including serving as Associate Director of Cybersecurity of a public company as well as a PCI Qualified Security Assessor at a cybersecurity consulting firm. He holds a M.S. in Computer Science and has attained various certifications, including an Advanced Computer Security Certificate from Stanford University. Our Senior Director of Information Security and Compliance assists the executive team by taking steps to stay informed about and monitor the Company’s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 The Company’s executive team also monitors the activities of the Breach Response Team (“BRT”) and where appropriate participates in and supports the BRT in the evaluation and remediation of cyber and other security incidents in accordance with the Company’s incident response plan.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San Francisco, California where we lease 26,125 square feet of office space pursuant to a lease that is scheduled to expire in August 2034. In December 2025, we acquired 20,032 square feet of office space in a building adjacent to our corporate headquarters which was previously held under lease. Engineering, manufacturing, research and development and administrative functions of the Company are performed in San Francisco.</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also lease a 204,000 square foot facility in San Jose, California, which term will expire in December 2027 and is no longer used for any essential manufacturing, research and development functions.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other small facilities that we use as offices for our sales and office personnel. These facilities are not material to our business or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6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in the ordinary course of our business. See Note 8. Commitments and Contingencies included in the notes to our audited financial statements included elsewhere in the Annual Report on Form 10-K for a discussion of our material legal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2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rPr>
          <w:sz w:val="20"/>
          <w:szCs w:val="20"/>
          <w:color w:val="auto"/>
        </w:rPr>
      </w:pPr>
      <w:r>
        <w:rPr>
          <w:rFonts w:ascii="Times New Roman" w:cs="Times New Roman" w:eastAsia="Times New Roman" w:hAnsi="Times New Roman"/>
          <w:sz w:val="18"/>
          <w:szCs w:val="18"/>
          <w:color w:val="auto"/>
        </w:rPr>
        <w:t>Our common stock and warrants expiring in 2026 are listed for trading on the NASDAQ under the symbols “OUST” and “OUSTZ”,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February 25, 2026, there were 240 registered holders of record of our common stock. The actual number of stockholders of our common stock is greater than this number of record holders and includes stockholders who are beneficial owners but whose shares of common stock are held in street name by banks, brokers and other nominees.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October 2025, certain shareholders of a subsidiary of Velodyne (the "BlueCity Holders") exercised their right to exchange an aggregate of 502,776 shares in such subsidiary into 41,248 shares of our common stock, respectively. The BlueCity Holders acquired the shares in the Velodyne subsidiary as consideration for Velodyne’s acquisition of BlueCity Technology, Inc. in October 2022, and the shares were exchangeable into Velodyne shares generally on a one-for-one basis, which ratio was adjusted to reflect the exchange ratio from the Velodyne Merger and our reverse stock split. The shares of our common stock were issued without registration under the Securities Act in reliance on Section 4(a)(2) and/or Regulation S of the Securities Act and the rules and regulations promulgated thereunder.</w:t>
      </w:r>
    </w:p>
    <w:p>
      <w:pPr>
        <w:spacing w:after="0" w:line="7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On November 9, 2025, we agreed to issue shares of common stock as partial consideration for the acquisition of Stereolabs SAS (“Stereolabs”). Upon the closing of the Stereolabs transaction on February 4, 2026, we issued 1,847,677 shares, inclusive of 660,005 shares which will be released over a four-year period. We sold the foregoing securities in transactions not involving an underwriter and not requiring registration under Section 5 of the Securities Act of 1933, as amended (the “Securities Act”), in reliance on the exemptions afforded by Section 4(a)(2 and/or Regulation S of the Securities Act and the rules and regulations promulgated thereunder.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Policy</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for the operation and expansion of our business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together with our audited consolidated financial statements and related notes included elsewhere in this Annual Report on Form 10-K. This discussion contains forward-looking statements based upon current plans, expectations and beliefs involving risks and uncertainties. Ouster’s actual results may differ materially from those anticipated in these forward-looking statements as a result of various factors, including those set forth in the section titled “Risk Factors” and in other parts of this Annual Report on Form 10-K.</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Ouster was founded in 2015 with the invention of our high-performance digital lidar. To continue to grow our business in the coming years, we expanded and plan to continue invest in growing our digital lidar product portfolio, increasing the capabilities of our software solutions, and opportunistically expanding our sales and marketing efforts. We are headquartered in San Francisco, California.</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lidar sensors and solutions. We design and manufacture high-resolution digital lidar sensors that offer advanced 3D vision to machinery, vehicles, robots, and fixed infrastructure assets, which allows each to understand and visualize the surrounding world and enable safe operation and autonomy. We believe our sensors are one of the highest-performing, lowest-cost lidar solutions available today across each of our four target markets: automotive, industrial, robotics, and smart infrastructure. Our digital lidar sensors leverage a simplified architecture based on two semiconductor chips and are backed by a suite of patent-protected technology.</w:t>
      </w:r>
    </w:p>
    <w:p>
      <w:pPr>
        <w:spacing w:after="0" w:line="7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Our digital lidar sensors leverage a simplified architecture based on two semiconductor chips and are backed by a suite of patent-protected technology.</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hardware product offering currently includes four models of sensors in our OS product line: the hemispheric field of view OSDome, the ultra-wide field of view OS0, the mid-range OS1, and the long-range OS2. Within our OS sensor models, we offer numerous customization options, all enabled by embedded software. For each of our models in the OS product line, we offer resolution options of 128 lines vertically (“channels”), 64 channels, or 32 channels, as well as many beam spacing options. In 2022, we launched our REV7 OS series scanning sensors powered by L3 chip. REV7 features the all-new OSDome sensor, as well as upgraded OS0, OS1, and OS2 sensors that deliver double the range, enhanced object detection, increased precision and accuracy, and greater reliability compared to our prior generation sensors. We are currently developing our solid-state digital flash (“DF”) sensors, which is a suite of short, mid, and long-range solid-state digital lidar sensors that provide uniform precision imaging without motion blur across an entire field of view.</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Ouster Gemini is a perception platform designed for smart infrastructure deployments like security and crowd analytics, and is optimized exclusively for Ouster’s digital lidar sensors. BlueCity is a Gemini-powered solution for traffic operations, planning, and safety. BlueCity provides real-time data analytics and predictions, which can be used to improve traffic and crowd flow efficiency, improve urban planning, advance sustainability, and protect vulnerable road users in a wide range of weather and lighting conditions.</w:t>
      </w:r>
    </w:p>
    <w:p>
      <w:pPr>
        <w:spacing w:after="0" w:line="8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simplicity of our digital lidar design gives us a meaningful advantage in costs related to manufacturing, supply chain, and production yields. Our main manufacturing partners are Benchmark and Fabrinet, which manufacture the majority of our products at their facilities in Thailand. We expect this will allow us to continue to reduce our product costs and rapidly scale production to meet our anticipated product demand. Based on cost quotes for our products in mass production, we anticipate our manufacturing costs per unit will decrease further as production volumes increase.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Velodyne Lidar, Inc.</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 On February 10, 2023, we completed our merger of equals with Velodyne pursuant to the terms of the Velodyne Merger Agreement with Velodyne, Merger Sub I and Merger Sub II (the “Velodyne Merger”).</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product offerings we acquired through the Velodyne Merger include the VLP-16, VLP-16 Lite, VLP-16 Hi-Res, VLP-32 and VLS-128. These product offerings are in the final stages of their product life cycle, and we ceased manufacturing them in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Amazon Warrant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Amazon.com NV Investment Holdings LLC, a wholly-owned subsidiary of Amazon.com, Inc. (“Amazon”), holds a warrant (“Amazon Warrant”) to acquire shares of our common stock. We assumed the Amazon Warrant as part of the Velodyne Merger. As a result of the issuance and sale by the Company of an additional 4,671,406 shares of common stock in the twelve months ended December 31, 2025 in “at-the-market offerings” at prices below the exercise price of the Amazon Warrant, an antidilution adjustment was made in accordance with the terms of the Amazon Warrant, resulting in the increase in the number of shares issuable under the Amazon Warrant by 4,077 shares of common stock and a reduction to the original strike price of the Amazon Warrant to $50.57 per share. As of December 31, 2025, there were 3,271,970 shares of common stock issuable under the Amazon Warrant.</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The Amazon Warrant is subject to vesting; 50% of the unvested Amazon Warrant as of the date of the Velodyne Merger vested as a result of the Velodyne Merger and the remainder will vest over time based on payments by Amazon or its affiliates to us in connection with Amazon’s purchase of goods and services from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Commercialization of Lidar Applications. </w:t>
      </w:r>
      <w:r>
        <w:rPr>
          <w:rFonts w:ascii="Times New Roman" w:cs="Times New Roman" w:eastAsia="Times New Roman" w:hAnsi="Times New Roman"/>
          <w:sz w:val="18"/>
          <w:szCs w:val="18"/>
          <w:color w:val="auto"/>
        </w:rPr>
        <w:t>We believe that our lidar solutions are approaching an inflection point of adoption across our target end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and that we are well-positioned to capitalize on this opportunity. However, it is difficult to estimate the timing of ultimate end market and customer adoption. As a result, we expect that our results of operations, including revenue and gross margins, will improve over time but may fluctuate on a quarterly and annual basis for the foreseeable future. As the market for lidar solutions matures and more customers reach a commercialization phase, the fluctuations in our operating results may become less pronounced. In 2025, our strategic business objectives included growing the software-attached business, transforming the product portfolio, and executing towards profitability.</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Number of Customers in Production. </w:t>
      </w:r>
      <w:r>
        <w:rPr>
          <w:rFonts w:ascii="Times New Roman" w:cs="Times New Roman" w:eastAsia="Times New Roman" w:hAnsi="Times New Roman"/>
          <w:sz w:val="18"/>
          <w:szCs w:val="18"/>
          <w:color w:val="auto"/>
        </w:rPr>
        <w:t>For certain strategic customers and markets, our products must be integrated into a broader platform, which then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tested and validated to achieve system-level performance and reliability thresholds that enable commercial production and sales. The time necessary to reach commercial production varies from six months to several years, based on the market and application. For example, the production cycle in the automotive market tends to be longer than other target markets. It is critical to our future success that our customers reach commercial production and select our products, and that we avoid unexpected cancellations of major purchases of our products. Because the timelines to reach production vary significantly and the revenue generated by each customer in connection with commercial production is unpredictable, it is difficult for us to reliably predict our financial performance.</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Customers’ Sales Volumes. </w:t>
      </w:r>
      <w:r>
        <w:rPr>
          <w:rFonts w:ascii="Times New Roman" w:cs="Times New Roman" w:eastAsia="Times New Roman" w:hAnsi="Times New Roman"/>
          <w:sz w:val="18"/>
          <w:szCs w:val="18"/>
          <w:color w:val="auto"/>
        </w:rPr>
        <w:t>Our customer base is diversified and we aim to continue to penetrate into diverse end markets to increase our sales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widespread adoption of our customers’ products that incorporate our lidar solutions will depend on many factors, including the size of our customers’ end markets, market penetration of our customers’ products that incorporate our digital lidar solutions, our customers’ ability to sell their products, and the financial stability and reputation of our customers.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Average Selling Prices (“ASPs”), Product Costs and Margins. </w:t>
      </w:r>
      <w:r>
        <w:rPr>
          <w:rFonts w:ascii="Times New Roman" w:cs="Times New Roman" w:eastAsia="Times New Roman" w:hAnsi="Times New Roman"/>
          <w:sz w:val="18"/>
          <w:szCs w:val="18"/>
          <w:color w:val="auto"/>
        </w:rPr>
        <w:t>Our product costs and gross margins depend largely on the volumes of sensors shipped,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mix of existing and new products sold, and the number and variety of solutions we provide to our customers. We expect that our selling prices will vary by target end market and application due to market-specific supply and demand dynamics. We expect to continue to experience some downward pressure on prices from signing anticipated large multi-year agreements in the near term. We expect that these customer-specific selling price fluctuations, combined with our volume-driven product costs, may drive fluctuations in revenue and gross margins on a quarterly basis. In addition, we expect that the current uncertainty surrounding U.S. trade relationships may impact our future product costs and margins, particularly to the extent there are significant tariffs or trade restrictions imposed on goods imported from Thailand, Canada, China or Taiwan that are used in our products. Our contractual arrangements generally provide that our customers will pay the costs of tariffs. Although we are taking steps to mitigate the impacts of potential tariffs, we do not expect to be able to fully offset or avoid such costs. These costs could impact customer demand and adoption as described above under “Customers’ Sales Volumes.”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Lidar is an emerging technology, and there are many competitors for this growing market. Absent the introduction of new technology,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this competition to continue to push our ASPs lower in the coming years. However, we believe that because of the simplicity of our digital lidar technology and the value proposition of our lidar solutions, we are well-positioned to scale more effectively than our competitors and to continue to deliver positive gross margins.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Continued Investment and Innovation. </w:t>
      </w:r>
      <w:r>
        <w:rPr>
          <w:rFonts w:ascii="Times New Roman" w:cs="Times New Roman" w:eastAsia="Times New Roman" w:hAnsi="Times New Roman"/>
          <w:sz w:val="18"/>
          <w:szCs w:val="18"/>
          <w:color w:val="auto"/>
        </w:rPr>
        <w:t>We believe that we are a leading lidar provider. Our financial performance is significantly dependent on our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maintain this leading position, which is further dependent on the investments we make in growing our digital lidar product portfolio and increasing the capabilities of our software solutions. We believe it is essential that we continue to identify and respond to rapidly evolving customer requirements, including successfully progressing our digital lidar roadmap and developing technologies that will enhance the operating performance of our products. Our “L4” sensor prototypes are generating rich point clouds and have moved into validation testing. Our “Chronos” chip has been fabricated by our foundry partner and is now undergoing in-house testing. If we fail to continue our innovation, our market position and revenue may be adversely affected, and our investments in that area will not be recovered.</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Supply Chain Continuity. </w:t>
      </w:r>
      <w:r>
        <w:rPr>
          <w:rFonts w:ascii="Times New Roman" w:cs="Times New Roman" w:eastAsia="Times New Roman" w:hAnsi="Times New Roman"/>
          <w:sz w:val="18"/>
          <w:szCs w:val="18"/>
          <w:color w:val="auto"/>
        </w:rPr>
        <w:t>Some of the key components in the products we have designed or are currently designing come from limited or single 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If these third parties experience financial, operational, manufacturing capacity or other difficulties, or experience shortages in required components, or if they are otherwise unable or unwilling to continue to manufacture these components in required volumes or at all, our supply may be disrupted or be on less favorable terms. Such changes could have an adverse effect on our ability to meet our scheduled product deliveries and may subsequently lead to the loss of sales. In addition, we are continuing to monitor the impact of the recent tariff and trade policy actions taken by the United States and foreign governments on our supply chain. We are continuously considering ways to mitigate the impact of these evolving tariff and trade policy actions and the uncertainties arising from the rapidly changing global trade environment on our supply chain; however, there can be no assurances that our current or future mitigation efforts will be successful.</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Trends and Uncertainties. </w:t>
      </w:r>
      <w:r>
        <w:rPr>
          <w:rFonts w:ascii="Times New Roman" w:cs="Times New Roman" w:eastAsia="Times New Roman" w:hAnsi="Times New Roman"/>
          <w:sz w:val="18"/>
          <w:szCs w:val="18"/>
          <w:color w:val="auto"/>
        </w:rPr>
        <w:t>We anticipate increasing demand for our digital lidar solutions within a multi-billion dollar total addressable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(“TAM”). We define our TAM as applications in the automotive, industrial, robotics, and smart infrastructure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well-positioned in our market as a leading provider of high-resolution lidar sensors.</w:t>
      </w:r>
    </w:p>
    <w:p>
      <w:pPr>
        <w:spacing w:after="0" w:line="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not be able to take advantage of demand if we are unable to anticipate regulatory changes and adapt quickly enough to meet such new regulatory standards or requirements applicable to us or to our customers’ products in which our lidar sensors are used. Market acceptance of lidar technology and active safety technology depend upon many factors, including cost, performance, safety performance, regulatory requirements, international taxes, and tariff and trade policy actions of governments related to such technologies. These factors may impact the ultimate market acceptance of our lidar technology.</w:t>
      </w:r>
    </w:p>
    <w:p>
      <w:pPr>
        <w:spacing w:after="0" w:line="7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International Expansion. </w:t>
      </w:r>
      <w:r>
        <w:rPr>
          <w:rFonts w:ascii="Times New Roman" w:cs="Times New Roman" w:eastAsia="Times New Roman" w:hAnsi="Times New Roman"/>
          <w:sz w:val="18"/>
          <w:szCs w:val="18"/>
          <w:color w:val="auto"/>
        </w:rPr>
        <w:t>We view international expansion as an important element of our strategy to increase revenue and achieve profitability.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position ourselves in geographic markets that we expect to serve as important sources of future growth. We have an existing presence in three regions: Americas;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tariff and trade policy actions of foreign governments, legal obligations, export/import regulations and additional operational costs. These risks and challenges that may impact our ability to meet our projected sales volumes, revenues, and gross margins. In addition, the current uncertainty surrounding U.S. trade relationships may impact our future international sales, particularly to the extent there are significant tariffs or trade restrictions imposed on goods imported from the United States.</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Retention Credit. </w:t>
      </w:r>
      <w:r>
        <w:rPr>
          <w:rFonts w:ascii="Times New Roman" w:cs="Times New Roman" w:eastAsia="Times New Roman" w:hAnsi="Times New Roman"/>
          <w:sz w:val="18"/>
          <w:szCs w:val="18"/>
          <w:color w:val="auto"/>
        </w:rPr>
        <w:t>The employee retention credit (“ERC”), as originally enacted through the Coronavirus Aid, Relief, and Economic Security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(“CARES Act”) on March 27, 2020, is a refundable credit against certain employment taxes. The Company qualified for the ERC for the period between March 17, 2020 and September 30, 2021 and the Company received an ERC credit in the amount of $8.0 million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licenses, maintenance under our extended warranty contracts, and shipping. We do not expect these services to be material components of revenue, cost of revenue or gross margin in the near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growth and demand rates which can impact the timing of purchase orders quarter to quarter. As we grow our business, we expect to continue to improve our own understanding of our customers’ needs and timelines, and expect the timing of orders will have a less notable impact on our quarterly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 from Long-Term IP License Contracts</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license rights to our intellectual property (“IP”) to certain customers and collect royalties based on those customers’ product sales. The recognition of such revenue from royalties for long-term IP contracts is dependent on the nature and terms of each agreement. We recognize license revenue upon the later of (a) delivery of the IP or (b) commencement of the license term if there are no substantive future obligations to perform under the arrangement. Revenue for licenses to future technology developed on a when-and-if -available basis is recognized straight-line over the license period as long as customers continue to have access to the future technology. Royalties from the license of IP are recognized at the later of the period the sales occur or the satisfaction of the performance obligation to which some or all of the royalties have been allocated. Significant judgment is applied when the Company determines the amount and timing of revenue from the IP royalties when Company contracts with customers to license rights to its IP. In the year ended December 31, 2025, we recognized $22.8 million in revenue for royalties from long-term IP license contracts. However, we do not consider this revenue to be reflective of the core operations of our business. Further, we expect the revenue we recognize for such royalties in the future will vary considerably from period to period, and expect that the amounts recognized in the year ended December 31, 2025 will likely exceed amounts recognized in future annual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Cost of revenue consists of the manufacturing cost of our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royalties from long-term IP license contracts is recorded without any associated cost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gross profit equals total revenues less our total cost of revenues, and our gross margin is our gross profit expressed as a percentage of total revenue. Our gross margin is subject to quarterly fluctuations in product mix, price and volume. Because revenue from royalties from long-term IP license contracts is recorded without any associated cost of revenue, our gross profit and gross margin are favorably impacted by royalties from long-term IP license contracts, particularly in the year ended December 31,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activities are primarily conducted at our San Francisco headquarters and our additional R&amp;D facilities in Scotland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and consist of the following activities:</w:t>
      </w:r>
    </w:p>
    <w:p>
      <w:pPr>
        <w:spacing w:after="0" w:line="99"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prototyping, and testing of proprietary electrical, optical, and mechanical subsystems for our digital lidar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testing for safety certifications;</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enhancements to existing products in response to customer requirements including firmware and software development of lidar integration products;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SoC design for Ouster’s digital lidar products;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custom manufacturing equipment.</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allocated portion of overhead, facility and information technology (“IT”) costs that support R&amp;D activities.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R&amp;D costs are expensed as they are incurred. Our investment in R&amp;D will continue to grow as we invest in new lidar technology and related software. Our absolute amount of R&amp;D expenses is expected to grow over time; however, we expect R&amp;D as a percentage of revenue to decrease as our business grows.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and an allocated portion of facility and IT costs that support sales and marketing activities. We expect sales and marketing expenses as a percentage of revenue to decrease over time as our business grows.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salaries, benefits, and stock-based compensation, of our executives and members of the board of directors, finance, human resources, an allocated portion of facility and IT costs that support general and administrative activities, as well as amortization of intangible assets, fees related to legal fees, patent prosecution, accounting, finance and professional services, as well as insurance and bank fees. We have experienced and may in the near-term experience additional increases in general and administrative expenses related to legal, accounting, finance and professional services costs associated with litigation activities, hiring more personnel and consultants to support our international activities and compliance with the applicable provisions of the Sarbanes-Oxley Act and other SEC rules and regulations as a result of being a public company. Our absolute amount of general and administrative expenses will grow over time; however, we expect general and administrative expenses as a percentage of revenue to decrease as our business grows.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income consists primarily of income earned on our cash and cash equivalents and short-term investments. These amounts will vary based on our respective balances and market rates. Interest expense consists primarily of interest on our debt and the amortization of debt issuance costs and discounts. Other income (expense), net consists primarily of realized and unrealized gains and losses on foreign currency transactions and balances, realized gains and losses related to sales of our available-for-sale investments and the change in fair value of the private placement warrant liability.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U.S. Federal and state deferred tax assets. The income tax provision (benefit) for the years ended December 31, 2025, and 2024, respectively, was not material to the Company’s consolidated financial statements. For the year ended December 31, 2025, the Company recorded an income tax benefit of $2.9 million primarily related to the resolution of the Company’s IRS examination of its 2017 and 2018 tax years offset in part by income taxes for its foreign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years ended December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 revenue</w:t>
            </w:r>
          </w:p>
        </w:tc>
        <w:tc>
          <w:tcPr>
            <w:tcW w:w="4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146,578</w:t>
            </w:r>
          </w:p>
        </w:tc>
        <w:tc>
          <w:tcPr>
            <w:tcW w:w="2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Royalties</w:t>
            </w:r>
          </w:p>
        </w:tc>
        <w:tc>
          <w:tcPr>
            <w:tcW w:w="38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22,806</w:t>
            </w:r>
          </w:p>
        </w:tc>
        <w:tc>
          <w:tcPr>
            <w:tcW w:w="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169,384</w:t>
            </w:r>
          </w:p>
        </w:tc>
        <w:tc>
          <w:tcPr>
            <w:tcW w:w="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38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85,948</w:t>
            </w:r>
          </w:p>
        </w:tc>
        <w:tc>
          <w:tcPr>
            <w:tcW w:w="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64,641</w:t>
            </w:r>
          </w:p>
        </w:tc>
        <w:tc>
          <w:tcPr>
            <w:tcW w:w="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157,435</w:t>
            </w:r>
          </w:p>
        </w:tc>
        <w:tc>
          <w:tcPr>
            <w:tcW w:w="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0" w:type="dxa"/>
            <w:vAlign w:val="bottom"/>
          </w:tcPr>
          <w:p>
            <w:pPr>
              <w:spacing w:after="0"/>
              <w:rPr>
                <w:sz w:val="1"/>
                <w:szCs w:val="1"/>
                <w:color w:val="auto"/>
              </w:rPr>
            </w:pPr>
          </w:p>
        </w:tc>
      </w:tr>
      <w:tr>
        <w:trPr>
          <w:trHeight w:val="223"/>
        </w:trPr>
        <w:tc>
          <w:tcPr>
            <w:tcW w:w="4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(60,377)</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82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2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and comprehensive loss data as a percentage of revenue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1"/>
        </w:trPr>
        <w:tc>
          <w:tcPr>
            <w:tcW w:w="7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5,455</w:t>
            </w:r>
          </w:p>
        </w:tc>
        <w:tc>
          <w:tcPr>
            <w:tcW w:w="62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11,371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20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2025 - 2024 Change</w:t>
            </w:r>
          </w:p>
        </w:tc>
      </w:tr>
      <w:tr>
        <w:trPr>
          <w:trHeight w:val="23"/>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r>
      <w:tr>
        <w:trPr>
          <w:trHeight w:val="196"/>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92,103</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58,430</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33,673</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22"/>
                <w:szCs w:val="22"/>
                <w:color w:val="auto"/>
              </w:rPr>
            </w:pPr>
          </w:p>
        </w:tc>
      </w:tr>
      <w:tr>
        <w:trPr>
          <w:trHeight w:val="25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and Pacific</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20,158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34,029</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22"/>
                <w:szCs w:val="22"/>
                <w:color w:val="auto"/>
              </w:rPr>
            </w:pPr>
          </w:p>
        </w:tc>
      </w:tr>
      <w:tr>
        <w:trPr>
          <w:trHeight w:val="256"/>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32,513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(9,419)</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22"/>
                <w:szCs w:val="22"/>
                <w:color w:val="auto"/>
              </w:rPr>
            </w:pPr>
          </w:p>
        </w:tc>
      </w:tr>
      <w:tr>
        <w:trPr>
          <w:trHeight w:val="248"/>
        </w:trPr>
        <w:tc>
          <w:tcPr>
            <w:tcW w:w="4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58,283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Revenue increased by $58.3 million, or 52%, to $169.4 million for the year ended December 31, 2025 from $111.1 million for the prior year. The increase in revenue was primarily driven by increased sales of the sensors as customers increased their purchase levels compared to the prior year period and the recognition of $22.8 million of revenue on royalties from long-term IP license contracts. During the fourth quarter of fiscal 2025, the Company recognized $16.1 million associated with royalties that were previously deferred pending the resolution of significant uncertainty associated with resolving the Company’s performance obligation under the license contract. The cumulative royalty revenue (included above) is associated with a multi-year IP license contract entered into in a prior year which granted a customer a right-to-use our functional intellectual property for the duration of the stated license term. As of December 31, 2025 those uncertainties have been resolved, which resulted in recognition of such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increased across the geographic regions of the Americas and Asia and Pacific, offset in part by decreased revenue in Europe, the Middle East and Africa as compared to the comparable period in the prior year. The revenue increase in the Americas was primarily attributable to higher sales of the REV7 sensor. The revenue increase in Asia and Pacific was primarily attributable to the recognition of $22.8 million of revenue on royalties from long-term IP license contracts.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5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2025 - 2024 Change</w:t>
            </w:r>
          </w:p>
        </w:tc>
        <w:tc>
          <w:tcPr>
            <w:tcW w:w="50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r>
      <w:tr>
        <w:trPr>
          <w:trHeight w:val="196"/>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7"/>
                <w:szCs w:val="17"/>
                <w:color w:val="auto"/>
              </w:rPr>
            </w:pPr>
          </w:p>
        </w:tc>
      </w:tr>
      <w:tr>
        <w:trPr>
          <w:trHeight w:val="23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85,948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70,641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w w:val="96"/>
              </w:rPr>
              <w:t>15,307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 of revenue increased by $15.3 million, or 22%, to $85.9 million for the year ended December 31, 2025 from $70.6 million for the prior year. The increase in cost of revenue was primarily attributable to higher volume of sensor shipments, higher product manufacturing, stock based compensation and tariff related costs, partially offset by lower excess and obsolete inventory charges and a $2.4 million cost reduction associated with the ERC that was received in the year ended December 31, 2025.</w:t>
      </w:r>
    </w:p>
    <w:p>
      <w:pPr>
        <w:spacing w:after="0" w:line="7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Gross margin rose to 49% for the year ended December 31, 2025 from 36% in the prior year primarily as a result of the recognition of revenue on royalties from long-term IP license contracts for which there is no associated cost of revenue as well as the factors described above related to the increased sales of REV7 sensor.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23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2025 - 2024 Change</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Development</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$7.1 million, or 12%, to $65.2 million for the year ended December 31, 2025 from $58.1 million in the prior year. The increase is primarily attributable to the Company’s continuing investment in the research and development of new product offerings and higher annual incentive compensation costs for employees engaged in the research and product development function, offset in part by $3.3 million in ERC benefits recognized as a reduction to research and development expense in the year ended December 31,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$0.2 million, or 1%, to $27.6 million for the year ended December 31, 2025 from $27.9 million in the prior year. The decrease was primarily due to the $1.1 million in ERC benefits recognized as a reduction to sales and marketing expense in the year ended December 31, 2025, offset in part by an increase in sales and marketing compensation and personnel related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increased by $5.9 million, or 10%, to $64.6 million for the year ended December 31, 2025 from $58.7 million in the prior year. The increase was primarily attributable to higher legal and professional fees to support an acquisition transaction and other corporate initiatives, partially offset by $1.2 million in ERC benefits recognized as a reduction in general and administrative expense in the year ended December 31,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2025 - 2024 Change</w:t>
            </w:r>
          </w:p>
        </w:tc>
        <w:tc>
          <w:tcPr>
            <w:tcW w:w="600" w:type="dxa"/>
            <w:vAlign w:val="bottom"/>
          </w:tcPr>
          <w:p>
            <w:pPr>
              <w:spacing w:after="0"/>
              <w:rPr>
                <w:sz w:val="16"/>
                <w:szCs w:val="16"/>
                <w:color w:val="auto"/>
              </w:rPr>
            </w:pPr>
          </w:p>
        </w:tc>
      </w:tr>
      <w:tr>
        <w:trPr>
          <w:trHeight w:val="23"/>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r>
      <w:tr>
        <w:trPr>
          <w:trHeight w:val="196"/>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(1,823)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1,823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59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3,018</w:t>
            </w: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year-over-year increase in interest income was primarily attributable to $1.3 million interest income earned on delayed IRS payments related to ERC claims recognized during the year ended December 31, 2025, offset in part by lower investment interest income earned which resulted from lower cash and short-term investments balances and lower average rate of interest earned on held balances during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interest expense was due to the full pay off of our debt facility in August 2024.</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was not material for the years ended December 31, 2025 and December 31, 2024. The year-over-year increase in other income (expense), net was due to a R&amp;D tax credit refund of $0.7 million from a foreign jurisdiction.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208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2025 - 2024 Change</w:t>
            </w:r>
          </w:p>
        </w:tc>
      </w:tr>
      <w:tr>
        <w:trPr>
          <w:trHeight w:val="23"/>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(63,312)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(96,508)</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33,196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w:t>
            </w:r>
          </w:p>
        </w:tc>
        <w:tc>
          <w:tcPr>
            <w:tcW w:w="320" w:type="dxa"/>
            <w:vAlign w:val="bottom"/>
          </w:tcPr>
          <w:p>
            <w:pPr>
              <w:spacing w:after="0"/>
              <w:rPr>
                <w:sz w:val="19"/>
                <w:szCs w:val="19"/>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(2,935)</w:t>
            </w:r>
          </w:p>
        </w:tc>
        <w:tc>
          <w:tcPr>
            <w:tcW w:w="360" w:type="dxa"/>
            <w:vAlign w:val="bottom"/>
          </w:tcPr>
          <w:p>
            <w:pPr>
              <w:spacing w:after="0"/>
              <w:rPr>
                <w:sz w:val="19"/>
                <w:szCs w:val="19"/>
                <w:color w:val="auto"/>
              </w:rPr>
            </w:pPr>
          </w:p>
        </w:tc>
        <w:tc>
          <w:tcPr>
            <w:tcW w:w="10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537</w:t>
            </w:r>
          </w:p>
        </w:tc>
        <w:tc>
          <w:tcPr>
            <w:tcW w:w="60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(3,472)</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was 4.64% for the year ended December 31, 2025 compared to our effective tax rate of (0.56)% for the prior year.</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an income tax benefit of $2.9 million primarily related to the resolution of the Company’s IRS examination of its 2017 and 2018 tax years offset in part by income taxes for its foreign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short-term investments, cash generated from sales of our products, and sales of common stock under our at-the market equity offering programs.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finance working capital, inventory management, capital expenditures, and general corporate purposes. We expect these needs to continue as we develop and grow our business.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we had an accumulated deficit of $973.4 million and cash, cash equivalents, restricted cash and short-term investments of approximately $211.2 million. Management believes that our existing sources of liquidity will be adequate to fund our operations for at least twelve months from the date of this Annual Report on Form 10-K. However, we may need to raise additional capital in the future to support our operations.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manage our cash and cash equivalents with financial institutions that we believe have high credit quality and, at times, such amounts exceed federally insured limits. The failure of any bank with which we maintain a commercial relationship could cause us to lose our deposits in excess of the federally insured or protected amounts. We have experienced recurring losses from operations, and negative cash flows from operations, and we expect to continue operating at a loss and to have negative cash flows from operations for the foreseeable future. Because we are in the growth stage of our business and operate in an emerging field of technology, we expect to continue to invest in research and development and opportunistically expand our sales and marketing teams worldwide.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If we are unable to obtain adequate financing or financing on terms satisfactory to us, when we require it, our ability to continue to grow or support our business and to respond to business challenges could be significantly limited. In particular,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2022, we entered into an open market sale agreement with B. Riley Securities, Inc., Cantor Fitzgerald &amp; Co. and Oppenheimer &amp; Co. Inc. (the “Former ATM Agreement”), pursuant to which we could offer and sell shares of our common stock with an aggregate offering price of up to $150.0 million under an “at-the-market” offering program.</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terminated the Former ATM Agreement in April 2025 in anticipation of the scheduled expiration of our registration statement on Form S-3 (File No. 333-264600). We filed a new registration statement on Form S-3 on May 2, 2025 (File No. 333-286936), which was subsequently declared effective by the SEC.</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May 12, 2025, we entered into an At Market Issuance Sales Agreement (the “ATM Agreement”) with Oppenheimer &amp; Co. Inc., pursuant to which the Company may offer and sell, from time to time, through or to the agent, acting as agent or principal, having an aggregate offering price of up to $100.0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sold 4,671,406 shares at a weighted-average sales price of $20.88 per share, resulting in cumulative gross proceeds to us totaling approximately $97.5 million before deducting offering costs, sales commissions and fees. Cumulative net proceeds to us totaled approximately $95.6 million after deducting offering costs, sales commissions and fees.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ATM Agreement as of December 31, 2025 is approximately $2.5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Debt Arrangements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25, 2023, we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UBS Agreement provided us with a revolving credit line of up to $45.0 million, subject to certain terms and conditions. We initially borrowed $44.0 million, and all of the proceeds were used to refinance and terminate our prior term loan facility.</w:t>
      </w:r>
    </w:p>
    <w:p>
      <w:pPr>
        <w:spacing w:after="0" w:line="62" w:lineRule="exact"/>
        <w:rPr>
          <w:sz w:val="20"/>
          <w:szCs w:val="20"/>
          <w:color w:val="auto"/>
        </w:rPr>
      </w:pPr>
    </w:p>
    <w:p>
      <w:pPr>
        <w:jc w:val="both"/>
        <w:ind w:right="160"/>
        <w:spacing w:after="0"/>
        <w:rPr>
          <w:sz w:val="20"/>
          <w:szCs w:val="20"/>
          <w:color w:val="auto"/>
        </w:rPr>
      </w:pPr>
      <w:r>
        <w:rPr>
          <w:rFonts w:ascii="Times New Roman" w:cs="Times New Roman" w:eastAsia="Times New Roman" w:hAnsi="Times New Roman"/>
          <w:sz w:val="18"/>
          <w:szCs w:val="18"/>
          <w:color w:val="auto"/>
        </w:rPr>
        <w:t>On August 12, 2024, we repaid the $44.0 million principal amount outstanding under the UBS Agreement, along with accrued interest, and terminated all commitments and obligations thereunder. We funded the repayment of the outstanding revolving loans under the UBS Agreement with cash on hand. For additional information regarding the terms of the UBS Agreement, see Note 5. Debt to our consolidated financial statements included in Part II, Item 8 of this Annual Report on Form 10-K.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2025,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7. Leases and Note 8. Commitments and Contingencies to our consolidated financial statements included in Part II, Item 8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379"/>
              <w:spacing w:after="0"/>
              <w:rPr>
                <w:sz w:val="20"/>
                <w:szCs w:val="20"/>
                <w:color w:val="auto"/>
              </w:rPr>
            </w:pPr>
            <w:r>
              <w:rPr>
                <w:rFonts w:ascii="Times New Roman" w:cs="Times New Roman" w:eastAsia="Times New Roman" w:hAnsi="Times New Roman"/>
                <w:sz w:val="18"/>
                <w:szCs w:val="18"/>
                <w:color w:val="auto"/>
              </w:rPr>
              <w:t>(39,956)</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(33,694)</w:t>
            </w: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(36,251)</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rPr>
              <w:t>14,652</w:t>
            </w:r>
          </w:p>
        </w:tc>
      </w:tr>
      <w:tr>
        <w:trPr>
          <w:trHeight w:val="234"/>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0"/>
                <w:szCs w:val="20"/>
                <w:color w:val="auto"/>
              </w:rPr>
            </w:pPr>
          </w:p>
        </w:tc>
        <w:tc>
          <w:tcPr>
            <w:tcW w:w="1200" w:type="dxa"/>
            <w:vAlign w:val="bottom"/>
          </w:tcPr>
          <w:p>
            <w:pPr>
              <w:jc w:val="center"/>
              <w:ind w:left="419"/>
              <w:spacing w:after="0"/>
              <w:rPr>
                <w:sz w:val="20"/>
                <w:szCs w:val="20"/>
                <w:color w:val="auto"/>
              </w:rPr>
            </w:pPr>
            <w:r>
              <w:rPr>
                <w:rFonts w:ascii="Times New Roman" w:cs="Times New Roman" w:eastAsia="Times New Roman" w:hAnsi="Times New Roman"/>
                <w:sz w:val="18"/>
                <w:szCs w:val="18"/>
                <w:color w:val="auto"/>
              </w:rPr>
              <w:t>97,610</w:t>
            </w:r>
          </w:p>
        </w:tc>
        <w:tc>
          <w:tcPr>
            <w:tcW w:w="580" w:type="dxa"/>
            <w:vAlign w:val="bottom"/>
          </w:tcPr>
          <w:p>
            <w:pPr>
              <w:spacing w:after="0"/>
              <w:rPr>
                <w:sz w:val="20"/>
                <w:szCs w:val="20"/>
                <w:color w:val="auto"/>
              </w:rPr>
            </w:pPr>
          </w:p>
        </w:tc>
        <w:tc>
          <w:tcPr>
            <w:tcW w:w="106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rPr>
              <w:t>15,393</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$40.0 million in cash. The primary factors affecting our operating cash flows during this period were our net loss of $60.4 million, offset by our non-cash charges of $52.5 million primarily consisting of depreciation and amortization of $7.8 million, stock-based compensation of $40.8 million, amortization of right-of-use asset of $5.1 million and inventory write-down of $0.4 million. The changes in our operating assets and liabilities of $32.1 million were primarily due to an increase in accounts receivable of $8.0 million, an increase in inventory of $6.8 million, an increase in prepaid expenses and other assets of $3.6 million, an increase in accounts payable of $13.2 million, a decrease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of $14.3 million, a decrease in operating lease liability of $6.7 million, and a decrease in accrued and other liabilities of $5.9 million.</w:t>
      </w:r>
    </w:p>
    <w:p>
      <w:pPr>
        <w:spacing w:after="0" w:line="11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During the year ended December 31, 2024, operating activities used $33.7 million in cash. The primary factors affecting our operating cash flows during this period were our net loss of $97.0 million, offset by our non-cash charges of $51.9 million primarily consisting of depreciation and amortization of $9.8 million, stock-based compensation of $40.5 million, amortization of right-of-use asset of $4.9 million and inventory write-down of $2.1 million. The changes in our operating assets and liabilities of $11.5 million was primarily due to an increase in accounts receivable of $1.7 million, decrease in inventory of $4.7 million, a decrease in prepaid expenses and other assets of $21.3 million, an increase in accounts payable of $2.5 million, an increase in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$19.0 million, a decrease in operating lease liability of $6.3 million, and a decrease in accrued and other liabilities of $28.1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cash used by investing activities was $36.3 million, consisting primarily of purchases of short-term investments of $149.6 million and purchase of property and equipment of $24.9 million, offset in part by $138.3 million proceeds from sales and maturities of short-term investments. During the year ended December 31, 2025, cash used for the purchase of property and equipment was primarily related to a purchase of real property for $18.2 million.</w:t>
      </w:r>
    </w:p>
    <w:p>
      <w:pPr>
        <w:spacing w:after="0" w:line="1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cash provided by investing activities was $14.7 million, consisting primarily of $162.3 million proceeds from sales and maturities of short-term investments offset in part by purchases of short-term investments of $144.6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cash provided by financing activities was $97.6 million, consisting primarily of $95.6 million of proceeds from the issuance of common stock under the ATM Agreement.</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cash provided by financing activities was $15.4 million, consisting primarily of $57.8 million of proceeds from the issuance of common stock under the Former ATM Agreement, partially offset by the repayment of indebtedness of $44.0 million under the UBS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we may record certain adjustments to the carrying value of the assets acquired and liabilities assumed with the corresponding offset to goodwill. After the measurement period, all adjustments are recorded in the consolidated statements of operations within other income (expense), net.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Inventories are stated at the lower of cost or estimated net realizable value. Costs are computed under the standard cost method, which approximates actual costs determined on a first in, first out basis. We record write-downs of inventories which are obsolete or in excess of anticipated demand. Significant judgment is used in establishing our forecasts of future demand and obsolete material exposures. We consider marketability and product life cycle stage, product development plans, demand forecasts, and assumptions about future demand and market conditions in establishing our estimates. If the actual component usage and product demand are significantly lower than forecast, which may be caused by factors within and outside of our control, or if there were a higher incidence of inventory obsolescence because of rapidly changing technology and our customer requirements, we may be required to increase our inventory write-downs. A change in our estimates could have a significant impact on the value of our inventory and our results of operations.</w:t>
      </w:r>
    </w:p>
    <w:p>
      <w:pPr>
        <w:spacing w:after="0" w:line="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policy discussed below is critical to understanding our historical and future performance as these policies involve a greater degree of judgment and complexity.</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products or services. The amount of revenue recognized reflects the consideration that the Company expects to be entitled to receive in exchange for these products or services.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licenses rights to its IP to certain customers and collects royalties based on customer’s product sales. IP revenue recognition is dependent on the nature and terms of each agreement. The Company recognizes license revenue upon the later of (a) delivery of the IP or (b) commencement of the license term if there are no substantive future obligations to perform under the arrangement. Revenue for licenses to future technology developed on a when-and-if -available basis is recognized straight-line over the license period as long as customers continue to have access to the future technology. Royalties from the license of IP are recognized at the later of the period the sales occur or the satisfaction of the performance obligation to which some or all of the royalties have been allocated.Significant judgment is applied when the Company determines the amount and timing of revenue from the IP royalties when Company contracts with customers to license rights to its IP.</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to our consolidated financial statements included in Part II, Item 8, “Financial Statements and Supplementary Data” for additional information regarding our revenue recognition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and qualitative information regarding these risks.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inflation in the U.S., Europe and other geographies has risen significantly in recent years. To date, we do not believe that inflation has had a material effect on our business, financial condition, or results of operations, other than its impact on the general economy. However, we are monitoring the current inflationary environment, particularly as it may be impacted by proposed and/or newly implemented tariffs. If our costs were to become subject to significant inflationary pressures, we may not be able to fully offset such higher costs through price increases, and our inability or failure to do so could harm our business, financial condition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2025, we had cash, cash equivalents, restricted cash and short-term investments of approximately $211.2 million, of which $54.5 million consisted of institutional money market funds, $68.3 million consisted of commercial paper, and $72.8 million consisted of corporate debt, all of which carries a degree of interest rate risk. The primary goals of our investment policy are liquidity and capital preservation. We do not enter into investments for trading or speculative purposes. 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spacing w:after="0" w:line="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August 12, 2024, we repaid in full, with cash on hand, all outstanding indebtedness and terminated all commitments and obligations under the UBS Agreement. As of December 31, 2025, we had no debt outstanding and therefore are not exposed to interest rate risk with respect to debt.</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98" w:right="5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83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168"/>
        </w:trPr>
        <w:tc>
          <w:tcPr>
            <w:tcW w:w="83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86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86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OUSTER, INC.</w:t>
            </w:r>
          </w:p>
        </w:tc>
        <w:tc>
          <w:tcPr>
            <w:tcW w:w="2860" w:type="dxa"/>
            <w:vAlign w:val="bottom"/>
          </w:tcPr>
          <w:p>
            <w:pPr>
              <w:spacing w:after="0"/>
              <w:rPr>
                <w:sz w:val="24"/>
                <w:szCs w:val="24"/>
                <w:color w:val="auto"/>
              </w:rPr>
            </w:pPr>
          </w:p>
        </w:tc>
      </w:tr>
      <w:tr>
        <w:trPr>
          <w:trHeight w:val="581"/>
        </w:trPr>
        <w:tc>
          <w:tcPr>
            <w:tcW w:w="20" w:type="dxa"/>
            <w:vAlign w:val="bottom"/>
          </w:tcPr>
          <w:p>
            <w:pPr>
              <w:spacing w:after="0"/>
              <w:rPr>
                <w:sz w:val="24"/>
                <w:szCs w:val="24"/>
                <w:color w:val="auto"/>
              </w:rPr>
            </w:pPr>
          </w:p>
        </w:tc>
        <w:tc>
          <w:tcPr>
            <w:tcW w:w="8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PCAOB ID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238)</w:t>
            </w:r>
          </w:p>
        </w:tc>
        <w:tc>
          <w:tcPr>
            <w:tcW w:w="2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3700" w:type="dxa"/>
            <w:vAlign w:val="bottom"/>
            <w:gridSpan w:val="5"/>
          </w:tcPr>
          <w:p>
            <w:pPr>
              <w:spacing w:after="0"/>
              <w:rPr>
                <w:sz w:val="18"/>
                <w:szCs w:val="18"/>
                <w:color w:val="auto"/>
              </w:rPr>
            </w:pPr>
          </w:p>
        </w:tc>
        <w:tc>
          <w:tcPr>
            <w:tcW w:w="2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20" w:type="dxa"/>
            <w:vAlign w:val="bottom"/>
          </w:tcPr>
          <w:p>
            <w:pPr>
              <w:spacing w:after="0"/>
              <w:rPr>
                <w:sz w:val="18"/>
                <w:szCs w:val="18"/>
                <w:color w:val="auto"/>
              </w:rPr>
            </w:pPr>
          </w:p>
        </w:tc>
        <w:tc>
          <w:tcPr>
            <w:tcW w:w="8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2025, and 2024</w:t>
            </w:r>
          </w:p>
        </w:tc>
        <w:tc>
          <w:tcPr>
            <w:tcW w:w="2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20" w:type="dxa"/>
            <w:vAlign w:val="bottom"/>
          </w:tcPr>
          <w:p>
            <w:pPr>
              <w:spacing w:after="0"/>
              <w:rPr>
                <w:sz w:val="18"/>
                <w:szCs w:val="18"/>
                <w:color w:val="auto"/>
              </w:rPr>
            </w:pPr>
          </w:p>
        </w:tc>
        <w:tc>
          <w:tcPr>
            <w:tcW w:w="72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and 2024</w:t>
            </w:r>
          </w:p>
        </w:tc>
        <w:tc>
          <w:tcPr>
            <w:tcW w:w="1160" w:type="dxa"/>
            <w:vAlign w:val="bottom"/>
          </w:tcPr>
          <w:p>
            <w:pPr>
              <w:spacing w:after="0"/>
              <w:rPr>
                <w:sz w:val="18"/>
                <w:szCs w:val="18"/>
                <w:color w:val="auto"/>
              </w:rPr>
            </w:pPr>
          </w:p>
        </w:tc>
        <w:tc>
          <w:tcPr>
            <w:tcW w:w="2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20" w:type="dxa"/>
            <w:vAlign w:val="bottom"/>
          </w:tcPr>
          <w:p>
            <w:pPr>
              <w:spacing w:after="0"/>
              <w:rPr>
                <w:sz w:val="20"/>
                <w:szCs w:val="20"/>
                <w:color w:val="auto"/>
              </w:rPr>
            </w:pPr>
          </w:p>
        </w:tc>
        <w:tc>
          <w:tcPr>
            <w:tcW w:w="58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w:t>
            </w:r>
          </w:p>
        </w:tc>
        <w:tc>
          <w:tcPr>
            <w:tcW w:w="60" w:type="dxa"/>
            <w:vAlign w:val="bottom"/>
          </w:tcPr>
          <w:p>
            <w:pPr>
              <w:spacing w:after="0"/>
              <w:rPr>
                <w:sz w:val="20"/>
                <w:szCs w:val="20"/>
                <w:color w:val="auto"/>
              </w:rPr>
            </w:pPr>
          </w:p>
        </w:tc>
        <w:tc>
          <w:tcPr>
            <w:tcW w:w="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and 2024</w:t>
            </w:r>
          </w:p>
        </w:tc>
        <w:tc>
          <w:tcPr>
            <w:tcW w:w="1800" w:type="dxa"/>
            <w:vAlign w:val="bottom"/>
            <w:gridSpan w:val="2"/>
          </w:tcPr>
          <w:p>
            <w:pPr>
              <w:spacing w:after="0"/>
              <w:rPr>
                <w:sz w:val="20"/>
                <w:szCs w:val="20"/>
                <w:color w:val="auto"/>
              </w:rPr>
            </w:pPr>
          </w:p>
        </w:tc>
        <w:tc>
          <w:tcPr>
            <w:tcW w:w="2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20" w:type="dxa"/>
            <w:vAlign w:val="bottom"/>
          </w:tcPr>
          <w:p>
            <w:pPr>
              <w:spacing w:after="0"/>
              <w:rPr>
                <w:sz w:val="20"/>
                <w:szCs w:val="20"/>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200" w:type="dxa"/>
            <w:vAlign w:val="bottom"/>
            <w:gridSpan w:val="7"/>
          </w:tcPr>
          <w:p>
            <w:pPr>
              <w:spacing w:after="0"/>
              <w:rPr>
                <w:sz w:val="20"/>
                <w:szCs w:val="20"/>
                <w:color w:val="auto"/>
              </w:rPr>
            </w:pPr>
          </w:p>
        </w:tc>
        <w:tc>
          <w:tcPr>
            <w:tcW w:w="2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65</w:t>
            </w:r>
          </w:p>
        </w:tc>
      </w:tr>
      <w:tr>
        <w:trPr>
          <w:trHeight w:val="912"/>
        </w:trPr>
        <w:tc>
          <w:tcPr>
            <w:tcW w:w="5860" w:type="dxa"/>
            <w:vAlign w:val="bottom"/>
            <w:gridSpan w:val="6"/>
          </w:tcPr>
          <w:p>
            <w:pPr>
              <w:jc w:val="center"/>
              <w:ind w:left="5310"/>
              <w:spacing w:after="0"/>
              <w:rPr>
                <w:sz w:val="20"/>
                <w:szCs w:val="20"/>
                <w:color w:val="auto"/>
              </w:rPr>
            </w:pPr>
            <w:r>
              <w:rPr>
                <w:rFonts w:ascii="Times New Roman" w:cs="Times New Roman" w:eastAsia="Times New Roman" w:hAnsi="Times New Roman"/>
                <w:sz w:val="18"/>
                <w:szCs w:val="18"/>
                <w:color w:val="auto"/>
                <w:w w:val="99"/>
              </w:rPr>
              <w:t>58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36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Ouster, Inc. Opinion on the Financial Statements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Ouster, Inc. and its subsidiaries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Product revenue</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Company’s revenue was $146.6 million for the year ended December 31, 2025, of which the majority related to product revenue. Product revenue is recognized at a point in time when control of the goods is transferred to the customer, generally occurring upon shipment or delivery dependent upon the terms of the underlying contract. The transaction price is the amount of consideration the Company expects to be entitled in exchange for transferring products to the customer.</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product revenue is a critical audit matter is a high degree of auditor effort in performing procedures over the Company’s revenue recognition. As disclosed by management, material weaknesses were identified that impacted this matter.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(i) testing revenue recognized for a sample of product revenue transactions by obtaining and inspecting source documents, such as contracts, sales quotes, purchase orders, sales orders, invoices, proof of shipment, and subsequent cash receipts and</w:t>
      </w:r>
    </w:p>
    <w:p>
      <w:pPr>
        <w:spacing w:after="0" w:line="2" w:lineRule="exact"/>
        <w:rPr>
          <w:sz w:val="20"/>
          <w:szCs w:val="20"/>
          <w:color w:val="auto"/>
        </w:rPr>
      </w:pPr>
    </w:p>
    <w:p>
      <w:pPr>
        <w:ind w:right="140" w:firstLine="8"/>
        <w:spacing w:after="0" w:line="260"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a sample of outstanding customer invoice balances as of December 31, 2025 and, for confirmations not returned, obtaining and inspecting source documents, such as contracts, sales quotes, purchase orders, sales orders, invoices, and subsequent cash receipts.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45,542</w:t>
            </w: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 current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126,480</w:t>
            </w:r>
          </w:p>
        </w:tc>
      </w:tr>
      <w:tr>
        <w:trPr>
          <w:trHeight w:val="230"/>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w:t>
            </w:r>
          </w:p>
        </w:tc>
      </w:tr>
      <w:tr>
        <w:trPr>
          <w:trHeight w:val="230"/>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219,852</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 non-current portion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349,516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276,148</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r>
      <w:tr>
        <w:trPr>
          <w:trHeight w:val="230"/>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30,591</w:t>
            </w: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34,351</w:t>
            </w:r>
          </w:p>
        </w:tc>
      </w:tr>
      <w:tr>
        <w:trPr>
          <w:trHeight w:val="229"/>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78,426</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95,237</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8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December 31, 2025 and 2024; 60,947,757</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52,560,770 issued and outstanding at December 31, 2025 and 2024, respectively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1,094,938</w:t>
            </w: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(913,071)</w:t>
            </w: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180,911</w:t>
            </w: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276,148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144,637</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unrealized (loss) gain on available for sale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(98,240)</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basic and diluted 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56,334,911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46,584,479</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9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Paid-in-</w:t>
            </w:r>
          </w:p>
        </w:tc>
        <w:tc>
          <w:tcPr>
            <w:tcW w:w="140" w:type="dxa"/>
            <w:vAlign w:val="bottom"/>
          </w:tcPr>
          <w:p>
            <w:pPr>
              <w:spacing w:after="0"/>
              <w:rPr>
                <w:sz w:val="5"/>
                <w:szCs w:val="5"/>
                <w:color w:val="auto"/>
              </w:rPr>
            </w:pPr>
          </w:p>
        </w:tc>
        <w:tc>
          <w:tcPr>
            <w:tcW w:w="114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5"/>
                <w:szCs w:val="5"/>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06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220" w:type="dxa"/>
            <w:vAlign w:val="bottom"/>
          </w:tcPr>
          <w:p>
            <w:pPr>
              <w:spacing w:after="0"/>
              <w:rPr>
                <w:sz w:val="5"/>
                <w:szCs w:val="5"/>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January 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43,257,862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995,464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(816,026)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179,672</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at-the-market offering, net of commissions and fees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6,045,428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56,214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56,216</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$1,749 and issuance costs of $346</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Velodyne Merger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2,022,741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to employees under employee stock purchase</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384,341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warrants issuable to customer</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40,459</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(97,045)</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52,560,770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1,094,938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(913,071)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180,911</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 restricted stock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Proceeds from at-the-market offering, net of commissions and fees of</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4,671,406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95,157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95,158</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$1,951 and issuance costs of $421</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Velodyne Merger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3,139,352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to employees under employee stock purchase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394,755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1,955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warrants issuable to customer</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40,824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40,824</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(60,377)</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22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60,947,757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1,235,580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(973,448)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261,738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(60,377)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on write-off and disposal of property and equipment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Reduction of revenue related to stock warrant issued to customer</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right-of-use asset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interest income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Accretion or amortization on short-term investments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(Recovery) provision for inventory write-down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(recovery of) for doubtful accounts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Realized gain on sale of investments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w:t>
            </w:r>
          </w:p>
        </w:tc>
        <w:tc>
          <w:tcPr>
            <w:tcW w:w="0" w:type="dxa"/>
            <w:vAlign w:val="bottom"/>
          </w:tcPr>
          <w:p>
            <w:pPr>
              <w:spacing w:after="0"/>
              <w:rPr>
                <w:sz w:val="1"/>
                <w:szCs w:val="1"/>
                <w:color w:val="auto"/>
              </w:rPr>
            </w:pPr>
          </w:p>
        </w:tc>
      </w:tr>
      <w:tr>
        <w:trPr>
          <w:trHeight w:val="195"/>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0" w:type="dxa"/>
            <w:vAlign w:val="bottom"/>
          </w:tcPr>
          <w:p>
            <w:pPr>
              <w:spacing w:after="0"/>
              <w:rPr>
                <w:sz w:val="1"/>
                <w:szCs w:val="1"/>
                <w:color w:val="auto"/>
              </w:rPr>
            </w:pPr>
          </w:p>
        </w:tc>
      </w:tr>
      <w:tr>
        <w:trPr>
          <w:trHeight w:val="195"/>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Contract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(33,694)</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property &amp; equipment</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(144,573)</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short-term investments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162,313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14,652</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ESPP purchase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received (remitted) to fund employees tax obligation for vested RSUs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the issuance of common stock under at-the-market offering, net of commissions and fees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At-the-market offering costs for the issuance of common stock</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97,610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15,393</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48,099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52,634</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OPERATING ACTIVITIES: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INFORMATION: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liabilities</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Ouster, Inc. (the “Company”) was incorporated in the Cayman Islands on June 4, 2020 as “Colonnade Acquisition Corp.”. Following the closing of a business combination between the Company and Ouster Technologies, Inc. (formerly, Ouster, Inc.) in March 2021 (the “Colonnade Merger”), the Company domesticated as a Delaware corporation and changed its name to “Ouster, Inc.” References to “CLA” refer to the Company prior to the business combination. Ouster Technologies, Inc., the Company’s predecessor was founded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of which are wholly owned) and have been prepared in conformity with U.S. generally accepted accounting principles (“U.S. GAAP”).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principal sources of liquidity are its cash and cash equivalents, short-term investments, cash generated from sales of the Company’s products, sales of common stock under its at-the-market equity offering program and debt financing.</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The Company has experienced recurring losses from operations, and negative cash flows from operations. As of December 31, 2025, the Company’s existing sources of liquidity included cash and cash equivalents, restricted cash, and short-term investments of $211.2 million. The Company has incurred losses and negative cash flows from operations for several years.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consolidated financial statements were available for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Issuance Sales Agreement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29, 2022, the Company entered into an open market sale agreement with B. Riley Securities, Inc., Cantor Fitzgerald &amp; Co. and Oppenheimer &amp; Co. Inc. (the “Former ATM Agreement”), pursuant to which we could offer and sell shares of our common stock with an aggregate offering price of up to $150.0 million under an “at-the-market” offering program. During the years ended December 31, 2024 and 2023, the Company sold 6,045,428 and 2,878,875 shares, respectively under the Former ATM Agreement. The weighted-average sales price and gross proceeds to the Company before deducting offering costs, sales commissions and fees were approximately $9.64 and $5.67 per share and $58.3 million and $16.3 million, respectively, during the year ended December 31, 2024 and 2023. The Company used the net proceeds from the Former ATM Agreement for working capital and general corporate purposes. We terminated the Former ATM Agreement in April 2025 in anticipation of the scheduled expiration of our registration statement on Form S-3 (File No. 333-264600).</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filed a new registration statement on Form S-3 on May 2, 2025 (File No. 333-286936), which was subsequently declared effective by the SEC. On May 12, 2025, the Company entered into an At the Market Issuance Sales Agreement (the “ATM Agreement”) with Oppenheimer &amp; Co. Inc., pursuant to which the Company may offer and sell, from time to time, through or to the agent, acting as agent or principal, having an aggregate offering price of up to $100.0 million. During the year ended December 31, 2025, we sold 4,671,406 shares at a weighted-average sales price of $20.88 per share, resulting in cumulative gross proceeds to us totaling approximately $95.6 million before deducting offering costs, sales commissions and fees. Cumulative net proceeds to us totaled approximately $97.5 million after deducting offering costs, sales commissions and fees.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ATM Agreement as of December 31, 2025 is approximately $2.5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and assumptions that affect the reported amounts of assets and liabilities and disclosure of contingent assets and liabilities at the date of the financial statements and the reported amounts of revenue and expenses during the reported periods. The most significant estimates included in these consolidated financial statements are the useful lives of long-lived assets, revenue recognition, inventory write downs, the realizability of deferred tax assets, the measurement of stock-based compensation, and the valuation of the Company’s various financial instruments. The complexity of the estimation process and factors relating to assumptions, risks and uncertainties inherent with the use of the estimates affect the amount of revenue and related expenses reported in the Company’s consolidated financial statements. Internal and external factors can affect the Company’s estimates. Actual results could differ from these estimates under different assumptions or conditions.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The Company recognizes the assets acquired and liabilities assumed in business combinations on the basis of their fair values at the date of acquisition. The Company assesses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within other income (expense), net.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 is the U.S. dollar. The functional currency of the Company’s wholly-owned foreign subsidiaries is generally the same as the entity’s local currency. Accordingly, the asset and liability accounts of our foreign operations are translated into U.S. dollars using the current exchange rate in effect at the balance sheet date and equity accounts are translated into U.S. dollars using historical rates. The revenues and expenses are translated using the weighted-average exchange rates in effect during the period, and gains and losses from foreign currency translation adjustments are included as a component of accumulated other comprehensive loss in the consolidated balance sheets. Foreign currency translation adjustments are recorded in other comprehensive loss in the consolidated statements of operations and comprehensive loss.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are a result of the effect of exchange rate changes on transactions denominated in currencies other than the functional currency. Foreign currency transaction gains and losses are recorded in other income (expense), net in the consolidated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operates as one reportable and operating segment, which relates to the sale and production of lidar sensor kits. The Company’s chief operating decision maker (“CODM”) is its Chief Executive Officer, who reviews financial information presented on a consolidated basis for purposes of making operating decisions, assessing financial performance and allocating resources. The profitability of the Company’s product group is not a determining factor in allocating resources and the CODM does not evaluate profitability below the level of the consolidated company.</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8" w:right="4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119" w:lineRule="exact"/>
        <w:rPr>
          <w:sz w:val="20"/>
          <w:szCs w:val="20"/>
          <w:color w:val="auto"/>
        </w:rPr>
      </w:pPr>
    </w:p>
    <w:p>
      <w:pPr>
        <w:ind w:left="420" w:right="20"/>
        <w:spacing w:after="0" w:line="258" w:lineRule="auto"/>
        <w:rPr>
          <w:sz w:val="20"/>
          <w:szCs w:val="20"/>
          <w:color w:val="auto"/>
        </w:rPr>
      </w:pPr>
      <w:r>
        <w:rPr>
          <w:rFonts w:ascii="Times New Roman" w:cs="Times New Roman" w:eastAsia="Times New Roman" w:hAnsi="Times New Roman"/>
          <w:sz w:val="18"/>
          <w:szCs w:val="18"/>
          <w:color w:val="auto"/>
        </w:rPr>
        <w:t>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19" w:lineRule="exact"/>
        <w:rPr>
          <w:sz w:val="20"/>
          <w:szCs w:val="20"/>
          <w:color w:val="auto"/>
        </w:rPr>
      </w:pPr>
    </w:p>
    <w:p>
      <w:pPr>
        <w:ind w:left="420" w:right="220"/>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services is separately identifiable from other promises in the contract.</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left="420" w:right="120"/>
        <w:spacing w:after="0" w:line="25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product or services to the customer. Royalties from the license of intellectual property (“IP”) are included in the transaction price in the period the sales occur. Other forms of variable consideration are included in the transaction price if the Company judges that it is probable that a significant future reversal of cumulative revenue under the contract will not occur. None of the Company’s contracts contain a significant financing component. All taxes assessed by a governmental authority on a specific revenue-producing transaction collected by the Company from a customer are excluded from the transaction price.</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performance obligations in the contract</w:t>
      </w:r>
    </w:p>
    <w:p>
      <w:pPr>
        <w:spacing w:after="0" w:line="119" w:lineRule="exact"/>
        <w:rPr>
          <w:sz w:val="20"/>
          <w:szCs w:val="20"/>
          <w:color w:val="auto"/>
        </w:rPr>
      </w:pPr>
    </w:p>
    <w:p>
      <w:pPr>
        <w:ind w:left="420" w:right="80"/>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2025 and 2024, the Company did not have a material volume of contracts that required the allocation of transaction price to multiple performance obligations.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promised product or service to a customer.</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revenue is derived from more than one of the subcaptions described below, each class which is not more than 10 percent of the sum of the items is combined with another class.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 comes from product sales of lidar sensors to direct customers and distributors. Revenue is recognized at a point in time when control of the goods is transferred to the customer, generally occurring upon shipment or delivery dependent upon the terms of the underlying contract. Product sales to certain customers may require customer acceptance due to performance acceptance criteria that are considered more than a formality. For these product sales, revenue is recognized upon the expiration of the customer acceptance period. Amounts billed to customers for shipping and handling are included in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services revenue consists primarily of software development and compliance services. The obligation to provide services is generally satisfied over time, with the customer simultaneously receiving and consuming the benefits as the Company satisfies its performance obligations. For product development and validation service projects, the Company bills and recognizes revenue as the services are performed. For these arrangements, control is transferred over as the Company’s inputs are incurred to complete the project; therefore, revenue is recognized over the service period with the measure of progress using the input method based on labor costs incurred to total labor cost (“cost-to-cost”) as the services are provided.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 Licenses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licenses rights to its IP to certain customers and collects royalties based on customer’s product sales. IP revenue recognition is dependent on the nature and terms of each agreement. The Company recognizes license revenue upon the later of (a) delivery of the IP or (b) commencement of the license term if there are no substantive future obligations to perform under the arrangement. Revenue for licenses to future technology developed on a when-and-if -available basis is recognized straight-line over the license period as long as customers continue to have access to the future technology. Royalties from the license of IP are recognized at the later of the period the sales occur or the satisfaction of the performance obligation to which some or all of the royalties have been allocated.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Licenses</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Company’s Gemini software license arrangements provide the customer with the right to install and use functional intellectual property (as it exists at the point in time at which the license is granted) for the duration of the contract term (perpetual or term license). Revenue from distinct software licenses is recognized at the point in time when the software is made available to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Gemini software license arrangements typically include an initial (bundled) post contract customer support (maintenance or “PCS”) term. Those software license arrangements, which include PCS represent a distinct, stand-alone performance obligation. Contract consideration is allocated to the PCS based on its relative SSP and revenue is recognized ratably over the PCS term.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provides standard product warranties for a term of typically one to two years to ensure that its products comply with agreed-upon specifications. Standard warranties are considered to be assurance type warranties and are not accounted for as separate performance obligations. The Company also provides service type extended warranties for typically an additional term ranging up to two additional years. For service type extended warranty contracts, the Company allocates revenue to this performance obligation on a relative standalone selling price basis and recognizes the revenue on a ratable basis over time during the effective period of the services as the Company stands ready to provide services as needed.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expenses the incremental costs of obtaining a contract when incurred because the amortization period for these costs would typically be less than one year. These costs primarily relate to sales commissions and are expensed as incurred in sales and marketing expense in the Company’s consolidated statements of operations and comprehensive loss. The incremental cost of obtaining a contract for the years ended December 31, 2025 and 2024 was $4.6 million, and $4.1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return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general terms and conditions for its contracts do not contain a right of return that allows the customer to return products and receive a credit, however it has in practice permitted returns of its sensor kits in limited circumstances. Allowances for sales returns, which reduce revenue, are estimated using historical experience and were immaterial as of December 31, 2025 and 2024. Actual returns in subsequent periods have been consistent with estimated amounts.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The two-class method determines net loss per common share for common and participating securities according to dividends declared or accumulated and participation rights in undistributed earnings. The two-</w:t>
      </w:r>
    </w:p>
    <w:p>
      <w:pPr>
        <w:ind w:right="40"/>
        <w:spacing w:after="0" w:line="255" w:lineRule="auto"/>
        <w:rPr>
          <w:sz w:val="20"/>
          <w:szCs w:val="20"/>
          <w:color w:val="auto"/>
        </w:rPr>
      </w:pPr>
      <w:r>
        <w:rPr>
          <w:rFonts w:ascii="Times New Roman" w:cs="Times New Roman" w:eastAsia="Times New Roman" w:hAnsi="Times New Roman"/>
          <w:sz w:val="18"/>
          <w:szCs w:val="18"/>
          <w:color w:val="auto"/>
        </w:rPr>
        <w:t>class method requires income available to common stockholders for the period to be allocated between common and participating securities based upon their respective rights to receive dividends as if all income for the period had been distributed. The Company has no participating securities outstanding for the periods presented.</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net loss per common share attributable to common stockholders is computed by dividing the net loss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common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periods in which the Company reports a net loss attributable to common stockholders, diluted net loss per common share attributable to common stockholders is the same as basic net loss per common share attributable to common stockholders, since dilutive common shares are not assumed to have been issued if their effect is anti-dilutive. The Company reported a net loss attributable to common stockholders for the years ended December 31,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The Company’s changes in unrealized loss on available for sale securities and foreign currency translation adjustment are the only components of other comprehensive loss that is excluded from the reported net loss for all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from the date of purchase of three months or less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cash deposited with banks, money market accounts and commercial paper.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Restricted cash consists of collateral to merchant credit card, deposit account to secure foreign entity closure costs, issuance of a deposit performance guarantee issued in favor of a customer, and certificates of deposit held by a bank as security for outstanding letters of credit.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as available for sale and reports them at fair value, with unrealized gains and losses recorded in accumulated other comprehensive loss. For investments sold prior to maturity, the cost of investments sold is based on the specific identification method. Realized gains and losses on the sale of investments are recorded in other income, net in the consolidated statement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The Company maintains an allowance for expected credit losses representing its best estimate of expected credit losses related to its existing accounts receivable and their net realizable value. The allowance is determined using a combination of factors including historical losses adjusted to take into account current market conditions and customers’ financial condition, the amount of receivables in dispute, and the current receivables aging and current payment patterns. The Company writes off accounts receivable against the allowance after all means of collection have been exhausted and the potential for recovery is considered remote.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allowance for expected credit losses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(recovery of) for doubtful accounts</w:t>
            </w:r>
          </w:p>
        </w:tc>
        <w:tc>
          <w:tcPr>
            <w:tcW w:w="1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write-offs and other</w:t>
            </w:r>
          </w:p>
        </w:tc>
        <w:tc>
          <w:tcPr>
            <w:tcW w:w="1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1"/>
        </w:trPr>
        <w:tc>
          <w:tcPr>
            <w:tcW w:w="6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Inventory consists primarily of raw materials, work-in-process, and finished goods and is stated at the lower of cost or estimated net realizable value. Costs are computed under the standard cost method, which approximates actual costs determined on the first-in, first-out basis. The Company charges cost of revenue for write-downs of inventories which are obsolete or in excess of anticipated demand based on purchase commitments, production needed to fulfil the warranty obligations, consideration of product marketability and product development plans, historical revenue and assumptions about future demand and market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Property and equipment is comprised of all land, buildings and leasehold improvements and machinery and equipment used in our operations and corporate administration. Property and equipment are stated at cost less accumulated depreciation. Expenditures for repairs and maintenance are charged to expense as incurred. Upon disposition, the cost and related accumulated depreciation and amortization are removed from the accounts and resulting gain or loss is reflected in the consolidated statement of income. Assets, excluding land, are depreciated using the straight-line method over their estimated useful lives. (see Note 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evaluates events and changes in circumstances that could indicate carrying amounts of long-lived assets, including intangible assets, may not be recoverable. When such events or changes in circumstances occur, the Company assesses the recoverability of long-lived assets by determining whether the carrying value of such assets will be recovered through undiscounted expected future cash flows. If the total of the future undiscounted cash flows is less than the carrying amount of those assets, the Company records an impairment charge in the period in which such determination is made. If such assets are considered to be impaired, the impairment to be recognized is measured by the amount by which the carrying amount of the assets exceeds the fair value of the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Intangible assets consist of developed technology, vendor relationship and customer relationships. Acquired intangible assets are initially recorded at the acquisition-date fair value. Intangible assets are amortized on a straight-line basis over their estimated useful lives, generally 3 to 8 years.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2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63" w:lineRule="exact"/>
        <w:rPr>
          <w:rFonts w:ascii="Times New Roman" w:cs="Times New Roman" w:eastAsia="Times New Roman" w:hAnsi="Times New Roman"/>
          <w:sz w:val="18"/>
          <w:szCs w:val="18"/>
          <w:color w:val="auto"/>
        </w:rPr>
      </w:pPr>
    </w:p>
    <w:p>
      <w:pPr>
        <w:ind w:left="1300" w:right="20" w:hanging="644"/>
        <w:spacing w:after="0" w:line="28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Instruments whose significant value drivers are unobservable.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cash equivalents, restricted cash, short-term investments, and accounts receivable. Although the Company deposits its cash, cash equivalents, restricted cash and short-term investments with financial institutions that the Company believes are of high credit quality, its deposits, at times, may exceed federally insured limits. As of December 31, 2025 and 2024, the Company had cash, cash equivalents, short-term investments and restricted cash with financial institutions in the U.S. of $201.3 million and $161.8 million, respectively. As of December 31, 2025 and 2024, the Company also had cash with financial institutions in countries other than the U.S. of approximately $9.9 million and $12.8 million, respectively, that was not federally insured.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generally does not require collateral or other security deposits for accounts receivable.</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the Company’s major customers representing 10% or more of total accounts receivable and unbilled receivable was as follows:</w:t>
      </w:r>
    </w:p>
    <w:p>
      <w:pPr>
        <w:spacing w:after="0" w:line="25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accounted for less than 10% of total accounts receivable and unbilled receivable.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supplier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from the Company’s suppliers and vendors representing 10% or more of total purchases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8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r>
      <w:tr>
        <w:trPr>
          <w:trHeight w:val="23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r>
      <w:tr>
        <w:trPr>
          <w:trHeight w:val="900"/>
        </w:trPr>
        <w:tc>
          <w:tcPr>
            <w:tcW w:w="70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0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from the Company’s suppliers and vendors representing 10% or more of total accounts payable were as follows:</w:t>
      </w:r>
    </w:p>
    <w:p>
      <w:pPr>
        <w:spacing w:after="0" w:line="15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accounted for less than 10% of total accounts payable.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Amazon Warrant</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Amazon Warrant (as defined in Note 6) is accounted for as an equity instrument. To determine the fair value of the Amazon Warrant on its issuance date, the Company used the Black-Scholes option pricing model.</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awards granted to a customer, which are not in exchange for distinct goods or services, the fair value of the awards earned based on service or performance conditions is recorded as a reduction of the transaction price. Accordingly, when Amazon purchases goods or services and vesting conditions become probable of being achieved, the Company records a non-cash stock-based reduction to revenue associated with the Amazon Warrant, which is calculated based on the fair value of the Amazon Warrant shares as of the Velodyne Merger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for stock-based awards granted to employees, directors, and consultants over the requisite service periods based on the estimated stock-based award grant date fair value.</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fair values of the restricted stock awards and restricted stock units were determined based on the fair value of the Company’s common stock on the grant date. The Company recognizes stock-based compensation expense over the requisite service period. Forfeitures are accounted for as they occur. The Company’s policy for issuing stock upon stock option exercise is to issue new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Credits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employee retention credit (“ERC”), as originally enacted through the Coronavirus Aid, Relief, and Economic Security Act (“CARES Act”) on March 27, 2020, is a refundable credit against certain employment taxes equal to 50% of the qualified wages an eligible employer paid to employees from March 17, 2020 to December 31, 2020. The Disaster Tax Relief Act, enacted on December 27, 2020, extended the ERC for qualified wages paid from January 1, 2021 to June 30, 2021 and the credit was increased to 70% of qualified wages an eligible employer pays to employees during the extended period. The American Rescue Plan Act of 2021, enacted on March 11, 2021, further extended the employee retention credit through December 31, 2021. The Company qualified for the ERC for the period between March 17, 2020 and September 30, 2021. The Company recognizes government credits for which there is a reasonable assurance of compliance with credit conditions and receipt of credits. The Company received credits in the amount of $8.0 million in the year ended December 31, 2025. For the year ended December 31, 2025, the ERC was recorded as follows: $2.4 million as a reduction in cost of revenue, $3.3 million as a reduction in research and development expense, $1.1 million as a reduction in sales and marketing expense and $1.2 million as a reduction to general and administrative expense in the consolidated statement of operations and comprehensive loss. The qualified wages and health insurance benefits paid by the Company were related to the first, second and third quarters of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Deferred tax liabilities and assets are recognized for the expected future tax consequences of temporary differences between financial statement carrying amounts and the tax basis of assets and liabilities and net operating loss (“NOL”) and tax credit carryforwards. Valuation allowances are established when necessary to reduce deferred tax assets to the amount expected to be realized. Due to its history of operating losses, the Company has recorded a full valuation allowance against its U.S. deferred tax assets as of December 31, 2025 and 2024.</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the related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appeals or litigation processes, if any. An uncertain tax position that meets a more likely than not standard based on its technical merit would then be evaluated under the measurement step to determine the largest tax benefit that the taxpayer more likely than not will realize. The Company classifies any liabilities for unrecognized tax benefits as current to the extent that the Company anticipates payment of cash within one year. Interest and penalties related to uncertain tax positions are recognized in the provision for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prescribes standard categories for the components of the effective tax rate reconciliation and requires disclosure of additional information for reconciling items meeting certain quantitative thresholds, requires disclosure of disaggregated income taxes paid, and modifies certain other income tax-related disclosures. ASU 2023-09 is effective for annual periods beginning after December 15, 2025 and can be adopted on a prospective or retrospective basis. The Company adopted the amendments in this update for the annual period beginning fiscal year 2025 and applied the new disclosure requirements prospectively to the current annual period. Prior period disclosures have not been adjusted to reflect the new disclosure requirements. Refer to Note 13. Income Taxes regarding the additional disclosures included within the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referenced below were assessed and determined to be not applicable and are not expected to have a material impact on the Company’s consolidated financial statements.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("ASU 2025-05"). This standard introduces a practical expedient that companies can choose to apply when determining allowances for credit losses. Specifically, it permits companies to assume that the current conditions as of the balance sheet date remain unchanged throughout the remaining life of the assets. This standard is effective for the Company for annual reporting periods beginning after December 15, 2025, and requires prospective application. The Company is currently evaluating the impact of ASU 2025-05, however, does not expect it to have a material impact on its financial statements.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("ASU 2025-03"), which clarifies the requirements for determining the accounting acquirer in the acquisition of a variable interest entity. ASU 2025-03 beginning after December 15, 2026, and interim reporting periods within those annual reporting periods. The amendments in this update require that an entity apply the new guidance prospectively to any acquisition transaction that occurs after the initial application date. Early adoption is permitted as of the beginning of an interim or annual reporting period. The Company is currently evaluating the disclosure impact that ASU 2025-03 may have on its financial statement presentation and disclosures.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2025, the FASB issued ASU 2025-04, Compensation - Stock Compensation (Topic 718) and Revenue from Contracts with Customers (Topic 606) ("ASU 2025-04"), which clarifies the requirements for share-based consideration payable to a customer. The amendments in this update are effective for all entities for annual reporting periods (including interim reporting periods within annual reporting periods) beginning after December 15, 2026. Early adoption is permitted for all entities. The Company is currently evaluating the disclosure impact that ASU 2025-04 may have on its financial statement presentation and disclosures.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The new standard requires disclosures about specific types of expenses included in the expense captions presented on the face of the income statement as well as disclosures. The guidance is effective for public business entities for fiscal years beginning after December 15, 2026, and interim periods beginning after December 15, 2027. Early adoption is permitted.</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guidance is to be applied prospectively, with the option for retrospective application. The Company is currently evaluating the impact of the ASU on the disclosures within the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by level for the Company’s assets and liabilities that were measured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54,475</w:t>
            </w: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68,326</w:t>
            </w:r>
          </w:p>
        </w:tc>
      </w:tr>
      <w:tr>
        <w:trPr>
          <w:trHeight w:val="230"/>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72,846</w:t>
            </w:r>
          </w:p>
        </w:tc>
      </w:tr>
      <w:tr>
        <w:trPr>
          <w:trHeight w:val="223"/>
        </w:trPr>
        <w:tc>
          <w:tcPr>
            <w:tcW w:w="5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141,172</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141,172</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141,172</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195,647</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97"/>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56,886</w:t>
            </w:r>
          </w:p>
        </w:tc>
      </w:tr>
      <w:tr>
        <w:trPr>
          <w:trHeight w:val="230"/>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69,594</w:t>
            </w:r>
          </w:p>
        </w:tc>
      </w:tr>
      <w:tr>
        <w:trPr>
          <w:trHeight w:val="223"/>
        </w:trPr>
        <w:tc>
          <w:tcPr>
            <w:tcW w:w="5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126,480</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70"/>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8"/>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Money market funds are included within Level 1 of the fair value hierarchy because they are valued using quoted market prices in active markets. Level 3 liabilities that are measured on a recurring basis for the years ended December 31, 2025 and 2024 were not material.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certain assets, including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instruments that are not re-measured at fair value include accounts receivable, accounts payable, accrued and other current liabilities and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these financial instruments approximate their fair values.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and cash equivalents consist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80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86"/>
        </w:trPr>
        <w:tc>
          <w:tcPr>
            <w:tcW w:w="80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7"/>
        </w:trPr>
        <w:tc>
          <w:tcPr>
            <w:tcW w:w="80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00" w:type="dxa"/>
            <w:vAlign w:val="bottom"/>
            <w:shd w:val="clear" w:color="auto" w:fill="CCEEFF"/>
          </w:tcPr>
          <w:p>
            <w:pPr>
              <w:spacing w:after="0"/>
              <w:rPr>
                <w:sz w:val="23"/>
                <w:szCs w:val="23"/>
                <w:color w:val="auto"/>
              </w:rPr>
            </w:pPr>
          </w:p>
        </w:tc>
      </w:tr>
      <w:tr>
        <w:trPr>
          <w:trHeight w:val="26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67,413</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100" w:type="dxa"/>
            <w:vAlign w:val="bottom"/>
          </w:tcPr>
          <w:p>
            <w:pPr>
              <w:spacing w:after="0"/>
              <w:rPr>
                <w:sz w:val="22"/>
                <w:szCs w:val="22"/>
                <w:color w:val="auto"/>
              </w:rPr>
            </w:pPr>
          </w:p>
        </w:tc>
      </w:tr>
      <w:tr>
        <w:trPr>
          <w:trHeight w:val="21"/>
        </w:trPr>
        <w:tc>
          <w:tcPr>
            <w:tcW w:w="8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520" w:firstLine="8"/>
        <w:spacing w:after="0" w:line="287" w:lineRule="auto"/>
        <w:tabs>
          <w:tab w:leader="none" w:pos="165"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Company maintains a cash sweep account, which is included in money market funds as of December 31, 2025 and 2024, respectively. Cash is invested in short-term money market funds that earn interest.</w:t>
      </w:r>
    </w:p>
    <w:p>
      <w:pPr>
        <w:spacing w:after="0" w:line="4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Company’s short-term investments consist of commercial paper and corporate debt. Short-term investments were $141.2 million as of December 31, 2025. Unrealized gains and losses on the Company’s short-term investments were not material as of December 31, 2025 and therefore, the amortized cost of the Company’s short-term investments approximated their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Restricted cash consists of our collateral to merchant credit card, deposit account to secure foreign entity closure costs, issuances of deposit performance guarantee issued in favor of a customer, and certificates of deposit held by a bank as security for outstanding letters of credit.</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of the amounts reported in the consolidated statements of cash flows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67,413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69,980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48,099</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material, direct and indirect labor, and manufacturing overhead,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19,607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23,566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16,417</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$(0.4) million and $2.1 million of inventory (recoveries) write downs were (credited) charged to cost of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5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jc w:val="both"/>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Receivable from contract manufacturers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IRS Income tax refund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Insurance receivable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prepaid and other current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1580" w:type="dxa"/>
        <w:tblCellMar>
          <w:top w:w="0" w:type="dxa"/>
          <w:left w:w="0" w:type="dxa"/>
          <w:bottom w:w="0" w:type="dxa"/>
          <w:right w:w="0" w:type="dxa"/>
        </w:tblCellMar>
      </w:tblPr>
      <w:tr>
        <w:trPr>
          <w:trHeight w:val="238"/>
        </w:trPr>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229"/>
        </w:trPr>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30"/>
        </w:trPr>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29"/>
        </w:trPr>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4"/>
        </w:trPr>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3"/>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000" w:type="dxa"/>
            <w:vAlign w:val="bottom"/>
          </w:tcPr>
          <w:p>
            <w:pPr>
              <w:spacing w:after="0"/>
              <w:rPr>
                <w:sz w:val="16"/>
                <w:szCs w:val="16"/>
                <w:color w:val="auto"/>
              </w:rPr>
            </w:pPr>
          </w:p>
        </w:tc>
        <w:tc>
          <w:tcPr>
            <w:tcW w:w="2060" w:type="dxa"/>
            <w:vAlign w:val="bottom"/>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580" w:type="dxa"/>
            <w:vAlign w:val="bottom"/>
            <w:vMerge w:val="continue"/>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880" w:space="720"/>
            <w:col w:w="4640"/>
          </w:cols>
          <w:pgMar w:left="320" w:top="198"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740" w:type="dxa"/>
            <w:vAlign w:val="bottom"/>
            <w:tcBorders>
              <w:top w:val="single" w:sz="8" w:color="CCEEFF"/>
            </w:tcBorders>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99"/>
              </w:rPr>
              <w:t>Not depreciated</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374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25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74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7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vehicle hardware</w:t>
            </w:r>
          </w:p>
        </w:tc>
        <w:tc>
          <w:tcPr>
            <w:tcW w:w="374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88"/>
              </w:rPr>
              <w:t>5</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7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74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r>
      <w:tr>
        <w:trPr>
          <w:trHeight w:val="184"/>
        </w:trPr>
        <w:tc>
          <w:tcPr>
            <w:tcW w:w="4440" w:type="dxa"/>
            <w:vAlign w:val="bottom"/>
            <w:shd w:val="clear" w:color="auto" w:fill="CCEEFF"/>
          </w:tcPr>
          <w:p>
            <w:pPr>
              <w:spacing w:after="0"/>
              <w:rPr>
                <w:sz w:val="16"/>
                <w:szCs w:val="16"/>
                <w:color w:val="auto"/>
              </w:rPr>
            </w:pPr>
          </w:p>
        </w:tc>
        <w:tc>
          <w:tcPr>
            <w:tcW w:w="3740" w:type="dxa"/>
            <w:vAlign w:val="bottom"/>
            <w:shd w:val="clear" w:color="auto" w:fill="CCEEFF"/>
          </w:tcPr>
          <w:p>
            <w:pPr>
              <w:jc w:val="center"/>
              <w:ind w:left="1810"/>
              <w:spacing w:after="0" w:line="184" w:lineRule="exact"/>
              <w:rPr>
                <w:sz w:val="20"/>
                <w:szCs w:val="20"/>
                <w:color w:val="auto"/>
              </w:rPr>
            </w:pPr>
            <w:r>
              <w:rPr>
                <w:rFonts w:ascii="Times New Roman" w:cs="Times New Roman" w:eastAsia="Times New Roman" w:hAnsi="Times New Roman"/>
                <w:sz w:val="18"/>
                <w:szCs w:val="18"/>
                <w:color w:val="auto"/>
                <w:w w:val="99"/>
              </w:rPr>
              <w:t>Shorter of useful life or</w:t>
            </w: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74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rPr>
              <w:t>lease term</w:t>
            </w: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r>
      <w:tr>
        <w:trPr>
          <w:trHeight w:val="223"/>
        </w:trPr>
        <w:tc>
          <w:tcPr>
            <w:tcW w:w="44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30,182</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7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w:t>
            </w:r>
          </w:p>
        </w:tc>
      </w:tr>
      <w:tr>
        <w:trPr>
          <w:trHeight w:val="223"/>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7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r>
      <w:tr>
        <w:trPr>
          <w:trHeight w:val="20"/>
        </w:trPr>
        <w:tc>
          <w:tcPr>
            <w:tcW w:w="4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16, 2025, the Company purchased the building and land at 2741 16th Street, San Francisco, California which were previously leased (see Note 7. Leases).</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was $3.3 million and $3.2 million in the years ended December 31, 2025 and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property and equipment, net by geography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58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6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9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20,944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4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4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4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49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94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31,891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940" w:type="dxa"/>
            <w:vAlign w:val="bottom"/>
            <w:vMerge w:val="restart"/>
          </w:tcPr>
          <w:p>
            <w:pPr>
              <w:jc w:val="right"/>
              <w:ind w:right="2390"/>
              <w:spacing w:after="0"/>
              <w:rPr>
                <w:sz w:val="20"/>
                <w:szCs w:val="20"/>
                <w:color w:val="auto"/>
              </w:rPr>
            </w:pPr>
            <w:r>
              <w:rPr>
                <w:rFonts w:ascii="Times New Roman" w:cs="Times New Roman" w:eastAsia="Times New Roman" w:hAnsi="Times New Roman"/>
                <w:sz w:val="18"/>
                <w:szCs w:val="18"/>
                <w:color w:val="auto"/>
              </w:rPr>
              <w:t>76</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6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acquired intangible assets, net as of December 31, 2025 and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280" w:type="dxa"/>
            <w:vAlign w:val="bottom"/>
            <w:vMerge w:val="restart"/>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3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3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3280" w:type="dxa"/>
            <w:vAlign w:val="bottom"/>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80" w:type="dxa"/>
            <w:vAlign w:val="bottom"/>
            <w:tcBorders>
              <w:top w:val="single" w:sz="8" w:color="CCEEFF"/>
            </w:tcBorders>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w w:val="96"/>
              </w:rPr>
              <w:t>3 - 8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280" w:type="dxa"/>
            <w:vAlign w:val="bottom"/>
          </w:tcPr>
          <w:p>
            <w:pPr>
              <w:jc w:val="center"/>
              <w:ind w:left="877"/>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80" w:type="dxa"/>
            <w:vAlign w:val="bottom"/>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w w:val="96"/>
              </w:rPr>
              <w:t>3 - 8</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3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280" w:type="dxa"/>
            <w:vAlign w:val="bottom"/>
            <w:vMerge w:val="restart"/>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3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3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3280" w:type="dxa"/>
            <w:vAlign w:val="bottom"/>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80" w:type="dxa"/>
            <w:vAlign w:val="bottom"/>
            <w:tcBorders>
              <w:top w:val="single" w:sz="8" w:color="CCEEFF"/>
            </w:tcBorders>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w w:val="96"/>
              </w:rPr>
              <w:t>3 - 8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280" w:type="dxa"/>
            <w:vAlign w:val="bottom"/>
          </w:tcPr>
          <w:p>
            <w:pPr>
              <w:jc w:val="center"/>
              <w:ind w:left="877"/>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80" w:type="dxa"/>
            <w:vAlign w:val="bottom"/>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w w:val="96"/>
              </w:rPr>
              <w:t>3 - 8</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$4.5 million, and $6.6 million in the years ended December 31, 2025, and 2024,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 net (in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9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tc>
        <w:tc>
          <w:tcPr>
            <w:tcW w:w="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activity in accrued warranty cost (in thousands):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expenditures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to warranty accrual</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 and contingencies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Uninvoiced receipts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26,200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under the UBS Agreement bore interest at a rate equal to (x) for variable rate loans, the sum of (i) the applicable SOFR average plus 0.110%, plus</w:t>
      </w:r>
    </w:p>
    <w:p>
      <w:pPr>
        <w:spacing w:after="0" w:line="27" w:lineRule="exact"/>
        <w:rPr>
          <w:sz w:val="20"/>
          <w:szCs w:val="20"/>
          <w:color w:val="auto"/>
        </w:rPr>
      </w:pPr>
    </w:p>
    <w:p>
      <w:pPr>
        <w:ind w:right="20" w:firstLine="8"/>
        <w:spacing w:after="0" w:line="252"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were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The Company was able to repay any variable rate loans at any time in whole or in part, without penalty. The Company could repay any fixed rate loans in whole, but not in part, subject to certain breakage costs. Interest expense was recognized over the life of the respective debt, which approximates the effective interest rate method.</w:t>
      </w:r>
    </w:p>
    <w:p>
      <w:pPr>
        <w:spacing w:after="0" w:line="13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August 12, 2024, the Company repaid in full, with cash on hand, all outstanding indebtedness and terminated all commitments and obligations under the UBS Agreement. The UBS Agreement payoff amount included the revolving loans in the principal amount of $44.0 million, plus accrued and unpaid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CLA, in its IPO in August 2020, issued units that each consisted of one Class A ordinary share and one-half warrant to purchase a Class A ordinary share (the “Public warrants”). The warrants became exercisable 12 months following the closing of the Company’s IPO, and expire five years from the completion of the Colonnade Merger, or earlier upon redemption or liquidation. On March 11, 2021, upon the closing of the Colonnade Merger each of the 9,999,996 outstanding warrants, as adjusted for any fractional warrants that were not issued upon separation, was converted automatically into a redeemable Public warrant to purchase one share of the Company’s common stock. As adjusted for the Reverse Stock Split, each 10 Public warrants is exercisable for one share of Ouster common stock at an exercise price of $115.00 per share with no fractional shares issuable upon exercise of a warrant. The Public warrants were recognized as equity upon the Merger in the amount of $17.9 million. These warrants expire on March 11, 2026.</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8" w:right="4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Amazon Warrant</w:t>
      </w:r>
    </w:p>
    <w:p>
      <w:pPr>
        <w:spacing w:after="0" w:line="121"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7"/>
          <w:szCs w:val="17"/>
          <w:color w:val="auto"/>
        </w:rPr>
        <w:t>On February 10, 2023, as part of the Velodyne Merger, the Company assumed a warrant agreement and a transaction agreement, pursuant to which Velodyne agreed to issue to Amazon.com NV Investment Holdings LLC, a wholly-owned subsidiary of Amazon.com Inc. (“Amazon”), a warrant to</w:t>
      </w:r>
    </w:p>
    <w:p>
      <w:pPr>
        <w:spacing w:after="0"/>
        <w:rPr>
          <w:sz w:val="20"/>
          <w:szCs w:val="20"/>
          <w:color w:val="auto"/>
        </w:rPr>
      </w:pPr>
      <w:r>
        <w:rPr>
          <w:rFonts w:ascii="Times New Roman" w:cs="Times New Roman" w:eastAsia="Times New Roman" w:hAnsi="Times New Roman"/>
          <w:sz w:val="18"/>
          <w:szCs w:val="18"/>
          <w:color w:val="auto"/>
        </w:rPr>
        <w:t>acquire, following customary antidilution adjustments, up to an aggregate of 3,263,898 shares of the Company’s common stock at an exercise price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$50.71 per share (the “Amazon Warrant”). The exercise price and the warrant shares issuable upon exercise of the Amazon Warrant are subject to further antidilution adjustments, including in the event the Company makes certain sales of common stock (or securities exercisable or convertible into or exchangeable for shares of the Company’s common stock) at a price less than the exercise price of the Amazon Warrant. As a result of the issuance and sale by the Company of an additional 6,045,428 shares of common stock in the twelve months ended December 31, 2024 in the Company’s “at-the-market” offering at prices below the exercise price of the Amazon Warrant, an antidilution adjustment was made in accordance to the terms of the Amazon Warrant occurred, resulting in the increase in the number of shares issuable under the Amazon Warrant by 3,374 shares of common stock and a reduction to the original strike price of the Amazon Warrant to $50.64 per share. As a result of the issuance and sale by the Company of an additional 4,671,406 shares of common stock in the twelve months ended December 31, 2025 in the Company’s “at-the-market” offering at prices below the exercise price of the Amazon Warrant, an antidilution adjustment was made in accordance to the terms of the Amazon Warrant occurred (see Note 9), resulting in the increase in the number of shares issuable under the Amazon Warrant by 4,077 shares of common stock and a reduction to the original strike price of the Amazon Warrant to $50.57 per share. As of December 31, 2025, there were 3,271,970 shares of common stock issuable under the Amazon Warrant.</w:t>
      </w:r>
    </w:p>
    <w:p>
      <w:pPr>
        <w:spacing w:after="0" w:line="84" w:lineRule="exact"/>
        <w:rPr>
          <w:sz w:val="20"/>
          <w:szCs w:val="20"/>
          <w:color w:val="auto"/>
        </w:rPr>
      </w:pPr>
    </w:p>
    <w:p>
      <w:pPr>
        <w:ind w:right="440"/>
        <w:spacing w:after="0" w:line="220" w:lineRule="exact"/>
        <w:rPr>
          <w:sz w:val="20"/>
          <w:szCs w:val="20"/>
          <w:color w:val="auto"/>
        </w:rPr>
      </w:pPr>
      <w:r>
        <w:rPr>
          <w:rFonts w:ascii="Times New Roman" w:cs="Times New Roman" w:eastAsia="Times New Roman" w:hAnsi="Times New Roman"/>
          <w:sz w:val="18"/>
          <w:szCs w:val="18"/>
          <w:color w:val="auto"/>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shares will be recorded as an increase to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with a corresponding reduction to revenue as qualifying revenues are recognized and vesting conditions become probable of being achieved.</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568,680 Amazon Warrant shares vested and the Company recognized non-cash stock-based reduction to revenue of $2.6 million. For the year ended December 31, 2024, 226,691 Amazon Warrant shares vested and the Company recognized non-cash stock-based reduction to revenue of $0.9 million.</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traded stock and historical volatility of a group of publicly traded peer companies for the period commencing February 16, 2016 and ending on the date of the Velodyne Merger.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exercise the Amazon Warrant and receive the warrant shares that have vested expires February 4,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2,728,985 Amazon Warrant shares have vested.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leases its headquarters located in San Francisco, California, where the Company leases 26,125 square feet of office space pursuant to a lease that is scheduled to expire in August 2034. In December 2025, the Company acquired 20,032 square feet of office space in a building adjacent to our corporate headquarters that was previously held under lease. Prior to 2024, the Company had executed or assumed as lessee an additional five other operating leases for rental of office space. The terms of those leases range from 1 to 3 years.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10, 2023, the Company assumed long-term non-cancellable lease agreements stemming from the Velodyne Merger: (i) approximately 204,000 square feet of office and manufacturing space in San Jose, California and (ii) additional space pursuant to the assumed leases for offices located in Alameda, California; and Bengaluru, India.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5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4"/>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r>
      <w:tr>
        <w:trPr>
          <w:trHeight w:val="900"/>
        </w:trPr>
        <w:tc>
          <w:tcPr>
            <w:tcW w:w="794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79</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incurred total lease costs in its consolidated statements of operations and comprehensive loss of $6.7 million and $6.9 million for the years ended December 31, 2025, and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Treat Building Lease</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September 2017, the Company entered into a lease agreement (the “350 Treat Building Lease”) to lease approximately 26,125 square feet of office and warehouse space located in San Francisco, California for its corporate headquarters.</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lease terms were subsequently amended multiple times, most recently in December 2025, when the Company and the landlord agreed to extend the term of the lease for an additional eight years and eight months and provided for an additional tenant improvement allowance. The total base lease payments for the extended period of 8.7 years equal $12.3 million. The amendment resulted in an adjustment of $6.1 million to the right-of-use asset and right-of-use operating lease liability which was recorded in December 2025.</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2025 the remaining lease term is 8.7 years, expiring on August 31, 2034. In addition to minimum lease payments, the lease requires the Company to pay associated taxes and operating costs.</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350 Treat Building Lease is considered to be an operating lease as it does not meet the criteria of a finance lease. As of December 31, 2025, the operating lease right-of-use asset and operating lease liability were $8.3 million and $9.3 million, respectively. At the amendment date of the lease, a discount rate of 6.50% was used to calculate the present value of the minimum lease payments to determine the lease liability. As of December 31, 2024, the operating lease right-of-use asset and operating lease liability were $3.3 million and $4.5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2741 16</w:t>
      </w:r>
      <w:r>
        <w:rPr>
          <w:rFonts w:ascii="Times New Roman" w:cs="Times New Roman" w:eastAsia="Times New Roman" w:hAnsi="Times New Roman"/>
          <w:sz w:val="23"/>
          <w:szCs w:val="23"/>
          <w:i w:val="1"/>
          <w:iCs w:val="1"/>
          <w:color w:val="auto"/>
          <w:vertAlign w:val="superscript"/>
        </w:rPr>
        <w:t>th</w:t>
      </w:r>
      <w:r>
        <w:rPr>
          <w:rFonts w:ascii="Times New Roman" w:cs="Times New Roman" w:eastAsia="Times New Roman" w:hAnsi="Times New Roman"/>
          <w:sz w:val="18"/>
          <w:szCs w:val="18"/>
          <w:i w:val="1"/>
          <w:iCs w:val="1"/>
          <w:color w:val="auto"/>
        </w:rPr>
        <w:t xml:space="preserve"> Street Lease</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September 2017 the Company entered into a lease agreement (the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Street Lease”) to lease approximately 20,032 square feet of office space and 25,000 square feet of parking space located in San Francisco, California.</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May 2020, the Company entered into an amendment to 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Street Lease agreement, whereby the parties agreed to extend the term of the lease for an additional four years, restructure the monthly rent payable under the lease and provide for an additional tenant improvement allowance. The total base lease payments for the extended period of four years equaled $8.5 million and the increase in total base lease payments for the lease term provided for by the original agreement was $0.7 million. The amendment resulted in an adjustment of $6.2 million to the right-of-use asset and right-of-use operating lease liability which was recorded in May 2020. In addition to minimum lease payments, the lease required the Company to pay associated taxes and operating costs.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Street Lease was considered to be an operating lease as it did not meet the criteria of a finance lease. As of December 31, 2024, the operating lease right-of-use asset and operating lease liability were $4.0 million and $5.4 million, respectively. The discount rate used to determine the operating lease liability was 5.25%.</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16, 2025, the Company purchased the building and land at 2741 16th Street, which were previously leased, for $18.2 million (including approximately $202,000 of transactions costs). Management assessed the fair market value using the market and replacement cost methods and, per the assessment, allocated approximately 45% of the purchase price to the land and 55% of the purchase price to the building. The transaction resulted in the termination of the related ROU asset, and lease liability, of $2.6 million and $3.6 million, respectively. No gain or loss was recognized as the lease termination occurred due to the purchase of the leased asset. This allocation of the purchase price, after accounting for the impact of the lease termination, resulted in $7.8 million allocated to the land and $9.5 million allocated to the building.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5521 Hellyer Avenue Lease</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part of the Velodyne Merger, the Company assumed a long-term non-cancellable lease agreement of 5521 Hellyer Avenue (the “5521 Hellyer Avenue Lease”), which was entered into in January 2017, to lease approximately 204,000 square feet of space in San Jose, California. These leased premises are no longer used for any essential manufacturing or research and development functions.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2019, as part of the second amendment to the 5521 Hellyer Avenue Lease, the lease term was extended for an additional five years ending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2027. The total base lease payments for the extended period of 5.0 years equals $17.6 million. As of December 31, 2025, the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right-of-use asset and operating lease liability were $4.2 million and $6.8 million, respectively. As of December 31, 2024, the operating lease right-of-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asset and operating lease liability were $6.3 million and $9.6 million, respectively. The discount rate used to determine the operating lease liability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real estate leases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executed or assumed as lessee operating leases for rental of office space. The remaining lease terms of those leases range from 1 to 3 years. The Company is obligated to make lease payments totaling approximately $1.1 million for those leases over the respective lease terms.</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Total operating lease cost for the years ended December 31, 2025 and 2024 was $6.7 million and $6.9 million, which consisted of $5.2 million and $5.6 million of fixed lease expense and $1.5 million and $1.3 million of variable lease expense, respectively. Cash paid for amounts included in the measurement of lease liabilities was $7.6 million and $7.3 million for the years ended December 31, 2025 and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operating lease liabilities as of December 31, 2025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17,080</w:t>
            </w:r>
          </w:p>
        </w:tc>
      </w:tr>
      <w:tr>
        <w:trPr>
          <w:trHeight w:val="21"/>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certain office leasehold interests in real property located in San Francisco (350 Treat Ave. and, 2741 16th Street) and in Paris, France,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consolidated balance sheets as of December 31, 2025 and 2024. The amount collateralizing the 2741 16th Street lease letter of credit following the purchase of the property and the termination of the 2741 16th Street lease was released during the first fiscal quarter of 2026. The outstanding amount of the letters of credit was $1.4 million and 1.4 million as of December 31, 2025 and 2024,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commitments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non-cancelable purchase commitments to third-party contract manufacturers for approximately $19.2 million and other vendors for approximately $11.3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legal and administrative proceedings arising in the ordinary course of business.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loss contingency and an estimate of possible loss or range of loss (unless such an estimate cannot be made). Legal costs incurred in connection with loss contingencies are expensed as incurred.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proceedings arising in the ordinary course of business. Significant judgment is required in both the determination of probability and the determination as to whether any exposure is reasonably estimable. Actual outcomes of these legal and regulatory proceedings may materially differ from our current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Velodyne Legacy Litigation</w:t>
      </w:r>
    </w:p>
    <w:p>
      <w:pPr>
        <w:spacing w:after="0" w:line="1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On March 3, 2021, a purported shareholder of Velodyne filed a complaint for a putative class action against Velodyne, Anand Gopalan and Andrew Hamer in the United States District Court, Northern District of California, entitled </w:t>
      </w:r>
      <w:r>
        <w:rPr>
          <w:rFonts w:ascii="Times New Roman" w:cs="Times New Roman" w:eastAsia="Times New Roman" w:hAnsi="Times New Roman"/>
          <w:sz w:val="18"/>
          <w:szCs w:val="18"/>
          <w:i w:val="1"/>
          <w:iCs w:val="1"/>
          <w:color w:val="auto"/>
        </w:rPr>
        <w:t>Moradpour v. Velodyne Lidar, Inc., et al.</w:t>
      </w:r>
      <w:r>
        <w:rPr>
          <w:rFonts w:ascii="Times New Roman" w:cs="Times New Roman" w:eastAsia="Times New Roman" w:hAnsi="Times New Roman"/>
          <w:sz w:val="18"/>
          <w:szCs w:val="18"/>
          <w:color w:val="auto"/>
        </w:rPr>
        <w:t xml:space="preserve">, No. 3:21-cv01486-SI. The complaint alleged purported violations of the federal securities laws and that, among other things, the defendants made materially false and/or misleading statements and failed to disclose material facts about Velodyne’s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 On March 12, 2021, a putative class action entitled </w:t>
      </w:r>
      <w:r>
        <w:rPr>
          <w:rFonts w:ascii="Times New Roman" w:cs="Times New Roman" w:eastAsia="Times New Roman" w:hAnsi="Times New Roman"/>
          <w:sz w:val="18"/>
          <w:szCs w:val="18"/>
          <w:i w:val="1"/>
          <w:iCs w:val="1"/>
          <w:color w:val="auto"/>
        </w:rPr>
        <w:t>Reese v. Velodyne Lidar, Inc., et al.</w:t>
      </w:r>
      <w:r>
        <w:rPr>
          <w:rFonts w:ascii="Times New Roman" w:cs="Times New Roman" w:eastAsia="Times New Roman" w:hAnsi="Times New Roman"/>
          <w:sz w:val="18"/>
          <w:szCs w:val="18"/>
          <w:color w:val="auto"/>
        </w:rPr>
        <w:t xml:space="preserve">,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w:t>
      </w:r>
      <w:r>
        <w:rPr>
          <w:rFonts w:ascii="Times New Roman" w:cs="Times New Roman" w:eastAsia="Times New Roman" w:hAnsi="Times New Roman"/>
          <w:sz w:val="18"/>
          <w:szCs w:val="18"/>
          <w:i w:val="1"/>
          <w:iCs w:val="1"/>
          <w:color w:val="auto"/>
        </w:rPr>
        <w:t>Nick v. Velodyne Lidar, Inc., et al.</w:t>
      </w:r>
      <w:r>
        <w:rPr>
          <w:rFonts w:ascii="Times New Roman" w:cs="Times New Roman" w:eastAsia="Times New Roman" w:hAnsi="Times New Roman"/>
          <w:sz w:val="18"/>
          <w:szCs w:val="18"/>
          <w:color w:val="auto"/>
        </w:rPr>
        <w:t>,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were consolidated. On March 13, 2024, the parties to the consolidated securities class action lawsuit filed a stipulation of settlement to settle this lawsuit, without any admission or concession of wrongdoing or liability by Velodyne or the individual defendants. On April 19, 2024, the court preliminarily approved the settlement that provides for a payment of $27.5 million of which $23.4 million was funded by insurance proceeds. The Company had accrued for and recorded the entire amount of this $27.5 million settlement liability and had recorded the expense within general and administrative expenses in 2023 after concluding that such settlement amount is probable and reasonably estimable. As of December 31, 2023, the Company recorded an insurance receivable of $23.4 million in prepaid expenses and other current assets to be funded by insurance proceeds based on the terms of the settlement. The $23.4 million insurance receivable allows the Company to recover the majority of the settlement expense, resulting in a net charge of $4.1 million in its consolidated statement of operations. The settlement charge of $4.1 million was paid in June 2024. As a result of the court approving the settlement, issuing final judgment, and dismissing the lawsuit on August 19, 2024, the Company unrecognized the related liability and receivable in the amount of $23.4 million.</w:t>
      </w:r>
    </w:p>
    <w:p>
      <w:pPr>
        <w:spacing w:after="0" w:line="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January 18, 2022, David and Marta Hall filed a lawsuit in the Superior Court of California, County of Alameda, against current and former officers and directors of Velodyne, as well as Velodyne’s outside counsel. The Halls sought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to the out of state defendants. On October 3, 2022, the court granted the motion to compel Mr. Hall to arbitrate his claims, and stayed proceedings on Ms. Hall’s claims pending arbitration of Mr. Hall’s claims. On October 20, 2022, Mr. and Ms. Hall voluntarily dismissed the action without prejudice. On January 3, 2023, Mr. and Ms. Hall filed an arbitration demand with substantially the same allegations as the prior lawsuit. On or about August 22, 2023, Ms. Hall filed an application in Texas District Court, Dallas County to compel arbitration of two of the individuals who had been dismissed from the prior court action for lack of personal jurisdiction; these two individuals agreed to participate in the arbitration and thus the Texas action has been stayed. On January 17, 2025, three of the individual respondents were dismissed with prejudice, and Mr. and Ms. Hall dismissed certain claims against the three remaining respondents Messrs. Gopalan, Graf and Dee. The parties agreed to a confidential settlement, without any admission or concession of wrongdoing or liability by Velodyne or the individual respondents, and executed the definitive agreement on April 16, 2025. As of December 31, 2024, the Company accrued the settlement expenses associated with this action. An insurance receivable allowed the Company to recover the majority of the settlement expenses, resulting in a net charge that was immaterial to its consolidated statement of operations. The Halls filed notices of dismissal with prejudice of the arbitration on June 4, 2025, and of the Texas action on June 10, 2025.</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On August 10, 2023, Plaintiffs David and Marta Hall filed a complaint against Velodyne in the Superior Court of California, County of San Francisco asserting claims for breach of contract and failure to reimburse expenses in violation of California Labor Code Section 2802 (the “2023 Hall Matter”). The 2023 Hall Matter seeks indemnification for legal fees incurred on the Halls’ behalf in connection with a prior derivative action against certain Velodyne officers and directors, and named Velodyne as a nominal defendant, captioned </w:t>
      </w:r>
      <w:r>
        <w:rPr>
          <w:rFonts w:ascii="Times New Roman" w:cs="Times New Roman" w:eastAsia="Times New Roman" w:hAnsi="Times New Roman"/>
          <w:sz w:val="18"/>
          <w:szCs w:val="18"/>
          <w:i w:val="1"/>
          <w:iCs w:val="1"/>
          <w:color w:val="auto"/>
        </w:rPr>
        <w:t>In Re Velodyne Lidar, Inc. Derivative Action</w:t>
      </w:r>
      <w:r>
        <w:rPr>
          <w:rFonts w:ascii="Times New Roman" w:cs="Times New Roman" w:eastAsia="Times New Roman" w:hAnsi="Times New Roman"/>
          <w:sz w:val="18"/>
          <w:szCs w:val="18"/>
          <w:color w:val="auto"/>
        </w:rPr>
        <w:t>, Case No. 1:21-cv-00369-TMH (D. Del.) (dismissed on November 7, 2023). On November 21, 2023, Velodyne denied all allegations. The parties agreed to a confidential settlement, without any admission or concession of any wrongdoing or liability by Velodyne or Ouster, and executed the definitive settlement agreement on April 16, 2025. This lawsuit was dismissed with prejudice on or around April 18, 2025.</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On August 25, 2023, a putative shareholder class action suit was filed in the Delaware Court of Chancery against six former officers and directors of Graf Acquisition LLC, the predecessor entity of Velodyne, as well as two other entities (one of which has since been dismissed without prejudice), entitled </w:t>
      </w:r>
      <w:r>
        <w:rPr>
          <w:rFonts w:ascii="Times New Roman" w:cs="Times New Roman" w:eastAsia="Times New Roman" w:hAnsi="Times New Roman"/>
          <w:sz w:val="18"/>
          <w:szCs w:val="18"/>
          <w:i w:val="1"/>
          <w:iCs w:val="1"/>
          <w:color w:val="auto"/>
        </w:rPr>
        <w:t xml:space="preserve">Berger v. Graf Acquisition, LLC, </w:t>
      </w:r>
      <w:r>
        <w:rPr>
          <w:rFonts w:ascii="Times New Roman" w:cs="Times New Roman" w:eastAsia="Times New Roman" w:hAnsi="Times New Roman"/>
          <w:sz w:val="18"/>
          <w:szCs w:val="18"/>
          <w:color w:val="auto"/>
        </w:rPr>
        <w:t>et al., No. C.A. 2023 0873 LWW. The Company, Graf Acquisition LLC and Velodyne were not named as defendants.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plaintiff, who was allegedly a GIC shareholder, asserted claims for breach of fiduciary duty and unjust enrichment in connection with the merger of GIC and Velodyne on September 29, 2020, and sought damages, disgorgement and other recovery on behalf of the putative class of GIC shareholders in an unspecified amount. The parties agreed to a settlement without any admission or concession of wrongdoing or liability by any of the defendants, subject to final approval by the court. As of June 30, 2025, the Company accrued the expected settlement expenses associated with this action. An insurance receivable allowed the Company to recover the majority of the expected settlement expenses, resulting in a net charge that was immaterial to its consolidated statement of operations. On October 7, 2025, the court approved the settlement and subsequently entered final judgment and dismissed the case on October 8,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Ouster Litigation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11, 2023, the Company filed a complaint in the District of Delaware alleging patent infringement of certain claims of the Company’s U.S. Patent</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Nos. 11,175,405, 11,178,381, 11,190,750, 11,287,515, and/or 11,422,236 against Hesai Group and Hesai Technology Co., Ltd. The complaint seeks monetary damages as well as the issuance of a permanent injunction. On May 30, 2023, the Court granted to stay the case pending the resolution, including all appeals, of In the Matter of Certain LiDAR (Light Detection and Ranging) Systems and Components Thereof, 337-TA-1363. On February 10, 2025, the parties filed a joint request to maintain the stay. Subject to the terms of a confidential decision in the arbitration described below, the Company dismissed without prejudice this case on April 11, 2025.</w:t>
      </w:r>
    </w:p>
    <w:p>
      <w:pPr>
        <w:spacing w:after="0" w:line="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On May 17, 2023, Hesai Photonics Technology Co. Ltd. and Hesai Group (collectively “Hesai Photonics”) filed a request for arbitration with JAMS against the Company, Velodyne Lidar, Inc., Velodyne, LLC, and Oban Merger Sub II LLC. Hesai Photonics alleges that the Company is bound as a result of the Company’s 2023 merger with Velodyne Lidar, Inc. by the terms and conditions, including an obligation to arbitrate disputes, of a long-term, global cross-</w:t>
      </w:r>
    </w:p>
    <w:p>
      <w:pPr>
        <w:spacing w:after="0" w:line="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licensing settlement agreement signed in 2020 between Hesai Photonics and Velodyne Lidar, Inc. (“Velodyne-Hesai Settlement Agreement”). On June 13, 2023, the Company responded to the arbitration demand and denied all allegations. On March 28, 2025, the tribunal issued a confidential interim decision, finding that the Company was subject to the Velodyne-Hesai Photonics Settlement Agreement. On September 15, 2025, the tribunal issued a confidential final decision, affirming the earlier finding of a global licensing settlement agreement that requires Hesai Photonics to pay royalties and deciding on fees in the amount of approximately $6.4 million, which the Company paid in the fourth quarter of fiscal 2025.</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September 14, September 25, and September 26, 2023, Hesai filed Petitions for Inter Partes Review with the Patent Trial and Appeal Board (“PTAB”) challenging the validity of the Company’s patents asserted in the ITC and Delaware patent actions. The Company provided preliminary responses to those petitions in late December 2023 and early January 2024. On March 19, 2024, March 28, 2024, and April 1, 2024, the PTAB issued decisions to institute inter partes review for four patents: IPR2023-01421 (Patent No. 11,175,405), hearing date of December 17, 2024; IPR2023-01422 (Patent No. 11,287,515), hearing date of December 17, 2024; IPR2023-01456 (Patent No. 11,178,381), hearing date of January 13, 2025; and IPR2023-01457 (Patent No. 11,190,750), hearing date of January 13, 2025. On March 13, 2025, the PTAB issued final written decisions upholding the patentability of all challenged claims in IPR2023-01422, and finding unpatentable all challenged claims in IPR2023-01421 and IPR2023-01457. On March 17, 2025, the PTAB issued a final written decision finding unpatentable all challenged claims of IPR2023-01456. On June 2 and 3, 2025, the Company filed notices of appeal for IPR2023-01421, IPR 2023-01426, and IPR 2023-01457, but the parties dismissed all but IPR2023-01421, which is awaiting hearing. Regarding the fifth patent (Patent No. 11,422,236), the PTAB declined to institute on March 28, 2024, (see IPR2023-01458). Hesai requested review to the Director of the United States Patent and Trademark Office (“Director Review”), who remanded to the PTAB for further review of its decision not to institute. On January 21, 2025, the PTAB again denied institution, to which Hesai again requested Director Review, and the Company objected. On March 20, 2025, the Director again denied review.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accrued $1.1 million in connection the Velodyne Legacy and Ouster legal proceedings as of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is indemnifying and has incurred costs to defend lawsuits or settle claims described above under the heading “Litigation” pursuant to the indemnity agreements of former directors and officers.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terms of the Second Amended and Restated Certificate of Incorporation, the Company is authorized to issue the following shares and classes of capital stock, each with a par value of $0.0001 per share: (i) 100,000,000 shares of common stock; (ii) 100,000,000 shares of preferred stock. The holder of each share of common stock is entitled to one vote.</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29, 2022, we entered into an open market sale agreement with B. Riley Securities, Inc., Cantor Fitzgerald &amp; Co. and Oppenheimer &amp; Co. Inc. (the “Former ATM Agreement”), pursuant to which we could offer and sell shares of our common stock with an aggregate offering price of up to $150.0 million under an “at-the-market” offering program. During the years ended December 31, 2024 and 2023, the Company sold 6,045,428 and 2,878,875 shares, respectively under the Former ATM Agreement. The weighted-average sales price and gross proceeds to the Company before deducting offering costs, sales commissions and fees were approximately $9.64 and $5.67 per share and $58.3 million and $16.3 million, respectively, during the year ended December 31, 2024 and 2023. The Company used the net proceeds from the Former ATM Agreement for working capital and general corporate purposes. We terminated the Former ATM Agreement in April 2025 in anticipation of the scheduled expiration of our registration statement on Form S-3 (File No. 333-264600).</w:t>
      </w:r>
    </w:p>
    <w:p>
      <w:pPr>
        <w:spacing w:after="0" w:line="8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filed a new registration statement on Form S-3 on May 2, 2025 (File No. 333-286936), which was subsequently declared effective by the SEC. On May 12, 2025, the Company entered into an At Market Issuance Sales Agreement (the “ATM Agreement”) with Oppenheimer &amp; Co. Inc., pursuant to which the Company may offer and sell, from time to time, through or to the agent, acting as agent or principal, having an aggregate offering price of up to $100.0 million. During the year ended December 31, 2025, the Company sold 4,671,406 shares at a weighted-average sales price of $20.88 per share, resulting in cumulative gross proceeds to us totaling approximately $97.5 million before deducting offering costs, sales commissions and fees. Cumulative net proceeds to the Company totaled approximately $95.6 million after deducting offering costs, sales commissions and fees.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ATM Agreement as of December 31, 2025 is approximately $2.5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maintains five equity incentive plans: its Amended and Restated 2015 Stock Plan (the “2015 Plan”), the Sense Photonics, Inc. 2017 Equity Incentive Plan (the “Sense Plan”), the Velodyne Lidar, Inc. 2020 Equity Incentive Plan (the “Velodyne Plan”), its 2021 Incentive Award Plan (the “2021 Plan”) and its Amended and Restated 2022 Employee Stock Purchase Plan (the “2022 ESPP” and, collectively with the 2015 Plan, the Sense Plan, the Velodyne Plan and the 2021 Plan, the “Plans”).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w:t>
      </w: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grant of performance bonus awards. New equity awards may only be granted under the 2021 Plan and Velodyne Plan. Awards under the 2021 Plan and Velodyne Plan can be granted to employees, including officers, directors and consultants of the Company and its subsidiaries, in each case, within the limits provided in the 2021 Plan and Velodyne Plan, respectively.</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Options under the Plans will be exercisable at such times and as specified in the Award Agreement (as defined in the Plans) provided that the term of an option or stock appreciation will not exceed ten years. Options granted under the Plans may be Incentive Stock Options (ISOs) or Non-statutory Stock Options, as determined by the Administrator (as defined in the Plans) at the time of grant of an option and subject to the applicable provisions of Section 422 of the Internal Revenue Code and the regulations promulgated thereunder. The exercise price of an option will be no less than 100% of the fair market value of the shares of common stock on the date of grant. The exercise price of an ISO granted to a 10% shareholder will be no less than 110% of the fair market value of the shares on the date of grant and the term of the ISO will not exceed five years. Options granted generally vest over four years and vest at a rate of 25% upon the first anniversary of the issuance date and 1/36th per month thereafter. The Company accounts for forfeitures as they occur.</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 however, that such shares are held in escrow and subject to forfeiture until the shares vested.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consolidated balance sheets.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11, 2021, the board of directors approved the 2021 Plan. 18,558,576 shares of the Company’s common stock were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Stock Plan</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2015, the Company established its 2015 Stock Plan. As of March 11, 2021, the effective time of the Colonnade Merger, the Company no longer grants equity awards pursuant to the 2015 Plan, but it continues to govern the terms of outstanding stock options that were granted prior to that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2022 ESPP has been offered to all eligible employees since August 2022 and generally permits certain employees to purchase shares of our common stock through payroll deductions of up to 15% of their compensation of each offering period, subject to certain limitations.</w:t>
      </w:r>
    </w:p>
    <w:p>
      <w:pPr>
        <w:spacing w:after="0" w:line="5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2022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equals 85% of the lesser of the fair market value of a share of common stock on either the first or last day of the applicable offering period of the last day of the applicable purchase period.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of 2023, the Company increased the share purchase limit under the 2022 ESPP to 3,000 shares of the Company’s common stock per offering period and added Velodyne Lidar, Inc. as a participating employer in the 2022 ESPP. The stock-based compensation expense for the 2022 ESPP is based on the estimated grant date fair value utilizing the Black-Scholes option valuation model of the 2022 ESPP shares and the number of shares that can be purchased as of the grant date, which is recognized as expense on a straight-line expense attribution method over the length of an offering period. During fiscal 2025 employees purchased 394,755 shares of common stock under the 2022 ESPP at a weighted-average purchase price of $4.95, with proceeds of $2.0 million. During fiscal 2024 employees purchased 384,341 shares of common stock under the 2022 ESPP at a weighted-average purchase price of $4.43, with proceeds of $1.7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 Assumed from Acquisitions</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On October 22, 2021 (“Effective Time”), the Company closed the acquisition of Sense pursuant to the Agreement and Plan of Merger and Plan of Reorganization (“Sense Agreement”). Pursuant to the Sense Agreement, upon the completion of the transaction, the Company assumed the Sense 2017 Equity Incentive Plan (the “Sense Plan”). In addition, pursuant to the Sense Agreement, at the Effective Time, each outstanding option to purchase Sense common stock and each award of time-based RSUs in respect of shares of Sense common stock held by Sense employees, in each case, that was outstanding as of immediately prior to the Effective Time was automatically adjusted by the Exchange Ratio (as defined in the Sense Agreement) and converted into an equity award of the same type covering shares of the Company’s common stock, on the same terms and conditions, (including, if applicable, any continuing vesting requirements) under the applicable Sense plan and award agreement in effect immediately prior to the Effective Time (the “Assumed Awards”). In connection with the closing of the acquisition, 82,311 stock options and 449,098 RSUs were assumed.</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10, 2023, the Company consummated the Velodyne Merger. Pursuant to the Velodyne Merger, the Company assumed the Velodyne Lidar, Inc. 2020 Equity Incentive Plan (the “Velodyne Plan”), and all restricted stock units granted thereunder that were outstanding immediately prior to the consummation of the Velodyne Merger and converted into restricted stock units covering shares of the Company’s common stock (such assumed awards, the “Assumed RSUs”) and all shares of Velodyne Lidar, Inc. restricted stock were converted into shares of Company restricted stock. Each Assumed RSU and award of restricted stock is subject to substantially the same terms and conditions as applied to the related Velodyne restricted stock unit award or restricted stock award immediately prior to the consummation of the Velodyne Merger, except that the number of shares of common stock subject to each Assumed RSU or constituting restricted stock was adjusted in accordance with the terms of the Velodyne Merger Agreement. In connection with the consummation of the Velodyne Merger, 961,012 Assumed RSUs and 728,646 shares of restricted stock were assumed. Pursuant to the terms of the Velodyne Plan, the number of shares reserved for issuance increases on January 1 of each year by the lesser of 820,400 shares or such smaller number of shares determined by the board of directors. In addition, any shares that are subject to awards forfeited and any shares of restricted stock that are forfeited will be available for grant under the Velodyne Plan.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for all stock awards in the statements of operations and comprehensive loss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3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3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29,929</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1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based on awards which vest. The Company. accounts for forfeitures as they occur, rather than estimating expected forfeitures.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2025 and 2024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5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6"/>
        </w:trPr>
        <w:tc>
          <w:tcPr>
            <w:tcW w:w="5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0"/>
        </w:trPr>
        <w:tc>
          <w:tcPr>
            <w:tcW w:w="50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0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Outstanding—January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1,755,024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10,076</w:t>
            </w:r>
          </w:p>
        </w:tc>
      </w:tr>
      <w:tr>
        <w:trPr>
          <w:trHeight w:val="22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expected to vest—December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1,710,622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24,142</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1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1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3"/>
        </w:trPr>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167,863</w:t>
            </w: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781,142</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752,408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752,408</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0" w:type="dxa"/>
            <w:vAlign w:val="bottom"/>
          </w:tcPr>
          <w:p>
            <w:pPr>
              <w:spacing w:after="0"/>
              <w:rPr>
                <w:sz w:val="1"/>
                <w:szCs w:val="1"/>
                <w:color w:val="auto"/>
              </w:rPr>
            </w:pPr>
          </w:p>
        </w:tc>
      </w:tr>
      <w:tr>
        <w:trPr>
          <w:trHeight w:val="248"/>
        </w:trPr>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1,710,622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1,710,622</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No options were granted during the years ended December 31, 2025 and December 31, 2024. As of December 31, 2025, there was no remaining unamortized stock-based compensation expense related to unvested stock options.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RSUs activity under the Plan for the years ended December 31, 2025 and, 2024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204"/>
        </w:trPr>
        <w:tc>
          <w:tcPr>
            <w:tcW w:w="806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14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Unvested—January 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(2,022,740)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3,464,764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4,278,834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total compensation expense related to unvested RSUs granted to employees, but not yet recognized, was $39.5 million, with a weighted-average remaining vesting period of 1.7 years.</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for the years ended December 31, 2025 and 2024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13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Unvested—January 01,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Unvested—December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award of RSAs. As of December 31, 2025, there was no remaining compensation expense related to unvested RSAs granted to employees yet to be recognized. The common stock comprising RSAs is issued at grant but, generally, is subject to a risk of forfeiture if the holder terminates service with the Company and its subsidiaries prior to vesting.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Employee Benefit Plan</w:t>
      </w:r>
    </w:p>
    <w:p>
      <w:pPr>
        <w:spacing w:after="0" w:line="12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 2018, the Company adopted a defined contribution retirement savings plan under Section 401(k) of the Internal Revenue Code. This plan covers substantially all employees who meet minimum age and service requirements and allows participants to defer a portion of their annual compensation on</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 pre-tax basis. The Company at its discretion offers matching contributions of up to 4% of each employee’s annual compensation. The Company provided matching contributions of $1.6 million and $1.7 million to the plan during the years ended December 31, 2025 and 2024,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attributable to common stockholders (in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56,334,911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46,584,479</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8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1,755,024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and private common stock warrants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4,871,960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5,235,409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3,464,764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purchase rights under the ESPP</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290,918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569,048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RSAs</w:t>
            </w:r>
          </w:p>
        </w:tc>
        <w:tc>
          <w:tcPr>
            <w:tcW w:w="386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456,698</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10,958,575</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11,480,943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86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88</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 for the years ended December 31, 2025, and 2024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are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(benefit) expense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reconciliation between the U.S. federal statutory rate and the Company’s effective tax rate for tax year 2025 after the adoption of ASU 2023-09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tax rate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5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5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5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Subpart F income</w:t>
            </w:r>
          </w:p>
        </w:tc>
        <w:tc>
          <w:tcPr>
            <w:tcW w:w="5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5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5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5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deductible items</w:t>
            </w: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and non-deductible employee compensation</w:t>
            </w:r>
          </w:p>
        </w:tc>
        <w:tc>
          <w:tcPr>
            <w:tcW w:w="5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5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 and 2018 IRS examination resolution</w:t>
            </w:r>
          </w:p>
        </w:tc>
        <w:tc>
          <w:tcPr>
            <w:tcW w:w="5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Return-to-provision adjustment</w:t>
            </w:r>
          </w:p>
        </w:tc>
        <w:tc>
          <w:tcPr>
            <w:tcW w:w="5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tax provision (benefit)</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0"/>
        </w:trPr>
        <w:tc>
          <w:tcPr>
            <w:tcW w:w="7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taxes in Massachusetts for 2025 made up the majority (greater than 50%) of the tax effect in this category.</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reconciliation between the U.S. federal statutory rate and the Company’s effective tax rate for the tax year 2024 prior to the adoption of ASU 2023-09 is as follows:</w:t>
      </w:r>
    </w:p>
    <w:p>
      <w:pPr>
        <w:spacing w:after="0" w:line="200" w:lineRule="exact"/>
        <w:rPr>
          <w:sz w:val="20"/>
          <w:szCs w:val="20"/>
          <w:color w:val="auto"/>
        </w:rPr>
      </w:pP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77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020" w:type="dxa"/>
            <w:vAlign w:val="bottom"/>
            <w:tcBorders>
              <w:bottom w:val="single" w:sz="8" w:color="auto"/>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shd w:val="clear" w:color="auto" w:fill="CCEEFF"/>
          </w:tcPr>
          <w:p>
            <w:pPr>
              <w:spacing w:after="0"/>
              <w:rPr>
                <w:sz w:val="17"/>
                <w:szCs w:val="17"/>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rate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 warrants</w:t>
            </w:r>
          </w:p>
        </w:tc>
        <w:tc>
          <w:tcPr>
            <w:tcW w:w="4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4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provision</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for federal, state and foreign income taxes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242,635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200,050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w:t>
            </w: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265,556</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(259,698)</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property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Deferred income taxes have not been provided for undistributed earnings of the Company’s consolidated foreign subsidiaries because of the Company’s intent to reinvest such earnings indefinitely in active foreign operations. The Company believes that future domestic cash generation will be sufficient to meet future domestic cash needs. The Company has not recorded a deferred tax liability on the undistributed earnings of non-U.S. subsidiaries.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established a full valuation allowance of $266.2 million and $259.7 million for the years ended December 31, 2025 and 2024, respectively, against its U.S. Federal, state and foreign deferred tax assets. The Company determines its valuation allowance on deferred tax assets by considering both positive and negative evidence in order to ascertain whether it is more likely than not that deferred tax assets will be realized. Due to the history of losses the Company has generated in the past, the Company believes that it is not more likely than not that all of its U.S. Federal, state, and foreign deferred tax assets can be realized as of December 31, 2025. Accordingly, the Company has recorded a full valuation allowance on its deferred tax assets.</w:t>
      </w:r>
    </w:p>
    <w:p>
      <w:pPr>
        <w:spacing w:after="0" w:line="7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valuation allowance on the Company’s net deferred taxes increased by $6.5 million during the year ended December 31, 2025 as compared to a decrease of $45.3 million during the year ended December 31, 2024. The current year increase in valuation allowance is primarily attributable to the generation of net operating losses. The prior year decrease in valuation allowance is primarily attributable to the generation of net operating losses and capitalization of research and development expenditures.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and state net operating loss carryforwards of approximately $1.1 billion and $458.2 million, respectively. As of December 31, 2025, federal net operating loss carryforwards generated after December 31, 2017 will be carried forward indefinitely and the state net operating loss carryforward begins expiring in 2028 through 2045. As of December 31, 2025, the amount of federal net operating loss that does not expire is $1.1 billion.</w:t>
      </w:r>
    </w:p>
    <w:p>
      <w:pPr>
        <w:spacing w:after="0" w:line="7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As of December 31, 2025, the Company had federal and state research and development credit carryforwards of approximately $0.9 million and $12.8 million, respectively. As of December 31, 2025 the federal credits will expire starting in 2035, if not utilized and state credits carryforward indefinitely.</w:t>
      </w:r>
    </w:p>
    <w:p>
      <w:pPr>
        <w:spacing w:after="0" w:line="3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The Tax Reform Act of 1986 and similar state legislation impose substantial restrictions on the utilization of the net operating losses and tax credit carryforwards in the event there is a change in ownership as provided by Section 382 and Section 383 of the Internal Revenue Code and similar state provisions. We have completed an analysis of Section 382 ownership changes in our stock through February 10, 2023 and have concluded that we have experienced ownership changes that will result in limitations in our ability to use certain of our tax credit carryforwards. The Company may experience ownership changes in the future as a result of future transactions in our stock. If it is determined that we undergo one or more ownership changes in the future, then our ability to utilize our U.S. Federal and state net operating loss carryforwards or other tax attributes may be limited or eliminated.</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provides for significant U.S. tax law changes and modifications including making permanent key elements of the Tax Cuts and Jobs Act, including 100% bonus depreciation, domestic research cost expensing, and the business interest expense limitation. The enactment of OBBBA resulted in an immaterial impact on the income tax provision due to the Company’s valuation allowance and the Company does not expect that portions of OBBBA with future effective dates will have a material impact.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paid (refunds received) for income taxes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31,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49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 jurisdictions</w:t>
            </w:r>
          </w:p>
        </w:tc>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4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4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(refunds received) for income taxes</w:t>
            </w:r>
          </w:p>
        </w:tc>
        <w:tc>
          <w:tcPr>
            <w:tcW w:w="4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5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cash income taxes paid by the Company during the year ended December 31, 2024 was $0.4 million.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balance of gross unrecognized tax benefits as of December 31, 2025, and 2024 was $23.4 million and $24.8 million, respectively. Out of the total unrecognized tax benefits, $0.5 million at December 31, 2025, if recognized, would impact our effective tax rate in the period of recognition. The Company recognizes interest and penalties accrued on any unrecognized tax benefits as a component of income tax expense. As of December 31, 2025 and 2024, the Company has accrued immaterial interest and penalties related to uncertain tax positions. The following table sets forth the change in the uncertain tax positions for the years ended December 31, 2025 and 2024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24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7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24,755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24,755</w:t>
            </w:r>
          </w:p>
        </w:tc>
      </w:tr>
      <w:tr>
        <w:trPr>
          <w:trHeight w:val="229"/>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For prior years’ tax positions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(1,355)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24,755</w:t>
            </w:r>
          </w:p>
        </w:tc>
      </w:tr>
      <w:tr>
        <w:trPr>
          <w:trHeight w:val="21"/>
        </w:trPr>
        <w:tc>
          <w:tcPr>
            <w:tcW w:w="7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U.S. for Federal, California, and other U.S. states, as well as miscellaneous foreign jurisdictions. In the normal course of business, the Company is subject to examination by taxing authorities. The earliest year open for examination is the 2016 tax year. During the year ended December 31, 2025, the Company reached a resolution of its IRS examination for the 2017 and 2018 tax years and the Company recorded a refund receivable of $3.0 million. The Company does not believe it is reasonably possible that the Company’s unrecognized tax benefits will materially change in the next 12 months. All of the net operating losses and research and development credit carry-forwards that may be used in future years are still subject to inquiry given that the statute of limitation for these items would begin in the year of the utilization.</w:t>
      </w:r>
    </w:p>
    <w:p>
      <w:pPr>
        <w:spacing w:after="0" w:line="21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Deferred income taxes have not been provided for undistributed earnings of the Company’s consolidated foreign subsidiaries because of the Company’s intent to reinvest such earnings indefinitely in active foreign operations. The Company believes that future domestic cash generation will be sufficient to meet future domestic cash needs. The Company has not recorded a deferred tax liability on the undistributed earnings of non-U.S.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Revenue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majority of the Company’s revenue is recognized at the point in time when the customer obtains control of the respective lidar sensor kits. Revenue recognized over time is immaterial to total revenue recognized for any given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revenues by geographic area based on the location products were shipped to and services provided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and Pacific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that accounted for more than 10% of revenue during the years ended December 31, 2025 and 2024 were as follows:</w:t>
      </w:r>
    </w:p>
    <w:p>
      <w:pPr>
        <w:spacing w:after="0" w:line="151"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accounted for less than 10% of total revenue in the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Countries that accounted for more than 10% of revenue was as follows:</w:t>
      </w:r>
    </w:p>
    <w:p>
      <w:pPr>
        <w:spacing w:after="0" w:line="15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accounted for less than 10% of total revenue in the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Contract Balances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receivable for multi-year licensing services is generally recorded upon invoicing. A receivable for multi-year license contracts is recorded upon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invoiced, to the extent the Company has an unconditional right to receive payment in the future related to those licenses.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the current portion of these unbilled receivables in the amount of $6.4 million, primarily consisting of unbilled receivables from multi-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license contracts, is included in “Accounts receivable, net” on the consolidated balance sheet. As of December 31, 2024, the current portion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unbilled receivables in the amount of $3.3 million, primarily consisting of unbilled receivables from multi-year license contracts, is included in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net” on the consolidated balance sheet.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w:t>
      </w:r>
    </w:p>
    <w:p>
      <w:pPr>
        <w:spacing w:after="0" w:line="6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 Contract assets, current are included in prepaid expenses and other current assets on the accompanying consolidated balance sheets. Contract assets, non-current portion are included in other non-current assets on the accompanying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Contract liabilities consist of deferred revenue, advanced payments and deposits from customers for goods and services that are yet to be provided.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and is included in other non-current liabilities in the Company’s consolidated balance sheets.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Contract assets and liabilities are presented net at the individual contract level in the consolidated balance sheet and are classified as current or long-term based on the nature of the underlying contractual rights and obligations.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 and liability balances as of December 31, 2025 and 2024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3"/>
        </w:trPr>
        <w:tc>
          <w:tcPr>
            <w:tcW w:w="8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non-current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contract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from multi-year licensing contracts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contract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w:t>
            </w:r>
          </w:p>
        </w:tc>
      </w:tr>
      <w:tr>
        <w:trPr>
          <w:trHeight w:val="257"/>
        </w:trPr>
        <w:tc>
          <w:tcPr>
            <w:tcW w:w="8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from multi-year licensing contracts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contract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revenues from multi-year licensing contracts mainly represent minimum royalty payments received from licensees relating to long-term IP license contracts for which the Company has future obligations under the license agreements. Royalties from the IP licenses are recognized at the later of the period the sales occur or the satisfaction of the performance obligation to which some or all of the royalties have been allocated. The Company evaluated its performance obligations under multi-year licensing contracts and did not recognize any revenue under such licensing contracts in fiscal year 2024 because the Company concluded there is significant uncertainty associated with resolving the Company’s performance.</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2025, the Company recognized $22.8 million in royalty revenue that included $16.1 million in cumulative royalty revenue associated with a multi-year IP license contract entered into in a prior year which granted a customer a right-to-use our functional intellectual property for the duration of the stated license term. The associated royalties were previously deferred pending the resolution of significant uncertainty associated with resolving the Company’s performance under the license contract. As of December 31, 2025 those uncertainties have been resolved, which resulted in recognition of such amounts.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Other contract liabilities primarily relate to a multi-year contract entered in 2023 with a customer to sell its products. During the year ended December 31, 2024, the Company signed a new contract, which was subsequently modified, with this customer that added new service performance obligations and modified certain payment, pricing and delivery terms. As a result, the Company received an additional $16.2 million in payments from this customer, which was recorded in other contract liabilities during the year ended December 31, 2024. Modifications were accounted for in accordance with the contract modification framework. As of December 31, 2025, $12.5 million remained deferred under the contract until a future product and service delivery date.</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contract liabilities (remaining performance obligations) and the significant changes in the balances during the years ended December 31, 2025 and 2024 (in thousands).</w:t>
      </w:r>
    </w:p>
    <w:p>
      <w:pPr>
        <w:sectPr>
          <w:pgSz w:w="11900" w:h="16838" w:orient="portrait"/>
          <w:cols w:equalWidth="0" w:num="1">
            <w:col w:w="11240"/>
          </w:cols>
          <w:pgMar w:left="320" w:top="198" w:right="339" w:bottom="1440" w:gutter="0" w:footer="0" w:header="0"/>
        </w:sect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revenue deferred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right="1537" w:firstLine="108"/>
        <w:spacing w:after="0" w:line="271" w:lineRule="auto"/>
        <w:rPr>
          <w:sz w:val="20"/>
          <w:szCs w:val="20"/>
          <w:color w:val="auto"/>
        </w:rPr>
      </w:pPr>
      <w:r>
        <w:rPr>
          <w:rFonts w:ascii="Times New Roman" w:cs="Times New Roman" w:eastAsia="Times New Roman" w:hAnsi="Times New Roman"/>
          <w:sz w:val="18"/>
          <w:szCs w:val="18"/>
          <w:color w:val="auto"/>
        </w:rPr>
        <w:t>Revenue recognized that was included in the contract liability balance at the beginning of the period Ending balance as of December 31, 2024</w:t>
      </w:r>
    </w:p>
    <w:p>
      <w:pPr>
        <w:ind w:left="140"/>
        <w:spacing w:after="0"/>
        <w:rPr>
          <w:sz w:val="20"/>
          <w:szCs w:val="20"/>
          <w:color w:val="auto"/>
        </w:rPr>
      </w:pPr>
      <w:r>
        <w:rPr>
          <w:rFonts w:ascii="Times New Roman" w:cs="Times New Roman" w:eastAsia="Times New Roman" w:hAnsi="Times New Roman"/>
          <w:sz w:val="18"/>
          <w:szCs w:val="18"/>
          <w:color w:val="auto"/>
        </w:rPr>
        <w:t>Net revenue deferred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Reclassification to contract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right="1537" w:firstLine="108"/>
        <w:spacing w:after="0" w:line="307" w:lineRule="auto"/>
        <w:rPr>
          <w:sz w:val="20"/>
          <w:szCs w:val="20"/>
          <w:color w:val="auto"/>
        </w:rPr>
      </w:pPr>
      <w:r>
        <w:rPr>
          <w:rFonts w:ascii="Times New Roman" w:cs="Times New Roman" w:eastAsia="Times New Roman" w:hAnsi="Times New Roman"/>
          <w:sz w:val="18"/>
          <w:szCs w:val="18"/>
          <w:color w:val="auto"/>
        </w:rPr>
        <w:t>Revenue recognized that was included in the contract liability balance at the beginning of the period Ending balance as of December 31, 2025</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03"/>
        <w:spacing w:after="0"/>
        <w:rPr>
          <w:sz w:val="20"/>
          <w:szCs w:val="20"/>
          <w:color w:val="auto"/>
        </w:rPr>
      </w:pPr>
      <w:r>
        <w:rPr>
          <w:rFonts w:ascii="Times New Roman" w:cs="Times New Roman" w:eastAsia="Times New Roman" w:hAnsi="Times New Roman"/>
          <w:sz w:val="14"/>
          <w:szCs w:val="14"/>
          <w:b w:val="1"/>
          <w:bCs w:val="1"/>
          <w:color w:val="auto"/>
        </w:rPr>
        <w:t>Contract Liabilities</w:t>
      </w:r>
    </w:p>
    <w:p>
      <w:pPr>
        <w:spacing w:after="0" w:line="61" w:lineRule="exact"/>
        <w:rPr>
          <w:sz w:val="20"/>
          <w:szCs w:val="20"/>
          <w:color w:val="auto"/>
        </w:rPr>
      </w:pPr>
    </w:p>
    <w:p>
      <w:pPr>
        <w:ind w:left="1083" w:hanging="1083"/>
        <w:spacing w:after="0"/>
        <w:tabs>
          <w:tab w:leader="none" w:pos="10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17,852</w:t>
      </w:r>
    </w:p>
    <w:p>
      <w:pPr>
        <w:spacing w:after="0" w:line="27" w:lineRule="exact"/>
        <w:rPr>
          <w:rFonts w:ascii="Times New Roman" w:cs="Times New Roman" w:eastAsia="Times New Roman" w:hAnsi="Times New Roman"/>
          <w:sz w:val="18"/>
          <w:szCs w:val="18"/>
          <w:color w:val="auto"/>
        </w:rPr>
      </w:pPr>
    </w:p>
    <w:p>
      <w:pPr>
        <w:ind w:left="10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21,031</w:t>
      </w:r>
    </w:p>
    <w:p>
      <w:pPr>
        <w:spacing w:after="0" w:line="22" w:lineRule="exact"/>
        <w:rPr>
          <w:rFonts w:ascii="Times New Roman" w:cs="Times New Roman" w:eastAsia="Times New Roman" w:hAnsi="Times New Roman"/>
          <w:sz w:val="18"/>
          <w:szCs w:val="18"/>
          <w:color w:val="auto"/>
        </w:rPr>
      </w:pPr>
    </w:p>
    <w:p>
      <w:pPr>
        <w:ind w:left="10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541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1" w:lineRule="exact"/>
        <w:rPr>
          <w:sz w:val="20"/>
          <w:szCs w:val="20"/>
          <w:color w:val="auto"/>
        </w:rPr>
      </w:pPr>
    </w:p>
    <w:p>
      <w:pPr>
        <w:ind w:left="1083" w:hanging="1083"/>
        <w:spacing w:after="0"/>
        <w:tabs>
          <w:tab w:leader="none" w:pos="10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36,889</w:t>
      </w:r>
    </w:p>
    <w:p>
      <w:pPr>
        <w:spacing w:after="0" w:line="27" w:lineRule="exact"/>
        <w:rPr>
          <w:rFonts w:ascii="Times New Roman" w:cs="Times New Roman" w:eastAsia="Times New Roman" w:hAnsi="Times New Roman"/>
          <w:sz w:val="18"/>
          <w:szCs w:val="18"/>
          <w:color w:val="auto"/>
        </w:rPr>
      </w:pPr>
    </w:p>
    <w:p>
      <w:pPr>
        <w:ind w:left="11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7,557</w:t>
      </w:r>
    </w:p>
    <w:p>
      <w:pPr>
        <w:spacing w:after="0" w:line="22" w:lineRule="exact"/>
        <w:rPr>
          <w:rFonts w:ascii="Times New Roman" w:cs="Times New Roman" w:eastAsia="Times New Roman" w:hAnsi="Times New Roman"/>
          <w:sz w:val="18"/>
          <w:szCs w:val="18"/>
          <w:color w:val="auto"/>
        </w:rPr>
      </w:pPr>
    </w:p>
    <w:p>
      <w:pPr>
        <w:ind w:left="11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(23,437)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541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1" w:lineRule="exact"/>
        <w:rPr>
          <w:sz w:val="20"/>
          <w:szCs w:val="20"/>
          <w:color w:val="auto"/>
        </w:rPr>
      </w:pPr>
    </w:p>
    <w:p>
      <w:pPr>
        <w:ind w:left="1083" w:hanging="1083"/>
        <w:spacing w:after="0"/>
        <w:tabs>
          <w:tab w:leader="none" w:pos="10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541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541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877" w:space="720"/>
            <w:col w:w="1643"/>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Chief Executive Officer reviews financial information including revenue, expenses and net loss presented on a consolidated basis, accompanied by certain supplemental information about significant expense categories for purposes of allocating resources and evaluating the Company’s financial performance. The Company operates as one reportable and operating segment, which relates to the sale and production of lidar sensor kits and there are no segment managers who are held accountable for operations, operating results and plans for levels or components below the consolidated unit level. The CODM assesses financial performance of the reportable segment and decides how to allocate resources based on the net loss that also is reported as the net loss attributable to the Company on the consolidated statements of operations and comprehensive loss. The net loss is also used by our CODM to monitor actual results versus budget and prior periods amounts of our reportable segment and decide how to expand business or to return value to stockholders. The measure of the segment assets is reported on the consolidated balance sheet as total assets.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certain financial data for our reportable segment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manufacturing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and amortization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Other costs primarily includes inventory excess and obsolescence, scrap, warranty, freight, tariffs and other cost of revenue items.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1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On February 4, 2026 (“Closing Date”), the Company completed the acquisition of Stereolabs SAS (“Stereolabs”), a developer, manufacturer and seller of vision systems headquartered in France. The acquisition expanded the Company's product portfolio, and is expected to further strengthen its software capabilities and accelerate customer development. In exchange for 100% of the outstanding share capital of Stereolabs, shareholders of Stereolabs received cash consideration of $35.4 million and 1,847,677 newly-issued shares of the Company’s common stock valued at $35.4 million based on the trading price on the Closing Date, and of which 660,005 shares are subject to a staggered lock-up arrangement lasting through a four-year period, whereby twenty-five (25%) percent will be released upon each anniversary of the completion date as long as the key employees are still employees of the Company.</w:t>
      </w:r>
    </w:p>
    <w:p>
      <w:pPr>
        <w:spacing w:after="0" w:line="6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acquisition will be accounted for as a business combination, and the Company will begin consolidating Stereolabs’ financial results in its condensed consolidated financial statements starting as of Closing Date. Given the recent date of the acquisition, the Company has not finalized its determination of the fair value of the assets acquired and liabilities assumed. The Company has engaged third-party consultants to assist with determining the fair value of assets and liabilities acquired from Stereolabs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6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include controls and other procedures that are designed to ensure that information required to be disclosed in the reports filed or submitted under the Securities Exchange Act of 1934, as amended,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required disclosure.</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222222"/>
        </w:rPr>
        <w:t>Our management, with the participation of our Chief Executive Officer and Chief Financial Officer, evaluated the effectiveness of our disclosure controls and procedures (as that term is defined in Rules 13a-15(e) and 15d-15(e) under the Exchange Act) as of December 31, 2025. Based on that evaluation, our Chief Executive Officer and Chief Financial Officer concluded that our disclosure controls and procedures were effective at the reasonable assurance level as of December 31, 2025</w:t>
      </w:r>
      <w:r>
        <w:rPr>
          <w:rFonts w:ascii="Times New Roman" w:cs="Times New Roman" w:eastAsia="Times New Roman" w:hAnsi="Times New Roman"/>
          <w:sz w:val="18"/>
          <w:szCs w:val="18"/>
          <w:color w:val="000000"/>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31"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8"/>
          <w:szCs w:val="18"/>
          <w:color w:val="222222"/>
        </w:rPr>
        <w:t>Our management is responsible for establishing and maintaining adequate internal control over financial reporting (as such term is defined in Rules 13a-15(f) and 15d-15(f) under the Exchange Act). Our management, including our Chief Executive Officer and Chief Financial Officer, conducted an assessment as of December 31, 2025 of the effectiveness of our internal control over financial reporting based on the criteria set forth in the Internal Control–Integrated Framework (2013) issued by the Committee of Sponsoring Organizations of the Treadway Commission (COSO). Based on this assessment, our management concluded that, as of December 31, 2025, our internal control over financial reporting was effective</w:t>
      </w:r>
      <w:r>
        <w:rPr>
          <w:rFonts w:ascii="Times New Roman" w:cs="Times New Roman" w:eastAsia="Times New Roman" w:hAnsi="Times New Roman"/>
          <w:sz w:val="18"/>
          <w:szCs w:val="18"/>
          <w:color w:val="000000"/>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Weaknesses</w:t>
      </w:r>
    </w:p>
    <w:p>
      <w:pPr>
        <w:spacing w:after="0" w:line="135"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We previously identified and disclosed in our Annual Report on Form 10-K for the year ended December 31, 2024 and in our subsequent Quarterly Reports on Form 10-Q the following material weaknesses in internal control over financial reporting.</w:t>
      </w:r>
    </w:p>
    <w:p>
      <w:pPr>
        <w:spacing w:after="0" w:line="41" w:lineRule="exact"/>
        <w:rPr>
          <w:sz w:val="20"/>
          <w:szCs w:val="20"/>
          <w:color w:val="auto"/>
        </w:rPr>
      </w:pPr>
    </w:p>
    <w:p>
      <w:pPr>
        <w:jc w:val="both"/>
        <w:ind w:right="660"/>
        <w:spacing w:after="0" w:line="280" w:lineRule="auto"/>
        <w:rPr>
          <w:sz w:val="20"/>
          <w:szCs w:val="20"/>
          <w:color w:val="auto"/>
        </w:rPr>
      </w:pPr>
      <w:r>
        <w:rPr>
          <w:rFonts w:ascii="Times New Roman" w:cs="Times New Roman" w:eastAsia="Times New Roman" w:hAnsi="Times New Roman"/>
          <w:sz w:val="17"/>
          <w:szCs w:val="17"/>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w:t>
      </w:r>
    </w:p>
    <w:p>
      <w:pPr>
        <w:spacing w:after="0" w:line="4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did not design and maintain effective controls over the period-end financial reporting process to ensure, for other than journal entries, that segregation of duties (“SOD”) conflicts were identified, reviewed and mitigated by appropriately designed mitigating controls as needed to achieve complete, accurate and timely financial accounting, reporting and disclosures.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2025, we enhanced the design and/or operation of internal controls by:</w:t>
      </w:r>
    </w:p>
    <w:p>
      <w:pPr>
        <w:spacing w:after="0" w:line="117" w:lineRule="exact"/>
        <w:rPr>
          <w:sz w:val="20"/>
          <w:szCs w:val="20"/>
          <w:color w:val="auto"/>
        </w:rPr>
      </w:pPr>
    </w:p>
    <w:p>
      <w:pPr>
        <w:ind w:left="660" w:right="340" w:hanging="328"/>
        <w:spacing w:after="0" w:line="247" w:lineRule="auto"/>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Improving internal controls to ensure that SOD conflicts were timely identified, reviewed and mitigated by appropriately designed mitigating controls and procedures. This included periodic monitoring of changes in roles and responsibilities that could impact SOD conflicts within the period-end financial reporting process</w:t>
      </w:r>
      <w:r>
        <w:rPr>
          <w:rFonts w:ascii="Times New Roman" w:cs="Times New Roman" w:eastAsia="Times New Roman" w:hAnsi="Times New Roman"/>
          <w:sz w:val="18"/>
          <w:szCs w:val="18"/>
          <w:color w:val="000000"/>
        </w:rPr>
        <w:t>.</w:t>
      </w:r>
    </w:p>
    <w:p>
      <w:pPr>
        <w:spacing w:after="0" w:line="1" w:lineRule="exact"/>
        <w:rPr>
          <w:rFonts w:ascii="Times New Roman" w:cs="Times New Roman" w:eastAsia="Times New Roman" w:hAnsi="Times New Roman"/>
          <w:sz w:val="18"/>
          <w:szCs w:val="18"/>
          <w:color w:val="auto"/>
        </w:rPr>
      </w:pPr>
    </w:p>
    <w:p>
      <w:pPr>
        <w:ind w:left="660" w:right="140" w:hanging="328"/>
        <w:spacing w:after="0" w:line="246" w:lineRule="auto"/>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Recruiting personnel with appropriate internal controls, accounting knowledge and experience commensurate with our accounting and reporting requirements, in addition to engaging and utilizing third party consultants and specialists. Our management also continued to reallocate and align roles and responsibilities within the accounting team to optimize and leverage the skills and experience of various personnel</w:t>
      </w:r>
      <w:r>
        <w:rPr>
          <w:rFonts w:ascii="Times New Roman" w:cs="Times New Roman" w:eastAsia="Times New Roman" w:hAnsi="Times New Roman"/>
          <w:sz w:val="18"/>
          <w:szCs w:val="18"/>
          <w:color w:val="000000"/>
        </w:rPr>
        <w:t>.</w:t>
      </w:r>
    </w:p>
    <w:p>
      <w:pPr>
        <w:spacing w:after="0" w:line="7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Providing internal control training for personnel responsible for implementing internal controls for the Company</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222222"/>
        </w:rPr>
        <w:t>Our management completed its documentation, testing and evaluation of the enhanced control activities and determined that, as of December 31, 2025, these control activities have been appropriately designed and implemented, and have operated effectively for a sufficient period of time to conclude that these previously identified material weaknesses have been remediated</w:t>
      </w:r>
      <w:r>
        <w:rPr>
          <w:rFonts w:ascii="Times New Roman" w:cs="Times New Roman" w:eastAsia="Times New Roman" w:hAnsi="Times New Roman"/>
          <w:sz w:val="18"/>
          <w:szCs w:val="18"/>
          <w:color w:val="000000"/>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121" w:lineRule="exact"/>
        <w:rPr>
          <w:sz w:val="20"/>
          <w:szCs w:val="20"/>
          <w:color w:val="auto"/>
        </w:rPr>
      </w:pPr>
    </w:p>
    <w:p>
      <w:pPr>
        <w:jc w:val="both"/>
        <w:ind w:right="420"/>
        <w:spacing w:after="0" w:line="250" w:lineRule="auto"/>
        <w:rPr>
          <w:sz w:val="20"/>
          <w:szCs w:val="20"/>
          <w:color w:val="auto"/>
        </w:rPr>
      </w:pPr>
      <w:r>
        <w:rPr>
          <w:rFonts w:ascii="Times New Roman" w:cs="Times New Roman" w:eastAsia="Times New Roman" w:hAnsi="Times New Roman"/>
          <w:sz w:val="18"/>
          <w:szCs w:val="18"/>
          <w:color w:val="222222"/>
        </w:rPr>
        <w:t>This Annual Report on Form 10-K does not include an attestation report of our independent registered public accounting firm on internal control over financial reporting because we do not qualify as an accelerated or a large accelerated filer (as defined in Rule 12b-2 of the Securities Exchange Act of 1934, as amended).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November 18, 2025, Darien Spencer, the Company’s Chief Operating Officer, adopted a “Rule 10b5-1 trading arrangement” as defined in Item 408(a) of Regulation S-K. The plan provides for the periodic sale of up to 323,918 shares of common stock between April 16, 2026 and November 18, 2027.</w:t>
      </w:r>
    </w:p>
    <w:p>
      <w:pPr>
        <w:spacing w:after="0" w:line="6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15, 2025, Mark Frichtl, the Company’s Co-Founder and Chief Technology Officer, adopted a “Rule 10b5-1 trading arrangement” as defined in Item 408(a) of Regulation S-K. The plan provides for the periodic sale of up to 850,176 shares of common stock between March 24, 2026 and December 31, 2026.</w:t>
      </w:r>
    </w:p>
    <w:p>
      <w:pPr>
        <w:spacing w:after="0" w:line="6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Other than as described above, during the three months ended December 31, 2025, no director or officer of the Company adopted or terminated a “Rule 10b5-1 trading arrangement” or “non-Rule 10b5-1 trading arrangement,” as each term is defined in Item 408(a) of Regulation S-K.</w:t>
      </w:r>
    </w:p>
    <w:p>
      <w:pPr>
        <w:spacing w:after="0" w:line="266" w:lineRule="exact"/>
        <w:rPr>
          <w:sz w:val="20"/>
          <w:szCs w:val="20"/>
          <w:color w:val="auto"/>
        </w:rPr>
      </w:pPr>
    </w:p>
    <w:p>
      <w:pPr>
        <w:ind w:right="52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all of our directors, officers and employees, including our principal executive officer, principal financial officer, principal accounting officer and/or controller, and persons performing similar functions. A copy of the Code of Conduct is available on our Investors website at investors.ouster.com in the “Governance” section. We expect that any amendments to the Code of Conduct, or any waivers of its requirements, that are required to be disclosed by SEC or NASDAQ rules will be disclosed on our website. We did not grant any waivers to the Code of Conduct in fiscal 2025. The information contained on our website is not incorporated by reference into this Annual Report on Form 10-K.</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remaining information required by Items 401, 405, 406 and 407(c)(3), (d)(4) and (d)(5) of Regulation S-K will be included under the headings “Election of Directors,” “Executive Officers” “Corporate Governance,” and “Delinquent Section 16(a) Reports” (if applicable) in our definitive proxy statement for our 2026 annual meeting of stockholders (the “2026 Annual Meeting of Stockholders”), to be filed within 120 days after the end of the 2025 fiscal year and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 &amp;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members of our board of directors (ages are calculated as of March 2, 2026):</w:t>
      </w:r>
    </w:p>
    <w:p>
      <w:pPr>
        <w:sectPr>
          <w:pgSz w:w="11900" w:h="16838" w:orient="portrait"/>
          <w:cols w:equalWidth="0" w:num="1">
            <w:col w:w="11240"/>
          </w:cols>
          <w:pgMar w:left="320" w:top="198" w:right="33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Age</w:t>
            </w: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Position at Ouster</w:t>
            </w:r>
          </w:p>
        </w:tc>
        <w:tc>
          <w:tcPr>
            <w:tcW w:w="0" w:type="dxa"/>
            <w:vAlign w:val="bottom"/>
          </w:tcPr>
          <w:p>
            <w:pPr>
              <w:spacing w:after="0"/>
              <w:rPr>
                <w:sz w:val="1"/>
                <w:szCs w:val="1"/>
                <w:color w:val="auto"/>
              </w:rPr>
            </w:pPr>
          </w:p>
        </w:tc>
      </w:tr>
      <w:tr>
        <w:trPr>
          <w:trHeight w:val="46"/>
        </w:trPr>
        <w:tc>
          <w:tcPr>
            <w:tcW w:w="2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Angus Pacala</w:t>
            </w:r>
          </w:p>
        </w:tc>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Co-Founder and Chief Executive</w:t>
            </w:r>
          </w:p>
        </w:tc>
        <w:tc>
          <w:tcPr>
            <w:tcW w:w="0" w:type="dxa"/>
            <w:vAlign w:val="bottom"/>
          </w:tcPr>
          <w:p>
            <w:pPr>
              <w:spacing w:after="0"/>
              <w:rPr>
                <w:sz w:val="1"/>
                <w:szCs w:val="1"/>
                <w:color w:val="auto"/>
              </w:rPr>
            </w:pPr>
          </w:p>
        </w:tc>
      </w:tr>
      <w:tr>
        <w:trPr>
          <w:trHeight w:val="108"/>
        </w:trPr>
        <w:tc>
          <w:tcPr>
            <w:tcW w:w="2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 Frichtl</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Co-Founder and Chief Technology Officer</w:t>
            </w: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Kenneth P. Gianella</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Darien Spencer</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Operating Officer</w:t>
            </w: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Megan Chung</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0" w:type="dxa"/>
            <w:vAlign w:val="bottom"/>
          </w:tcPr>
          <w:p>
            <w:pPr>
              <w:spacing w:after="0"/>
              <w:rPr>
                <w:sz w:val="1"/>
                <w:szCs w:val="1"/>
                <w:color w:val="auto"/>
              </w:rPr>
            </w:pPr>
          </w:p>
        </w:tc>
      </w:tr>
      <w:tr>
        <w:trPr>
          <w:trHeight w:val="25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Theodore L. Tewksbury, Ph.D.</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2"/>
                <w:szCs w:val="22"/>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 of the Board of Directors</w:t>
            </w:r>
          </w:p>
        </w:tc>
        <w:tc>
          <w:tcPr>
            <w:tcW w:w="0" w:type="dxa"/>
            <w:vAlign w:val="bottom"/>
          </w:tcPr>
          <w:p>
            <w:pPr>
              <w:spacing w:after="0"/>
              <w:rPr>
                <w:sz w:val="1"/>
                <w:szCs w:val="1"/>
                <w:color w:val="auto"/>
              </w:rPr>
            </w:pPr>
          </w:p>
        </w:tc>
      </w:tr>
      <w:tr>
        <w:trPr>
          <w:trHeight w:val="37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Christina C. Correia</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Virginia Boulet</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Phillip M. Eyler</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Susan Heystee</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Chair of the Board of Directors</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Ernest Maddock</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Stephen A. Skaggs</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-2095500</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-1752600</wp:posOffset>
            </wp:positionV>
            <wp:extent cx="7132320" cy="308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-1135380</wp:posOffset>
            </wp:positionV>
            <wp:extent cx="7132320" cy="308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132320"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-2927350</wp:posOffset>
            </wp:positionV>
            <wp:extent cx="7132320" cy="317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Employment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Former Chief Executive Officer of Velodyne Lidar, Inc.</w:t>
      </w:r>
    </w:p>
    <w:p>
      <w:pPr>
        <w:spacing w:after="0" w:line="86" w:lineRule="exact"/>
        <w:rPr>
          <w:sz w:val="20"/>
          <w:szCs w:val="20"/>
          <w:color w:val="auto"/>
        </w:rPr>
      </w:pPr>
    </w:p>
    <w:p>
      <w:pPr>
        <w:ind w:right="540"/>
        <w:spacing w:after="0" w:line="316" w:lineRule="auto"/>
        <w:rPr>
          <w:sz w:val="20"/>
          <w:szCs w:val="20"/>
          <w:color w:val="auto"/>
        </w:rPr>
      </w:pPr>
      <w:r>
        <w:rPr>
          <w:rFonts w:ascii="Times New Roman" w:cs="Times New Roman" w:eastAsia="Times New Roman" w:hAnsi="Times New Roman"/>
          <w:sz w:val="16"/>
          <w:szCs w:val="16"/>
          <w:color w:val="auto"/>
        </w:rPr>
        <w:t>Group Vice President, Chief Accounting Officer and Business Finance at Lam Research Corporation</w:t>
      </w:r>
    </w:p>
    <w:p>
      <w:pPr>
        <w:spacing w:after="0" w:line="2" w:lineRule="exact"/>
        <w:rPr>
          <w:sz w:val="20"/>
          <w:szCs w:val="20"/>
          <w:color w:val="auto"/>
        </w:rPr>
      </w:pPr>
    </w:p>
    <w:p>
      <w:pPr>
        <w:ind w:right="240"/>
        <w:spacing w:after="0" w:line="316" w:lineRule="auto"/>
        <w:rPr>
          <w:sz w:val="20"/>
          <w:szCs w:val="20"/>
          <w:color w:val="auto"/>
        </w:rPr>
      </w:pPr>
      <w:r>
        <w:rPr>
          <w:rFonts w:ascii="Times New Roman" w:cs="Times New Roman" w:eastAsia="Times New Roman" w:hAnsi="Times New Roman"/>
          <w:sz w:val="16"/>
          <w:szCs w:val="16"/>
          <w:color w:val="auto"/>
        </w:rPr>
        <w:t>Former Managing Director of Legacy Capital, LLC, an investment company</w:t>
      </w:r>
    </w:p>
    <w:p>
      <w:pPr>
        <w:spacing w:after="0" w:line="2" w:lineRule="exact"/>
        <w:rPr>
          <w:sz w:val="20"/>
          <w:szCs w:val="20"/>
          <w:color w:val="auto"/>
        </w:rPr>
      </w:pPr>
    </w:p>
    <w:p>
      <w:pPr>
        <w:ind w:right="720"/>
        <w:spacing w:after="0" w:line="316" w:lineRule="auto"/>
        <w:rPr>
          <w:sz w:val="20"/>
          <w:szCs w:val="20"/>
          <w:color w:val="auto"/>
        </w:rPr>
      </w:pPr>
      <w:r>
        <w:rPr>
          <w:rFonts w:ascii="Times New Roman" w:cs="Times New Roman" w:eastAsia="Times New Roman" w:hAnsi="Times New Roman"/>
          <w:sz w:val="16"/>
          <w:szCs w:val="16"/>
          <w:color w:val="auto"/>
        </w:rPr>
        <w:t>Former President and Chief Executive Officer of Gentherm Incorporated</w:t>
      </w:r>
    </w:p>
    <w:p>
      <w:pPr>
        <w:spacing w:after="0" w:line="2" w:lineRule="exact"/>
        <w:rPr>
          <w:sz w:val="20"/>
          <w:szCs w:val="20"/>
          <w:color w:val="auto"/>
        </w:rPr>
      </w:pPr>
    </w:p>
    <w:p>
      <w:pPr>
        <w:ind w:right="400"/>
        <w:spacing w:after="0" w:line="316" w:lineRule="auto"/>
        <w:rPr>
          <w:sz w:val="20"/>
          <w:szCs w:val="20"/>
          <w:color w:val="auto"/>
        </w:rPr>
      </w:pPr>
      <w:r>
        <w:rPr>
          <w:rFonts w:ascii="Times New Roman" w:cs="Times New Roman" w:eastAsia="Times New Roman" w:hAnsi="Times New Roman"/>
          <w:sz w:val="16"/>
          <w:szCs w:val="16"/>
          <w:color w:val="auto"/>
        </w:rPr>
        <w:t>Former Senior Vice President of Global Automotive Business at Verizon Connect, a telecommunications company</w:t>
      </w:r>
    </w:p>
    <w:p>
      <w:pPr>
        <w:spacing w:after="0" w:line="2" w:lineRule="exact"/>
        <w:rPr>
          <w:sz w:val="20"/>
          <w:szCs w:val="20"/>
          <w:color w:val="auto"/>
        </w:rPr>
      </w:pPr>
    </w:p>
    <w:p>
      <w:pPr>
        <w:ind w:right="580"/>
        <w:spacing w:after="0" w:line="316" w:lineRule="auto"/>
        <w:rPr>
          <w:sz w:val="20"/>
          <w:szCs w:val="20"/>
          <w:color w:val="auto"/>
        </w:rPr>
      </w:pPr>
      <w:r>
        <w:rPr>
          <w:rFonts w:ascii="Times New Roman" w:cs="Times New Roman" w:eastAsia="Times New Roman" w:hAnsi="Times New Roman"/>
          <w:sz w:val="16"/>
          <w:szCs w:val="16"/>
          <w:color w:val="auto"/>
        </w:rPr>
        <w:t>Former Chief Financial Officer of Micron Technology, Inc., a semiconductor manufacturing company</w:t>
      </w:r>
    </w:p>
    <w:p>
      <w:pPr>
        <w:spacing w:after="0" w:line="2" w:lineRule="exact"/>
        <w:rPr>
          <w:sz w:val="20"/>
          <w:szCs w:val="20"/>
          <w:color w:val="auto"/>
        </w:rPr>
      </w:pPr>
    </w:p>
    <w:p>
      <w:pPr>
        <w:ind w:right="200"/>
        <w:spacing w:after="0" w:line="316" w:lineRule="auto"/>
        <w:rPr>
          <w:sz w:val="20"/>
          <w:szCs w:val="20"/>
          <w:color w:val="auto"/>
        </w:rPr>
      </w:pPr>
      <w:r>
        <w:rPr>
          <w:rFonts w:ascii="Times New Roman" w:cs="Times New Roman" w:eastAsia="Times New Roman" w:hAnsi="Times New Roman"/>
          <w:sz w:val="16"/>
          <w:szCs w:val="16"/>
          <w:color w:val="auto"/>
        </w:rPr>
        <w:t>Former Senior Vice President and Chief Financial Officer of Atmel Corporation</w:t>
      </w:r>
    </w:p>
    <w:p>
      <w:pPr>
        <w:spacing w:after="0" w:line="200" w:lineRule="exact"/>
        <w:rPr>
          <w:sz w:val="20"/>
          <w:szCs w:val="20"/>
          <w:color w:val="auto"/>
        </w:rPr>
      </w:pPr>
    </w:p>
    <w:p>
      <w:pPr>
        <w:sectPr>
          <w:pgSz w:w="11900" w:h="16838" w:orient="portrait"/>
          <w:cols w:equalWidth="0" w:num="2">
            <w:col w:w="6560" w:space="100"/>
            <w:col w:w="4580"/>
          </w:cols>
          <w:pgMar w:left="320" w:top="198"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402, 407(e)(4), and (e)(5) of Regulation S-K will be included under the headings “Executive Compensation” and “Compensation Committee Interlocks and Insider Participation” (if applicable) in our definitive proxy statement for our 2026 Annual Meeting of Stockholders, and such information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76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8"/>
          <w:szCs w:val="18"/>
          <w:color w:val="auto"/>
        </w:rPr>
        <w:t>Securities Authorized For Issuance under Equity Compensation Plans (as of December 31, 2025):</w:t>
      </w: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left="359"/>
              <w:spacing w:after="0" w:line="175" w:lineRule="exact"/>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3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Available for Future</w:t>
            </w:r>
          </w:p>
        </w:tc>
        <w:tc>
          <w:tcPr>
            <w:tcW w:w="0" w:type="dxa"/>
            <w:vAlign w:val="bottom"/>
          </w:tcPr>
          <w:p>
            <w:pPr>
              <w:spacing w:after="0"/>
              <w:rPr>
                <w:sz w:val="1"/>
                <w:szCs w:val="1"/>
                <w:color w:val="auto"/>
              </w:rPr>
            </w:pPr>
          </w:p>
        </w:tc>
      </w:tr>
      <w:tr>
        <w:trPr>
          <w:trHeight w:val="189"/>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120" w:type="dxa"/>
            <w:vAlign w:val="bottom"/>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be Issued Upon Exercise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131"/>
        </w:trPr>
        <w:tc>
          <w:tcPr>
            <w:tcW w:w="4200" w:type="dxa"/>
            <w:vAlign w:val="bottom"/>
            <w:gridSpan w:val="2"/>
            <w:vMerge w:val="continue"/>
          </w:tcPr>
          <w:p>
            <w:pPr>
              <w:spacing w:after="0"/>
              <w:rPr>
                <w:sz w:val="11"/>
                <w:szCs w:val="11"/>
                <w:color w:val="auto"/>
              </w:rPr>
            </w:pPr>
          </w:p>
        </w:tc>
        <w:tc>
          <w:tcPr>
            <w:tcW w:w="2120" w:type="dxa"/>
            <w:vAlign w:val="bottom"/>
            <w:vMerge w:val="restart"/>
          </w:tcPr>
          <w:p>
            <w:pPr>
              <w:jc w:val="center"/>
              <w:ind w:left="359"/>
              <w:spacing w:after="0" w:line="175" w:lineRule="exact"/>
              <w:rPr>
                <w:sz w:val="20"/>
                <w:szCs w:val="20"/>
                <w:color w:val="auto"/>
              </w:rPr>
            </w:pPr>
            <w:r>
              <w:rPr>
                <w:rFonts w:ascii="Times New Roman" w:cs="Times New Roman" w:eastAsia="Times New Roman" w:hAnsi="Times New Roman"/>
                <w:sz w:val="16"/>
                <w:szCs w:val="16"/>
                <w:b w:val="1"/>
                <w:bCs w:val="1"/>
                <w:color w:val="auto"/>
              </w:rPr>
              <w:t>of Outstanding Options,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vMerge w:val="restart"/>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38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44"/>
        </w:trPr>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2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(excludes securities</w:t>
            </w: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first column)</w:t>
            </w:r>
          </w:p>
        </w:tc>
        <w:tc>
          <w:tcPr>
            <w:tcW w:w="0" w:type="dxa"/>
            <w:vAlign w:val="bottom"/>
          </w:tcPr>
          <w:p>
            <w:pPr>
              <w:spacing w:after="0"/>
              <w:rPr>
                <w:sz w:val="1"/>
                <w:szCs w:val="1"/>
                <w:color w:val="auto"/>
              </w:rPr>
            </w:pPr>
          </w:p>
        </w:tc>
      </w:tr>
      <w:tr>
        <w:trPr>
          <w:trHeight w:val="33"/>
        </w:trPr>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Equity compensation plans approved by security holders</w:t>
            </w:r>
            <w:r>
              <w:rPr>
                <w:rFonts w:ascii="Times New Roman" w:cs="Times New Roman" w:eastAsia="Times New Roman" w:hAnsi="Times New Roman"/>
                <w:sz w:val="21"/>
                <w:szCs w:val="21"/>
                <w:color w:val="auto"/>
                <w:vertAlign w:val="superscript"/>
              </w:rPr>
              <w:t>(1)</w:t>
            </w:r>
          </w:p>
        </w:tc>
        <w:tc>
          <w:tcPr>
            <w:tcW w:w="2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16"/>
                <w:szCs w:val="16"/>
                <w:color w:val="auto"/>
              </w:rPr>
              <w:t>2,595,496</w:t>
            </w:r>
            <w:r>
              <w:rPr>
                <w:rFonts w:ascii="Times New Roman" w:cs="Times New Roman" w:eastAsia="Times New Roman" w:hAnsi="Times New Roman"/>
                <w:sz w:val="21"/>
                <w:szCs w:val="21"/>
                <w:color w:val="auto"/>
                <w:vertAlign w:val="superscript"/>
              </w:rPr>
              <w:t>(2)(6)(7)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4,085,075</w:t>
            </w:r>
          </w:p>
        </w:tc>
        <w:tc>
          <w:tcPr>
            <w:tcW w:w="46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93"/>
              </w:rPr>
              <w:t>(3)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gridSpan w:val="2"/>
          </w:tcPr>
          <w:p>
            <w:pPr>
              <w:ind w:left="120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9"/>
                <w:szCs w:val="9"/>
                <w:color w:val="auto"/>
              </w:rPr>
              <w:t xml:space="preserve"> (5)</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1,710,622</w:t>
            </w:r>
          </w:p>
        </w:tc>
        <w:tc>
          <w:tcPr>
            <w:tcW w:w="46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93"/>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ind w:left="1040"/>
              <w:spacing w:after="0" w:line="216" w:lineRule="exact"/>
              <w:rPr>
                <w:sz w:val="20"/>
                <w:szCs w:val="20"/>
                <w:color w:val="auto"/>
              </w:rPr>
            </w:pPr>
            <w:r>
              <w:rPr>
                <w:rFonts w:ascii="Times New Roman" w:cs="Times New Roman" w:eastAsia="Times New Roman" w:hAnsi="Times New Roman"/>
                <w:sz w:val="16"/>
                <w:szCs w:val="16"/>
                <w:color w:val="auto"/>
              </w:rPr>
              <w:t xml:space="preserve">$7.69 </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r>
              <w:rPr>
                <w:rFonts w:ascii="Times New Roman" w:cs="Times New Roman" w:eastAsia="Times New Roman" w:hAnsi="Times New Roman"/>
                <w:sz w:val="21"/>
                <w:szCs w:val="21"/>
                <w:color w:val="auto"/>
                <w:vertAlign w:val="superscript"/>
              </w:rPr>
              <w:t>(6)</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5,795,697</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2,595,496</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60" w:right="300" w:hanging="328"/>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the Ouster, Inc. 2021 Incentive Award Plan (“2021 Plan”), Velodyne 2020 Equity Incentive plan (the “Velodyne Plan”), Ouster Inc. Amended and Restated 2015 Stock Plan (“2015 Plan”) and Sense Photonics, Inc. 2017 Equity Incentive Plan and (“Sense Plan”).</w:t>
      </w:r>
    </w:p>
    <w:p>
      <w:pPr>
        <w:spacing w:after="0" w:line="90" w:lineRule="exact"/>
        <w:rPr>
          <w:rFonts w:ascii="Times New Roman" w:cs="Times New Roman" w:eastAsia="Times New Roman" w:hAnsi="Times New Roman"/>
          <w:sz w:val="23"/>
          <w:szCs w:val="23"/>
          <w:color w:val="auto"/>
          <w:vertAlign w:val="superscript"/>
        </w:rPr>
      </w:pPr>
    </w:p>
    <w:p>
      <w:pPr>
        <w:ind w:left="660" w:right="20" w:hanging="328"/>
        <w:spacing w:after="0" w:line="244"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authorized under our 2021 Plan increases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No additional awards will be granted under the 2015 Plan or the Sense Plan and, as a result, no shares remain available for issuance for new awards under the 2015 Plan or the Sense Plan. The number of shares authorized under our Velodyne 2020 Plan increases on the first day of each calendar year beginning on January 1, 2021 and ending on (and including) January 1, 2030, equal to the lesser of (A) 820,400 shares of common stock and (B) such lesser number of shares as determined by our board of directors.</w:t>
      </w:r>
    </w:p>
    <w:p>
      <w:pPr>
        <w:spacing w:after="0" w:line="88" w:lineRule="exact"/>
        <w:rPr>
          <w:rFonts w:ascii="Times New Roman" w:cs="Times New Roman" w:eastAsia="Times New Roman" w:hAnsi="Times New Roman"/>
          <w:sz w:val="23"/>
          <w:szCs w:val="23"/>
          <w:color w:val="auto"/>
          <w:vertAlign w:val="superscript"/>
        </w:rPr>
      </w:pPr>
    </w:p>
    <w:p>
      <w:pPr>
        <w:ind w:left="660" w:right="40" w:hanging="328"/>
        <w:spacing w:after="0" w:line="281"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2,359,740 outstanding restricted stock units under the 2021 Plan, 1,723,645 outstanding restricted stock units under the Velodyne Plan, and 1,690 outstanding restricted stock units under the Sense Plan.</w:t>
      </w:r>
    </w:p>
    <w:p>
      <w:pPr>
        <w:spacing w:after="0" w:line="1"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1,710,413 outstanding options to purchase stock under the 2015 Plan and 9,209 outstanding options to purchase stock under the Sense Plan.</w:t>
      </w:r>
    </w:p>
    <w:p>
      <w:pPr>
        <w:spacing w:after="0" w:line="1" w:lineRule="exact"/>
        <w:rPr>
          <w:rFonts w:ascii="Times New Roman" w:cs="Times New Roman" w:eastAsia="Times New Roman" w:hAnsi="Times New Roman"/>
          <w:sz w:val="18"/>
          <w:szCs w:val="18"/>
          <w:color w:val="auto"/>
        </w:rPr>
      </w:pPr>
    </w:p>
    <w:p>
      <w:pPr>
        <w:jc w:val="both"/>
        <w:ind w:left="660" w:right="260" w:hanging="328"/>
        <w:spacing w:after="0" w:line="251" w:lineRule="auto"/>
        <w:tabs>
          <w:tab w:leader="none" w:pos="64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the weighted-average exercise price of outstanding options under the 2015 Plan was $7.45 and the weighted-average exercise price of outstanding options under the Sense Plan was $52.40. Outstanding restricted stock units and restricted stock awards subject to time-based vesting do not have an exercise price and therefore are not included in the calculation of the weighted-average exercise price.</w:t>
      </w: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1,626,215 shares available for purchase by our employees under the Ouster, Inc 2022 Employee Stock Purchase Plan.</w:t>
      </w:r>
    </w:p>
    <w:p>
      <w:pPr>
        <w:spacing w:after="0" w:line="55" w:lineRule="exact"/>
        <w:rPr>
          <w:rFonts w:ascii="Times New Roman" w:cs="Times New Roman" w:eastAsia="Times New Roman" w:hAnsi="Times New Roman"/>
          <w:sz w:val="23"/>
          <w:szCs w:val="23"/>
          <w:color w:val="auto"/>
          <w:vertAlign w:val="superscript"/>
        </w:rPr>
      </w:pPr>
    </w:p>
    <w:p>
      <w:pPr>
        <w:ind w:left="660" w:right="320" w:hanging="328"/>
        <w:spacing w:after="0" w:line="219" w:lineRule="auto"/>
        <w:tabs>
          <w:tab w:leader="none" w:pos="648" w:val="left"/>
        </w:tabs>
        <w:numPr>
          <w:ilvl w:val="0"/>
          <w:numId w:val="2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Consists of 530,202 shares remaining available for issuance under the 2021 Plan and 439,079 shares available for issuance under the Velodyne Plan.</w:t>
      </w:r>
    </w:p>
    <w:p>
      <w:pPr>
        <w:spacing w:after="0" w:line="14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Item 403 of Regulation S-K will be included under the heading “Security Ownership of Certain Beneficial Owners and Management” in our definitive proxy statement for our 2026 Annual Meeting of Stockholders, and such required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404 and 407(a) of Regulation S-K will be included under the headings “Certain Relationships and Related Person Transactions,” “Corporate Governance” and “Director Independence” in our definitive proxy statement for our 2026 Annual Meeting of Stockholders, and such information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9(e) of Schedule 14A of the Exchange Act will be included under the heading “Independent Registered Public Accounting Firm Fees and Other Matters” in our definitive proxy statement for our 2026 Annual Meeting of Stockholders, and such information is incorporated herein by reference.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of the Company are listed in the index under Part II, Item 8, of this Annual Report on Form 10-K.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for the Company have been included in the consolidated financial statements or the related footnotes, or are either inapplicable or not required.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6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5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80" w:type="dxa"/>
            <w:vAlign w:val="bottom"/>
          </w:tcPr>
          <w:p>
            <w:pPr>
              <w:spacing w:after="0"/>
              <w:rPr>
                <w:sz w:val="17"/>
                <w:szCs w:val="17"/>
                <w:color w:val="auto"/>
              </w:rPr>
            </w:pPr>
          </w:p>
        </w:tc>
      </w:tr>
      <w:tr>
        <w:trPr>
          <w:trHeight w:val="241"/>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54"/>
        </w:trPr>
        <w:tc>
          <w:tcPr>
            <w:tcW w:w="17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Filed/</w:t>
            </w:r>
          </w:p>
        </w:tc>
      </w:tr>
    </w:tbl>
    <w:p>
      <w:pPr>
        <w:ind w:left="10280"/>
        <w:spacing w:after="0" w:line="234" w:lineRule="auto"/>
        <w:rPr>
          <w:sz w:val="20"/>
          <w:szCs w:val="20"/>
          <w:color w:val="auto"/>
        </w:rPr>
      </w:pPr>
      <w:r>
        <w:rPr>
          <w:rFonts w:ascii="Times New Roman" w:cs="Times New Roman" w:eastAsia="Times New Roman" w:hAnsi="Times New Roman"/>
          <w:sz w:val="18"/>
          <w:szCs w:val="18"/>
          <w:b w:val="1"/>
          <w:bCs w:val="1"/>
          <w:color w:val="auto"/>
        </w:rPr>
        <w:t>Furnished</w:t>
      </w:r>
    </w:p>
    <w:p>
      <w:pPr>
        <w:spacing w:after="0" w:line="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b w:val="1"/>
          <w:bCs w:val="1"/>
          <w:color w:val="auto"/>
        </w:rPr>
        <w:t>herewith</w:t>
      </w:r>
    </w:p>
    <w:p>
      <w:pPr>
        <w:sectPr>
          <w:pgSz w:w="11900" w:h="16838" w:orient="portrait"/>
          <w:cols w:equalWidth="0" w:num="1">
            <w:col w:w="11240"/>
          </w:cols>
          <w:pgMar w:left="320" w:top="198" w:right="339" w:bottom="1440" w:gutter="0" w:footer="0" w:header="0"/>
        </w:sectPr>
      </w:pPr>
    </w:p>
    <w:p>
      <w:pPr>
        <w:spacing w:after="0" w:line="3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3.1</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3.2</w:t>
        </w:r>
      </w:hyperlink>
    </w:p>
    <w:p>
      <w:pPr>
        <w:spacing w:after="0" w:line="27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3.3</w:t>
        </w:r>
      </w:hyperlink>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Certificate of Incorporation of Ouster, Inc.</w:t>
              </w:r>
            </w:hyperlink>
          </w:p>
        </w:tc>
        <w:tc>
          <w:tcPr>
            <w:tcW w:w="146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S-4 POS</w:t>
            </w: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333-251611</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3/10/2021</w:t>
            </w:r>
          </w:p>
        </w:tc>
      </w:tr>
      <w:tr>
        <w:trPr>
          <w:trHeight w:val="250"/>
        </w:trPr>
        <w:tc>
          <w:tcPr>
            <w:tcW w:w="43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Certificate of Amendment to Certificate of Incorporation of</w:t>
              </w:r>
            </w:hyperlink>
          </w:p>
        </w:tc>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4/20/2023</w:t>
            </w:r>
          </w:p>
        </w:tc>
      </w:tr>
      <w:tr>
        <w:trPr>
          <w:trHeight w:val="196"/>
        </w:trPr>
        <w:tc>
          <w:tcPr>
            <w:tcW w:w="8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Ouster, Inc.</w:t>
              </w:r>
            </w:hyperlink>
          </w:p>
        </w:tc>
        <w:tc>
          <w:tcPr>
            <w:tcW w:w="368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4520" w:type="dxa"/>
            <w:vAlign w:val="bottom"/>
            <w:gridSpan w:val="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Amended and Restated Bylaws of Ouster, Inc.</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4/22/2024</w:t>
            </w:r>
          </w:p>
        </w:tc>
      </w:tr>
      <w:tr>
        <w:trPr>
          <w:trHeight w:val="196"/>
        </w:trPr>
        <w:tc>
          <w:tcPr>
            <w:tcW w:w="22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(effective as of April 18, 2024)</w:t>
              </w:r>
            </w:hyperlink>
          </w:p>
        </w:tc>
        <w:tc>
          <w:tcPr>
            <w:tcW w:w="1660" w:type="dxa"/>
            <w:vAlign w:val="bottom"/>
            <w:tcBorders>
              <w:top w:val="single" w:sz="8" w:color="0000FF"/>
            </w:tcBorders>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2">
            <w:col w:w="360" w:space="720"/>
            <w:col w:w="10160"/>
          </w:cols>
          <w:pgMar w:left="320" w:top="198" w:right="339" w:bottom="1440" w:gutter="0" w:footer="0" w:header="0"/>
          <w:type w:val="continuous"/>
        </w:sectPr>
      </w:pPr>
    </w:p>
    <w:p>
      <w:pPr>
        <w:ind w:left="2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4.1</w:t>
        </w:r>
      </w:hyperlink>
    </w:p>
    <w:p>
      <w:pPr>
        <w:spacing w:after="0" w:line="200" w:lineRule="exact"/>
        <w:rPr>
          <w:sz w:val="20"/>
          <w:szCs w:val="20"/>
          <w:color w:val="auto"/>
        </w:rPr>
      </w:pPr>
    </w:p>
    <w:p>
      <w:pPr>
        <w:spacing w:after="0" w:line="295"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4.2</w:t>
        </w:r>
      </w:hyperlink>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4.3</w:t>
      </w:r>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4.4</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Warrant Agreement, dated August 20, 2020, between</w:t>
              </w:r>
            </w:hyperlink>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4.1</w:t>
            </w:r>
          </w:p>
        </w:tc>
        <w:tc>
          <w:tcPr>
            <w:tcW w:w="1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8/25/2020</w:t>
            </w:r>
          </w:p>
        </w:tc>
      </w:tr>
      <w:tr>
        <w:trPr>
          <w:trHeight w:val="20"/>
        </w:trPr>
        <w:tc>
          <w:tcPr>
            <w:tcW w:w="1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660" w:type="dxa"/>
            <w:vAlign w:val="bottom"/>
            <w:gridSpan w:val="9"/>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Colonnade Acquisition Corp. and Continental Stock Transfer</w:t>
              </w:r>
            </w:hyperlink>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25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&amp; Trust Company, as warrant agent</w:t>
              </w:r>
            </w:hyperlink>
          </w:p>
        </w:tc>
        <w:tc>
          <w:tcPr>
            <w:tcW w:w="1840" w:type="dxa"/>
            <w:vAlign w:val="bottom"/>
            <w:tcBorders>
              <w:top w:val="single" w:sz="8" w:color="0000FF"/>
            </w:tcBorders>
            <w:gridSpan w:val="6"/>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33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Specimen Warrant Certificate of the Registrant</w:t>
              </w:r>
            </w:hyperlink>
          </w:p>
        </w:tc>
        <w:tc>
          <w:tcPr>
            <w:tcW w:w="1280" w:type="dxa"/>
            <w:vAlign w:val="bottom"/>
            <w:gridSpan w:val="6"/>
          </w:tcPr>
          <w:p>
            <w:pPr>
              <w:spacing w:after="0"/>
              <w:rPr>
                <w:sz w:val="21"/>
                <w:szCs w:val="21"/>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333-240378</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4.2</w:t>
            </w:r>
          </w:p>
        </w:tc>
        <w:tc>
          <w:tcPr>
            <w:tcW w:w="1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8/4/2020</w:t>
            </w:r>
          </w:p>
        </w:tc>
      </w:tr>
      <w:tr>
        <w:trPr>
          <w:trHeight w:val="250"/>
        </w:trPr>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780" w:type="dxa"/>
            <w:vAlign w:val="bottom"/>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43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Warrant to Purchase Common Stock of Velodyne Lidar, Inc.,</w:t>
              </w:r>
            </w:hyperlink>
          </w:p>
        </w:tc>
        <w:tc>
          <w:tcPr>
            <w:tcW w:w="280" w:type="dxa"/>
            <w:vAlign w:val="bottom"/>
            <w:gridSpan w:val="2"/>
          </w:tcPr>
          <w:p>
            <w:pPr>
              <w:spacing w:after="0"/>
              <w:rPr>
                <w:sz w:val="21"/>
                <w:szCs w:val="21"/>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4.1</w:t>
            </w:r>
          </w:p>
        </w:tc>
        <w:tc>
          <w:tcPr>
            <w:tcW w:w="1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2/7/2022</w:t>
            </w:r>
          </w:p>
        </w:tc>
      </w:tr>
      <w:tr>
        <w:trPr>
          <w:trHeight w:val="196"/>
        </w:trPr>
        <w:tc>
          <w:tcPr>
            <w:tcW w:w="4660" w:type="dxa"/>
            <w:vAlign w:val="bottom"/>
            <w:gridSpan w:val="9"/>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by and between Velodyne Lidar, Inc. and Amazon.com NV</w:t>
              </w:r>
            </w:hyperlink>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40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Investment Holdings LLC, dated as of February 4, 2022</w:t>
              </w:r>
            </w:hyperlink>
          </w:p>
        </w:tc>
        <w:tc>
          <w:tcPr>
            <w:tcW w:w="220" w:type="dxa"/>
            <w:vAlign w:val="bottom"/>
            <w:tcBorders>
              <w:top w:val="single" w:sz="8" w:color="0000FF"/>
            </w:tcBorders>
          </w:tcPr>
          <w:p>
            <w:pPr>
              <w:spacing w:after="0"/>
              <w:rPr>
                <w:sz w:val="17"/>
                <w:szCs w:val="17"/>
                <w:color w:val="auto"/>
              </w:rPr>
            </w:pPr>
          </w:p>
        </w:tc>
        <w:tc>
          <w:tcPr>
            <w:tcW w:w="4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16" w:lineRule="exact"/>
        <w:rPr>
          <w:sz w:val="20"/>
          <w:szCs w:val="20"/>
          <w:color w:val="auto"/>
        </w:rPr>
      </w:pPr>
    </w:p>
    <w:p>
      <w:pPr>
        <w:sectPr>
          <w:pgSz w:w="11900" w:h="16838" w:orient="portrait"/>
          <w:cols w:equalWidth="0" w:num="2">
            <w:col w:w="360" w:space="720"/>
            <w:col w:w="10160"/>
          </w:cols>
          <w:pgMar w:left="320" w:top="198"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420" w:type="dxa"/>
            <w:vAlign w:val="bottom"/>
            <w:gridSpan w:val="2"/>
          </w:tcPr>
          <w:p>
            <w:pPr>
              <w:spacing w:after="0"/>
              <w:rPr>
                <w:rFonts w:ascii="Times New Roman" w:cs="Times New Roman" w:eastAsia="Times New Roman" w:hAnsi="Times New Roman"/>
                <w:sz w:val="18"/>
                <w:szCs w:val="18"/>
                <w:color w:val="0000FF"/>
                <w:w w:val="95"/>
              </w:rPr>
            </w:pPr>
            <w:hyperlink r:id="rId14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60" w:type="dxa"/>
            <w:vAlign w:val="bottom"/>
            <w:gridSpan w:val="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Indemnification Agreement and advancement</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001-39463</w:t>
            </w: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11/05/2025</w:t>
            </w:r>
          </w:p>
        </w:tc>
        <w:tc>
          <w:tcPr>
            <w:tcW w:w="0" w:type="dxa"/>
            <w:vAlign w:val="bottom"/>
          </w:tcPr>
          <w:p>
            <w:pPr>
              <w:spacing w:after="0"/>
              <w:rPr>
                <w:sz w:val="1"/>
                <w:szCs w:val="1"/>
                <w:color w:val="auto"/>
              </w:rPr>
            </w:pPr>
          </w:p>
        </w:tc>
      </w:tr>
      <w:tr>
        <w:trPr>
          <w:trHeight w:val="203"/>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20" w:type="dxa"/>
            <w:vAlign w:val="bottom"/>
            <w:tcBorders>
              <w:top w:val="single" w:sz="8" w:color="0000FF"/>
            </w:tcBorders>
            <w:gridSpan w:val="5"/>
          </w:tcPr>
          <w:p>
            <w:pPr>
              <w:spacing w:after="0" w:line="20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agreement</w:t>
              </w:r>
            </w:hyperlink>
          </w:p>
        </w:tc>
        <w:tc>
          <w:tcPr>
            <w:tcW w:w="64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560" w:type="dxa"/>
            <w:vAlign w:val="bottom"/>
            <w:gridSpan w:val="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Amended and Restated Registration Rights Agreement, by</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001-39463</w:t>
            </w: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02"/>
        </w:trPr>
        <w:tc>
          <w:tcPr>
            <w:tcW w:w="3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4"/>
          </w:tcPr>
          <w:p>
            <w:pPr>
              <w:spacing w:after="0" w:line="202"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and among Ouster, Inc. and the holders party thereto</w:t>
              </w:r>
            </w:hyperlink>
          </w:p>
        </w:tc>
        <w:tc>
          <w:tcPr>
            <w:tcW w:w="440" w:type="dxa"/>
            <w:vAlign w:val="bottom"/>
            <w:tcBorders>
              <w:top w:val="single" w:sz="8" w:color="0000FF"/>
            </w:tcBorders>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15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2021 Incentive Award Plan</w:t>
              </w:r>
            </w:hyperlink>
          </w:p>
        </w:tc>
        <w:tc>
          <w:tcPr>
            <w:tcW w:w="2600" w:type="dxa"/>
            <w:vAlign w:val="bottom"/>
            <w:gridSpan w:val="5"/>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001-39463</w:t>
            </w: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37"/>
        </w:trPr>
        <w:tc>
          <w:tcPr>
            <w:tcW w:w="1060" w:type="dxa"/>
            <w:vAlign w:val="bottom"/>
            <w:gridSpan w:val="4"/>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3(a)+</w:t>
              </w:r>
            </w:hyperlink>
          </w:p>
        </w:tc>
        <w:tc>
          <w:tcPr>
            <w:tcW w:w="4560" w:type="dxa"/>
            <w:vAlign w:val="bottom"/>
            <w:gridSpan w:val="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Stock Option Agreement under the 2021 Incentive</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001-39463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10.5(a)</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02"/>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Borders>
              <w:top w:val="single" w:sz="8" w:color="0000FF"/>
              <w:bottom w:val="single" w:sz="8" w:color="0000FF"/>
            </w:tcBorders>
            <w:gridSpan w:val="2"/>
          </w:tcPr>
          <w:p>
            <w:pPr>
              <w:spacing w:after="0" w:line="202" w:lineRule="exact"/>
              <w:rPr>
                <w:rFonts w:ascii="Times New Roman" w:cs="Times New Roman" w:eastAsia="Times New Roman" w:hAnsi="Times New Roman"/>
                <w:sz w:val="18"/>
                <w:szCs w:val="18"/>
                <w:color w:val="0000FF"/>
                <w:w w:val="95"/>
              </w:rPr>
            </w:pPr>
            <w:hyperlink r:id="rId152">
              <w:r>
                <w:rPr>
                  <w:rFonts w:ascii="Times New Roman" w:cs="Times New Roman" w:eastAsia="Times New Roman" w:hAnsi="Times New Roman"/>
                  <w:sz w:val="18"/>
                  <w:szCs w:val="18"/>
                  <w:color w:val="0000FF"/>
                  <w:w w:val="95"/>
                </w:rPr>
                <w:t>Award Plan</w:t>
              </w:r>
            </w:hyperlink>
          </w:p>
        </w:tc>
        <w:tc>
          <w:tcPr>
            <w:tcW w:w="3420" w:type="dxa"/>
            <w:vAlign w:val="bottom"/>
            <w:tcBorders>
              <w:top w:val="single" w:sz="8" w:color="0000FF"/>
            </w:tcBorders>
            <w:gridSpan w:val="5"/>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98" w:right="339" w:bottom="1440" w:gutter="0" w:footer="0" w:header="0"/>
          <w:type w:val="continuous"/>
        </w:sectPr>
      </w:pPr>
    </w:p>
    <w:p>
      <w:pPr>
        <w:ind w:left="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10.3(b)+</w:t>
        </w:r>
      </w:hyperlink>
    </w:p>
    <w:p>
      <w:pPr>
        <w:spacing w:after="0" w:line="27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10.3(c)+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Stock Unit Agreement under the 2021</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10.3(b)</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3/15/2021</w:t>
            </w:r>
          </w:p>
        </w:tc>
      </w:tr>
      <w:tr>
        <w:trPr>
          <w:trHeight w:val="196"/>
        </w:trPr>
        <w:tc>
          <w:tcPr>
            <w:tcW w:w="15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Incentive Award Plan</w:t>
              </w:r>
            </w:hyperlink>
          </w:p>
        </w:tc>
        <w:tc>
          <w:tcPr>
            <w:tcW w:w="258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4600" w:type="dxa"/>
            <w:vAlign w:val="bottom"/>
            <w:gridSpan w:val="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Restricted Stock Grant Notice and Restricted Stock</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5/13/2024</w:t>
            </w:r>
          </w:p>
        </w:tc>
      </w:tr>
      <w:tr>
        <w:trPr>
          <w:trHeight w:val="196"/>
        </w:trPr>
        <w:tc>
          <w:tcPr>
            <w:tcW w:w="8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Agreement</w:t>
              </w:r>
            </w:hyperlink>
          </w:p>
        </w:tc>
        <w:tc>
          <w:tcPr>
            <w:tcW w:w="3520" w:type="dxa"/>
            <w:vAlign w:val="bottom"/>
            <w:tcBorders>
              <w:top w:val="single" w:sz="8" w:color="0000FF"/>
            </w:tcBorders>
            <w:gridSpan w:val="3"/>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660" w:space="420"/>
            <w:col w:w="10160"/>
          </w:cols>
          <w:pgMar w:left="320" w:top="198"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02" w:name="page103"/>
    <w:bookmarkEnd w:id="102"/>
    <w:p>
      <w:pPr>
        <w:spacing w:after="0" w:line="185" w:lineRule="auto"/>
        <w:framePr w:w="600" w:h="160" w:wrap="auto" w:vAnchor="page" w:hAnchor="page" w:x="300" w:y="3395"/>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10.5(c)</w:t>
        </w:r>
      </w:hyperlink>
    </w:p>
    <w:p>
      <w:pPr>
        <w:spacing w:after="0" w:line="185" w:lineRule="auto"/>
        <w:framePr w:w="620" w:h="160" w:wrap="auto" w:vAnchor="page" w:hAnchor="page" w:x="300" w:y="3881"/>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5(d)</w:t>
      </w:r>
    </w:p>
    <w:p>
      <w:pPr>
        <w:spacing w:after="0" w:line="185" w:lineRule="auto"/>
        <w:framePr w:w="500" w:h="160" w:wrap="auto" w:vAnchor="page" w:hAnchor="page" w:x="300" w:y="430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6+</w:t>
      </w:r>
    </w:p>
    <w:p>
      <w:pPr>
        <w:spacing w:after="0" w:line="185" w:lineRule="auto"/>
        <w:framePr w:w="500" w:h="160" w:wrap="auto" w:vAnchor="page" w:hAnchor="page" w:x="300" w:y="4759"/>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7+</w:t>
      </w:r>
    </w:p>
    <w:p>
      <w:pPr>
        <w:spacing w:after="0" w:line="185" w:lineRule="auto"/>
        <w:framePr w:w="700" w:h="160" w:wrap="auto" w:vAnchor="page" w:hAnchor="page" w:x="300" w:y="5218"/>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10.8(a)+</w:t>
        </w:r>
      </w:hyperlink>
    </w:p>
    <w:p>
      <w:pPr>
        <w:spacing w:after="0" w:line="185" w:lineRule="auto"/>
        <w:framePr w:w="500" w:h="160" w:wrap="auto" w:vAnchor="page" w:hAnchor="page" w:x="300" w:y="5677"/>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9+</w:t>
      </w:r>
    </w:p>
    <w:p>
      <w:pPr>
        <w:spacing w:after="0" w:line="185" w:lineRule="auto"/>
        <w:framePr w:w="700" w:h="160" w:wrap="auto" w:vAnchor="page" w:hAnchor="page" w:x="300" w:y="5933"/>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10.9(a)+</w:t>
        </w:r>
      </w:hyperlink>
    </w:p>
    <w:p>
      <w:pPr>
        <w:spacing w:after="0" w:line="185" w:lineRule="auto"/>
        <w:framePr w:w="720" w:h="160" w:wrap="auto" w:vAnchor="page" w:hAnchor="page" w:x="300" w:y="6392"/>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10.9(b)+</w:t>
        </w:r>
      </w:hyperlink>
    </w:p>
    <w:p>
      <w:pPr>
        <w:spacing w:after="0" w:line="185" w:lineRule="auto"/>
        <w:framePr w:w="700" w:h="160" w:wrap="auto" w:vAnchor="page" w:hAnchor="page" w:x="300" w:y="6851"/>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10.9(c)+</w:t>
        </w:r>
      </w:hyperlink>
    </w:p>
    <w:p>
      <w:pPr>
        <w:spacing w:after="0" w:line="185" w:lineRule="auto"/>
        <w:framePr w:w="600" w:h="160" w:wrap="auto" w:vAnchor="page" w:hAnchor="page" w:x="300" w:y="731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10+</w:t>
      </w:r>
    </w:p>
    <w:p>
      <w:pPr>
        <w:spacing w:after="0" w:line="196" w:lineRule="auto"/>
        <w:framePr w:w="480" w:h="160" w:wrap="auto" w:vAnchor="page" w:hAnchor="page" w:x="300" w:y="7769"/>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10.11</w:t>
        </w:r>
      </w:hyperlink>
    </w:p>
    <w:p>
      <w:pPr>
        <w:spacing w:after="0" w:line="185" w:lineRule="auto"/>
        <w:framePr w:w="600" w:h="160" w:wrap="auto" w:vAnchor="page" w:hAnchor="page" w:x="300" w:y="8228"/>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12+</w:t>
      </w:r>
    </w:p>
    <w:p>
      <w:pPr>
        <w:spacing w:after="0" w:line="185" w:lineRule="auto"/>
        <w:framePr w:w="600" w:h="160" w:wrap="auto" w:vAnchor="page" w:hAnchor="page" w:x="300" w:y="8687"/>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13+</w:t>
      </w:r>
    </w:p>
    <w:p>
      <w:pPr>
        <w:spacing w:after="0" w:line="185" w:lineRule="auto"/>
        <w:framePr w:w="600" w:h="160" w:wrap="auto" w:vAnchor="page" w:hAnchor="page" w:x="300" w:y="9146"/>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14+</w:t>
      </w:r>
    </w:p>
    <w:p>
      <w:pPr>
        <w:spacing w:after="0" w:line="185" w:lineRule="auto"/>
        <w:framePr w:w="600" w:h="160" w:wrap="auto" w:vAnchor="page" w:hAnchor="page" w:x="300" w:y="9403"/>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15+</w:t>
      </w:r>
    </w:p>
    <w:p>
      <w:pPr>
        <w:spacing w:after="0" w:line="185" w:lineRule="auto"/>
        <w:framePr w:w="600" w:h="160" w:wrap="auto" w:vAnchor="page" w:hAnchor="page" w:x="300" w:y="9862"/>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16+</w:t>
      </w:r>
    </w:p>
    <w:p>
      <w:pPr>
        <w:spacing w:after="0" w:line="185" w:lineRule="auto"/>
        <w:framePr w:w="500" w:h="160" w:wrap="auto" w:vAnchor="page" w:hAnchor="page" w:x="300" w:y="10321"/>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17</w:t>
      </w:r>
    </w:p>
    <w:p>
      <w:pPr>
        <w:spacing w:after="0" w:line="185" w:lineRule="auto"/>
        <w:framePr w:w="500" w:h="160" w:wrap="auto" w:vAnchor="page" w:hAnchor="page" w:x="300" w:y="1078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18</w:t>
      </w:r>
    </w:p>
    <w:p>
      <w:pPr>
        <w:spacing w:after="0" w:line="185" w:lineRule="auto"/>
        <w:framePr w:w="600" w:h="160" w:wrap="auto" w:vAnchor="page" w:hAnchor="page" w:x="300" w:y="11239"/>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10.19+</w:t>
        </w:r>
      </w:hyperlink>
    </w:p>
    <w:p>
      <w:pPr>
        <w:spacing w:after="0" w:line="231" w:lineRule="auto"/>
        <w:framePr w:w="4340" w:h="376" w:wrap="auto" w:vAnchor="page" w:hAnchor="page" w:x="1360" w:y="2923"/>
        <w:rPr>
          <w:rFonts w:ascii="Times New Roman" w:cs="Times New Roman" w:eastAsia="Times New Roman" w:hAnsi="Times New Roman"/>
          <w:sz w:val="17"/>
          <w:szCs w:val="17"/>
          <w:u w:val="single" w:color="auto"/>
          <w:color w:val="0000FF"/>
        </w:rPr>
      </w:pPr>
      <w:hyperlink r:id="rId175">
        <w:r>
          <w:rPr>
            <w:rFonts w:ascii="Times New Roman" w:cs="Times New Roman" w:eastAsia="Times New Roman" w:hAnsi="Times New Roman"/>
            <w:sz w:val="17"/>
            <w:szCs w:val="17"/>
            <w:u w:val="single" w:color="auto"/>
            <w:color w:val="0000FF"/>
          </w:rPr>
          <w:t>Second Amendment to NNN Lease, dated March 27, 2018,</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by and between Ouster, Inc. and SIC-350 Treat, LLC</w:t>
        </w:r>
      </w:hyperlink>
    </w:p>
    <w:p>
      <w:pPr>
        <w:spacing w:after="0" w:line="185" w:lineRule="auto"/>
        <w:framePr w:w="620" w:h="160" w:wrap="auto" w:vAnchor="page" w:hAnchor="page" w:x="300" w:y="2909"/>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10.5(b)</w:t>
        </w:r>
      </w:hyperlink>
    </w:p>
    <w:p>
      <w:pPr>
        <w:spacing w:after="0" w:line="218" w:lineRule="auto"/>
        <w:framePr w:w="3720" w:h="376" w:wrap="auto" w:vAnchor="page" w:hAnchor="page" w:x="1360" w:y="1532"/>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2018, by and between Ouster, Inc. and Benchmark</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Electronics, Inc.</w:t>
        </w:r>
      </w:hyperlink>
    </w:p>
    <w:p>
      <w:pPr>
        <w:spacing w:after="0" w:line="194" w:lineRule="auto"/>
        <w:framePr w:w="400" w:h="160" w:wrap="auto" w:vAnchor="page" w:hAnchor="page" w:x="300" w:y="2005"/>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10.5</w:t>
        </w:r>
      </w:hyperlink>
    </w:p>
    <w:p>
      <w:pPr>
        <w:spacing w:after="0" w:line="194" w:lineRule="auto"/>
        <w:framePr w:w="4040" w:h="336" w:wrap="auto" w:vAnchor="page" w:hAnchor="page" w:x="1360" w:y="2005"/>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NNN Lease, dated September 1, 2017, by and between</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Ouster, Inc. and SIC-350 Treat, LLC</w:t>
        </w:r>
      </w:hyperlink>
    </w:p>
    <w:p>
      <w:pPr>
        <w:spacing w:after="0" w:line="218" w:lineRule="auto"/>
        <w:framePr w:w="600" w:h="160" w:wrap="auto" w:vAnchor="page" w:hAnchor="page" w:x="300" w:y="2423"/>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10.5(a)</w:t>
        </w:r>
      </w:hyperlink>
    </w:p>
    <w:p>
      <w:pPr>
        <w:spacing w:after="0" w:line="218" w:lineRule="auto"/>
        <w:framePr w:w="4360" w:h="376" w:wrap="auto" w:vAnchor="page" w:hAnchor="page" w:x="1360" w:y="2437"/>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First Amendment to NNN Lease, dated January 1, 2018, by</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and between Ouster, Inc. and SIC-350 Treat, LLC</w:t>
        </w:r>
      </w:hyperlink>
    </w:p>
    <w:p>
      <w:pPr>
        <w:spacing w:after="0" w:line="185" w:lineRule="auto"/>
        <w:framePr w:w="4220" w:h="160" w:wrap="auto" w:vAnchor="page" w:hAnchor="page" w:x="1360" w:y="1316"/>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Manufacturing Services Agreement, dated as of March 5,</w:t>
        </w:r>
      </w:hyperlink>
    </w:p>
    <w:p>
      <w:pPr>
        <w:spacing w:after="0" w:line="185" w:lineRule="auto"/>
        <w:framePr w:w="500" w:h="160" w:wrap="auto" w:vAnchor="page" w:hAnchor="page" w:x="300" w:y="1303"/>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10.4#</w:t>
        </w:r>
      </w:hyperlink>
    </w:p>
    <w:p>
      <w:pPr>
        <w:spacing w:after="0" w:line="218" w:lineRule="auto"/>
        <w:framePr w:w="4500" w:h="376" w:wrap="auto" w:vAnchor="page" w:hAnchor="page" w:x="1360" w:y="3409"/>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Third Amendment to NNN Lease, dated November 15, 2021,</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by and between Ouster, Inc. and SIC-350 Treat, LLC</w:t>
        </w:r>
      </w:hyperlink>
    </w:p>
    <w:p>
      <w:pPr>
        <w:spacing w:after="0" w:line="206" w:lineRule="auto"/>
        <w:framePr w:w="4340" w:h="336" w:wrap="auto" w:vAnchor="page" w:hAnchor="page" w:x="1360" w:y="3881"/>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Fourth Amendment to NNN Lease, dated November 15,</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2021, by and between Ouster, Inc. and SIC-350 Treat, LLC</w:t>
        </w:r>
      </w:hyperlink>
    </w:p>
    <w:p>
      <w:pPr>
        <w:spacing w:after="0" w:line="210" w:lineRule="auto"/>
        <w:framePr w:w="3980" w:h="363" w:wrap="auto" w:vAnchor="page" w:hAnchor="page" w:x="1360" w:y="430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Third Amended and Restated Non-Employee Director</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Compensation Program</w:t>
        </w:r>
      </w:hyperlink>
    </w:p>
    <w:p>
      <w:pPr>
        <w:spacing w:after="0" w:line="210" w:lineRule="auto"/>
        <w:framePr w:w="3860" w:h="363" w:wrap="auto" w:vAnchor="page" w:hAnchor="page" w:x="1360" w:y="4759"/>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Sense Photonics, Inc. 2017 Equity Incentive Plan, as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amended</w:t>
        </w:r>
      </w:hyperlink>
    </w:p>
    <w:p>
      <w:pPr>
        <w:spacing w:after="0" w:line="210" w:lineRule="auto"/>
        <w:framePr w:w="4500" w:h="363" w:wrap="auto" w:vAnchor="page" w:hAnchor="page" w:x="1360" w:y="5218"/>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Form of Stock Option Agreement under the Sense Photonics,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Inc. 2017 Equity Incentive Plan, as amended</w:t>
        </w:r>
      </w:hyperlink>
    </w:p>
    <w:p>
      <w:pPr>
        <w:spacing w:after="0" w:line="196" w:lineRule="auto"/>
        <w:framePr w:w="3860" w:h="160" w:wrap="auto" w:vAnchor="page" w:hAnchor="page" w:x="1360" w:y="5677"/>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7"/>
            <w:szCs w:val="17"/>
            <w:u w:val="single" w:color="auto"/>
            <w:color w:val="0000FF"/>
          </w:rPr>
          <w:t>Ouster, Inc. Amended and Restated 2015 Stock Plan</w:t>
        </w:r>
      </w:hyperlink>
    </w:p>
    <w:p>
      <w:pPr>
        <w:spacing w:after="0" w:line="210" w:lineRule="auto"/>
        <w:framePr w:w="4280" w:h="363" w:wrap="auto" w:vAnchor="page" w:hAnchor="page" w:x="1360" w:y="5933"/>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Form of Stock Option Agreement under the Amended and</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Restated 2015 Stock Plan</w:t>
        </w:r>
      </w:hyperlink>
    </w:p>
    <w:p>
      <w:pPr>
        <w:spacing w:after="0" w:line="210" w:lineRule="auto"/>
        <w:framePr w:w="4320" w:h="363" w:wrap="auto" w:vAnchor="page" w:hAnchor="page" w:x="1360" w:y="6392"/>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Form of Early Exercise Stock Option Agreement under the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Amended and Restated 2015 Stock Plan</w:t>
        </w:r>
      </w:hyperlink>
    </w:p>
    <w:p>
      <w:pPr>
        <w:spacing w:after="0" w:line="210" w:lineRule="auto"/>
        <w:framePr w:w="3820" w:h="363" w:wrap="auto" w:vAnchor="page" w:hAnchor="page" w:x="1360" w:y="6851"/>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Form of Restricted Stock Unit Agreement under the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Amended and Restated 2015 Stock Plan</w:t>
        </w:r>
      </w:hyperlink>
    </w:p>
    <w:p>
      <w:pPr>
        <w:spacing w:after="0" w:line="210" w:lineRule="auto"/>
        <w:framePr w:w="4260" w:h="363" w:wrap="auto" w:vAnchor="page" w:hAnchor="page" w:x="1360" w:y="731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Ouster, Inc. Amended and Restated 2022 Employee Stock</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Purchase Plan</w:t>
        </w:r>
      </w:hyperlink>
    </w:p>
    <w:p>
      <w:pPr>
        <w:spacing w:after="0" w:line="210" w:lineRule="auto"/>
        <w:framePr w:w="4360" w:h="363" w:wrap="auto" w:vAnchor="page" w:hAnchor="page" w:x="1360" w:y="7769"/>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At Market Issuance Sales Agreement, dated May 12, 2025,</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by and between the Company and Oppenheimer &amp; Co. Inc.</w:t>
        </w:r>
      </w:hyperlink>
    </w:p>
    <w:p>
      <w:pPr>
        <w:spacing w:after="0" w:line="210" w:lineRule="auto"/>
        <w:framePr w:w="4540" w:h="363" w:wrap="auto" w:vAnchor="page" w:hAnchor="page" w:x="1360" w:y="8228"/>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Offer Letter, by and between Ouster, Inc. and Darien Spencer,</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dated July 25, 2017</w:t>
        </w:r>
      </w:hyperlink>
    </w:p>
    <w:p>
      <w:pPr>
        <w:spacing w:after="0" w:line="222" w:lineRule="auto"/>
        <w:framePr w:w="4520" w:h="363" w:wrap="auto" w:vAnchor="page" w:hAnchor="page" w:x="1360" w:y="8687"/>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Executive Employment Agreement by and between Velodyne</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Lidar, Inc. and Mark Weinswig, dated May 3, 2022</w:t>
        </w:r>
      </w:hyperlink>
    </w:p>
    <w:p>
      <w:pPr>
        <w:spacing w:after="0" w:line="196" w:lineRule="auto"/>
        <w:framePr w:w="3560" w:h="160" w:wrap="auto" w:vAnchor="page" w:hAnchor="page" w:x="1360" w:y="9146"/>
        <w:rPr>
          <w:rFonts w:ascii="Times New Roman" w:cs="Times New Roman" w:eastAsia="Times New Roman" w:hAnsi="Times New Roman"/>
          <w:sz w:val="17"/>
          <w:szCs w:val="17"/>
          <w:u w:val="single" w:color="auto"/>
          <w:color w:val="0000FF"/>
        </w:rPr>
      </w:pPr>
      <w:hyperlink r:id="rId169">
        <w:r>
          <w:rPr>
            <w:rFonts w:ascii="Times New Roman" w:cs="Times New Roman" w:eastAsia="Times New Roman" w:hAnsi="Times New Roman"/>
            <w:sz w:val="17"/>
            <w:szCs w:val="17"/>
            <w:u w:val="single" w:color="auto"/>
            <w:color w:val="0000FF"/>
          </w:rPr>
          <w:t>Velodyne Lidar, Inc. 2020 Equity Incentive Plan</w:t>
        </w:r>
      </w:hyperlink>
    </w:p>
    <w:p>
      <w:pPr>
        <w:spacing w:after="0" w:line="210" w:lineRule="auto"/>
        <w:framePr w:w="4420" w:h="363" w:wrap="auto" w:vAnchor="page" w:hAnchor="page" w:x="1360" w:y="9403"/>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Form of Stock Option Agreement under the Velodyne Lidar,</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Inc. 2020 Equity Incentive Plan</w:t>
        </w:r>
      </w:hyperlink>
    </w:p>
    <w:p>
      <w:pPr>
        <w:spacing w:after="0" w:line="222" w:lineRule="auto"/>
        <w:framePr w:w="3820" w:h="363" w:wrap="auto" w:vAnchor="page" w:hAnchor="page" w:x="1360" w:y="9862"/>
        <w:rPr>
          <w:rFonts w:ascii="Times New Roman" w:cs="Times New Roman" w:eastAsia="Times New Roman" w:hAnsi="Times New Roman"/>
          <w:sz w:val="17"/>
          <w:szCs w:val="17"/>
          <w:u w:val="single" w:color="auto"/>
          <w:color w:val="0000FF"/>
        </w:rPr>
      </w:pPr>
      <w:hyperlink r:id="rId171">
        <w:r>
          <w:rPr>
            <w:rFonts w:ascii="Times New Roman" w:cs="Times New Roman" w:eastAsia="Times New Roman" w:hAnsi="Times New Roman"/>
            <w:sz w:val="17"/>
            <w:szCs w:val="17"/>
            <w:u w:val="single" w:color="auto"/>
            <w:color w:val="0000FF"/>
          </w:rPr>
          <w:t>Form of Restricted Stock Unit Agreement under the</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Velodyne Lidar, Inc. 2020 Equity Incentive Plan</w:t>
        </w:r>
      </w:hyperlink>
    </w:p>
    <w:p>
      <w:pPr>
        <w:spacing w:after="0" w:line="210" w:lineRule="auto"/>
        <w:framePr w:w="4500" w:h="363" w:wrap="auto" w:vAnchor="page" w:hAnchor="page" w:x="1360" w:y="10321"/>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Transaction Agreement, by and between Velodyne Lidar, Inc.</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and Amazon.com, Inc., dated as of February 4, 2022</w:t>
        </w:r>
      </w:hyperlink>
    </w:p>
    <w:p>
      <w:pPr>
        <w:spacing w:after="0" w:line="210" w:lineRule="auto"/>
        <w:framePr w:w="4140" w:h="363" w:wrap="auto" w:vAnchor="page" w:hAnchor="page" w:x="1360" w:y="1078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Ouster, Inc. Executive Change in Control and Severance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Plan, Effective November 4, 2024</w:t>
        </w:r>
      </w:hyperlink>
    </w:p>
    <w:p>
      <w:pPr>
        <w:spacing w:after="0" w:line="210" w:lineRule="auto"/>
        <w:framePr w:w="4540" w:h="363" w:wrap="auto" w:vAnchor="page" w:hAnchor="page" w:x="1360" w:y="11239"/>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Form of Participation Agreement for the Executive Change in</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Control and Severance Plan</w:t>
        </w:r>
      </w:hyperlink>
    </w:p>
    <w:p>
      <w:pPr>
        <w:spacing w:after="0" w:line="196" w:lineRule="auto"/>
        <w:framePr w:w="1440" w:h="160" w:wrap="auto" w:vAnchor="page" w:hAnchor="page" w:x="280" w:y="223"/>
        <w:rPr>
          <w:rFonts w:ascii="Times New Roman" w:cs="Times New Roman" w:eastAsia="Times New Roman" w:hAnsi="Times New Roman"/>
          <w:sz w:val="17"/>
          <w:szCs w:val="17"/>
          <w:b w:val="1"/>
          <w:bCs w:val="1"/>
          <w:u w:val="single" w:color="auto"/>
          <w:color w:val="0000FF"/>
        </w:rPr>
      </w:pPr>
      <w:hyperlink r:id="rId82">
        <w:r>
          <w:rPr>
            <w:rFonts w:ascii="Times New Roman" w:cs="Times New Roman" w:eastAsia="Times New Roman" w:hAnsi="Times New Roman"/>
            <w:sz w:val="17"/>
            <w:szCs w:val="17"/>
            <w:b w:val="1"/>
            <w:bCs w:val="1"/>
            <w:u w:val="single" w:color="auto"/>
            <w:color w:val="0000FF"/>
          </w:rPr>
          <w:t>Table of Contents</w:t>
        </w:r>
      </w:hyperlink>
    </w:p>
    <w:tbl>
      <w:tblPr>
        <w:tblLayout w:type="fixed"/>
        <w:tblInd w:w="4720" w:type="dxa"/>
        <w:tblCellMar>
          <w:top w:w="0" w:type="dxa"/>
          <w:left w:w="0" w:type="dxa"/>
          <w:bottom w:w="0" w:type="dxa"/>
          <w:right w:w="0" w:type="dxa"/>
        </w:tblCellMar>
      </w:tblPr>
      <w:tr>
        <w:trPr>
          <w:trHeight w:val="210"/>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S-4</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12/22/2020</w:t>
            </w:r>
          </w:p>
        </w:tc>
      </w:tr>
      <w:tr>
        <w:trPr>
          <w:trHeight w:val="702"/>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S-4/A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18"/>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S-4/A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10.14(a)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86"/>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S-4/A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10.14(b)</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86"/>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10.6(c)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2/28/2022</w:t>
            </w:r>
          </w:p>
        </w:tc>
      </w:tr>
      <w:tr>
        <w:trPr>
          <w:trHeight w:val="486"/>
        </w:trPr>
        <w:tc>
          <w:tcPr>
            <w:tcW w:w="8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10.6(d)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12/19/2025</w:t>
            </w:r>
          </w:p>
        </w:tc>
      </w:tr>
      <w:tr>
        <w:trPr>
          <w:trHeight w:val="418"/>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5/13/2024</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333-260576</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99.1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10/29/2021</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10.9(a)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2/28/2022</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4/2/2021</w:t>
            </w:r>
          </w:p>
        </w:tc>
      </w:tr>
      <w:tr>
        <w:trPr>
          <w:trHeight w:val="257"/>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10.9(a)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4/2/2021</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10.9(b)</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4/2/2021</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10.9(c)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4/2/2021</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DEF14A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Annex 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4/25/2024</w:t>
            </w:r>
          </w:p>
        </w:tc>
      </w:tr>
      <w:tr>
        <w:trPr>
          <w:trHeight w:val="459"/>
        </w:trPr>
        <w:tc>
          <w:tcPr>
            <w:tcW w:w="8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01-39463</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5/12/2025</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11/8/2022</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11/9/2022</w:t>
            </w:r>
          </w:p>
        </w:tc>
      </w:tr>
      <w:tr>
        <w:trPr>
          <w:trHeight w:val="459"/>
        </w:trPr>
        <w:tc>
          <w:tcPr>
            <w:tcW w:w="8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10/5/2020</w:t>
            </w:r>
          </w:p>
        </w:tc>
      </w:tr>
      <w:tr>
        <w:trPr>
          <w:trHeight w:val="257"/>
        </w:trPr>
        <w:tc>
          <w:tcPr>
            <w:tcW w:w="8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10/5/2020</w:t>
            </w:r>
          </w:p>
        </w:tc>
      </w:tr>
      <w:tr>
        <w:trPr>
          <w:trHeight w:val="459"/>
        </w:trPr>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333-269748</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99.1(b)</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2/14/2023</w:t>
            </w:r>
          </w:p>
        </w:tc>
      </w:tr>
      <w:tr>
        <w:trPr>
          <w:trHeight w:val="459"/>
        </w:trPr>
        <w:tc>
          <w:tcPr>
            <w:tcW w:w="8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2/7/2022</w:t>
            </w:r>
          </w:p>
        </w:tc>
      </w:tr>
      <w:tr>
        <w:trPr>
          <w:trHeight w:val="459"/>
        </w:trPr>
        <w:tc>
          <w:tcPr>
            <w:tcW w:w="8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11/5/2024</w:t>
            </w:r>
          </w:p>
        </w:tc>
      </w:tr>
      <w:tr>
        <w:trPr>
          <w:trHeight w:val="459"/>
        </w:trPr>
        <w:tc>
          <w:tcPr>
            <w:tcW w:w="8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11/5/2024</w:t>
            </w:r>
          </w:p>
        </w:tc>
      </w:tr>
    </w:tbl>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92" w:lineRule="exact"/>
        <w:rPr>
          <w:rFonts w:ascii="Times New Roman" w:cs="Times New Roman" w:eastAsia="Times New Roman" w:hAnsi="Times New Roman"/>
          <w:sz w:val="17"/>
          <w:szCs w:val="17"/>
          <w:b w:val="1"/>
          <w:bCs w:val="1"/>
          <w:u w:val="single" w:color="auto"/>
          <w:color w:val="0000FF"/>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3"/>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20+</w:t>
            </w:r>
          </w:p>
        </w:tc>
        <w:tc>
          <w:tcPr>
            <w:tcW w:w="4660" w:type="dxa"/>
            <w:vAlign w:val="bottom"/>
            <w:gridSpan w:val="1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Offer Letter between Kenneth P. Gianella and the Company,</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001-39463</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10.1</w:t>
            </w:r>
          </w:p>
        </w:tc>
        <w:tc>
          <w:tcPr>
            <w:tcW w:w="19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4/29/2025</w:t>
            </w:r>
          </w:p>
        </w:tc>
      </w:tr>
      <w:tr>
        <w:trPr>
          <w:trHeight w:val="183"/>
        </w:trPr>
        <w:tc>
          <w:tcPr>
            <w:tcW w:w="3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434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dated April 25, 2025</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Insider Trading Compliance Policy</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37"/>
        </w:trPr>
        <w:tc>
          <w:tcPr>
            <w:tcW w:w="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1120" w:type="dxa"/>
            <w:vAlign w:val="bottom"/>
            <w:tcBorders>
              <w:top w:val="single" w:sz="8" w:color="0000FF"/>
            </w:tcBorders>
            <w:gridSpan w:val="4"/>
          </w:tcPr>
          <w:p>
            <w:pPr>
              <w:spacing w:after="0"/>
              <w:rPr>
                <w:sz w:val="20"/>
                <w:szCs w:val="20"/>
                <w:color w:val="auto"/>
              </w:rPr>
            </w:pPr>
          </w:p>
        </w:tc>
        <w:tc>
          <w:tcPr>
            <w:tcW w:w="2140" w:type="dxa"/>
            <w:vAlign w:val="bottom"/>
            <w:gridSpan w:val="11"/>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3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13a-14(a)/15d-14(a) under the Securities Exchange Act of</w:t>
            </w:r>
          </w:p>
        </w:tc>
        <w:tc>
          <w:tcPr>
            <w:tcW w:w="2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90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13a-14(a)/15d-14(a) under the Securities Exchange Act of</w:t>
            </w: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900" w:type="dxa"/>
            <w:vAlign w:val="bottom"/>
            <w:tcBorders>
              <w:top w:val="single" w:sz="8" w:color="0000FF"/>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1960" w:type="dxa"/>
            <w:vAlign w:val="bottom"/>
            <w:tcBorders>
              <w:top w:val="single" w:sz="8" w:color="0000FF"/>
            </w:tcBorders>
            <w:gridSpan w:val="8"/>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3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2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40" w:type="dxa"/>
            <w:vAlign w:val="bottom"/>
            <w:tcBorders>
              <w:top w:val="single" w:sz="8" w:color="0000FF"/>
            </w:tcBorders>
            <w:gridSpan w:val="5"/>
          </w:tcPr>
          <w:p>
            <w:pPr>
              <w:spacing w:after="0"/>
              <w:rPr>
                <w:sz w:val="15"/>
                <w:szCs w:val="15"/>
                <w:color w:val="auto"/>
              </w:rPr>
            </w:pPr>
          </w:p>
        </w:tc>
        <w:tc>
          <w:tcPr>
            <w:tcW w:w="360" w:type="dxa"/>
            <w:vAlign w:val="bottom"/>
            <w:gridSpan w:val="6"/>
          </w:tcPr>
          <w:p>
            <w:pPr>
              <w:spacing w:after="0"/>
              <w:rPr>
                <w:sz w:val="15"/>
                <w:szCs w:val="15"/>
                <w:color w:val="auto"/>
              </w:rPr>
            </w:pPr>
          </w:p>
        </w:tc>
        <w:tc>
          <w:tcPr>
            <w:tcW w:w="3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37"/>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81">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200" w:type="dxa"/>
            <w:vAlign w:val="bottom"/>
            <w:tcBorders>
              <w:bottom w:val="single" w:sz="8" w:color="0000FF"/>
            </w:tcBorders>
          </w:tcPr>
          <w:p>
            <w:pPr>
              <w:spacing w:after="0"/>
              <w:rPr>
                <w:sz w:val="20"/>
                <w:szCs w:val="20"/>
                <w:color w:val="auto"/>
              </w:rPr>
            </w:pPr>
          </w:p>
        </w:tc>
        <w:tc>
          <w:tcPr>
            <w:tcW w:w="540" w:type="dxa"/>
            <w:vAlign w:val="bottom"/>
            <w:tcBorders>
              <w:bottom w:val="single" w:sz="8" w:color="0000FF"/>
            </w:tcBorders>
          </w:tcPr>
          <w:p>
            <w:pPr>
              <w:spacing w:after="0"/>
              <w:rPr>
                <w:sz w:val="20"/>
                <w:szCs w:val="20"/>
                <w:color w:val="auto"/>
              </w:rPr>
            </w:pPr>
          </w:p>
        </w:tc>
        <w:tc>
          <w:tcPr>
            <w:tcW w:w="43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Policy for Recovery of Erroneously Awarded Compensation</w:t>
              </w:r>
            </w:hyperlink>
          </w:p>
        </w:tc>
        <w:tc>
          <w:tcPr>
            <w:tcW w:w="300" w:type="dxa"/>
            <w:vAlign w:val="bottom"/>
            <w:gridSpan w:val="2"/>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001-39463</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97.1</w:t>
            </w:r>
          </w:p>
        </w:tc>
        <w:tc>
          <w:tcPr>
            <w:tcW w:w="19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3/28/2024</w:t>
            </w:r>
          </w:p>
        </w:tc>
      </w:tr>
      <w:tr>
        <w:trPr>
          <w:trHeight w:val="245"/>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25"/>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5"/>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25"/>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ind w:left="560" w:right="900" w:hanging="534"/>
        <w:spacing w:after="0" w:line="281" w:lineRule="auto"/>
        <w:tabs>
          <w:tab w:leader="none" w:pos="5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pacing w:after="0" w:line="1" w:lineRule="exact"/>
        <w:rPr>
          <w:sz w:val="20"/>
          <w:szCs w:val="20"/>
          <w:color w:val="auto"/>
        </w:rPr>
      </w:pPr>
    </w:p>
    <w:p>
      <w:pPr>
        <w:ind w:left="560" w:hanging="534"/>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pursuant to Regulation S-K, Item 601(b)(10).</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a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98" w:right="81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78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Ouster, Inc.</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P. Gianella</w:t>
            </w:r>
          </w:p>
        </w:tc>
      </w:tr>
      <w:tr>
        <w:trPr>
          <w:trHeight w:val="218"/>
        </w:trPr>
        <w:tc>
          <w:tcPr>
            <w:tcW w:w="3360" w:type="dxa"/>
            <w:vAlign w:val="bottom"/>
          </w:tcPr>
          <w:p>
            <w:pPr>
              <w:spacing w:after="0"/>
              <w:rPr>
                <w:sz w:val="18"/>
                <w:szCs w:val="18"/>
                <w:color w:val="auto"/>
              </w:rPr>
            </w:pP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P. Gianella</w:t>
            </w:r>
          </w:p>
        </w:tc>
      </w:tr>
      <w:tr>
        <w:trPr>
          <w:trHeight w:val="203"/>
        </w:trPr>
        <w:tc>
          <w:tcPr>
            <w:tcW w:w="33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r>
      <w:tr>
        <w:trPr>
          <w:trHeight w:val="261"/>
        </w:trPr>
        <w:tc>
          <w:tcPr>
            <w:tcW w:w="3360" w:type="dxa"/>
            <w:vAlign w:val="bottom"/>
          </w:tcPr>
          <w:p>
            <w:pPr>
              <w:spacing w:after="0"/>
              <w:rPr>
                <w:sz w:val="22"/>
                <w:szCs w:val="22"/>
                <w:color w:val="auto"/>
              </w:rPr>
            </w:pP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Angus Pacala</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Co-Founder and Chief Executive Officer (Principal Executive</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46"/>
        </w:trPr>
        <w:tc>
          <w:tcPr>
            <w:tcW w:w="3240" w:type="dxa"/>
            <w:vAlign w:val="bottom"/>
            <w:tcBorders>
              <w:bottom w:val="single" w:sz="8" w:color="auto"/>
            </w:tcBorders>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Angus Pacala</w:t>
            </w:r>
          </w:p>
        </w:tc>
        <w:tc>
          <w:tcPr>
            <w:tcW w:w="5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Kenneth P. Gianella</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46"/>
        </w:trPr>
        <w:tc>
          <w:tcPr>
            <w:tcW w:w="3240" w:type="dxa"/>
            <w:vAlign w:val="bottom"/>
            <w:tcBorders>
              <w:bottom w:val="single" w:sz="8" w:color="auto"/>
            </w:tcBorders>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Kenneth P. Gianella</w:t>
            </w:r>
          </w:p>
        </w:tc>
        <w:tc>
          <w:tcPr>
            <w:tcW w:w="5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Theodore L. Tewksbury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Theodore L. Tewksbury, Ph.D.</w:t>
            </w:r>
          </w:p>
        </w:tc>
        <w:tc>
          <w:tcPr>
            <w:tcW w:w="5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Virginia Boulet</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Virginia Boulet</w:t>
            </w:r>
          </w:p>
        </w:tc>
        <w:tc>
          <w:tcPr>
            <w:tcW w:w="5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Phillip M. Eyler</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Phillip M. Eyler</w:t>
            </w:r>
          </w:p>
        </w:tc>
        <w:tc>
          <w:tcPr>
            <w:tcW w:w="5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Susan Heystee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Chair of the Board of Directors</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Susan Heystee</w:t>
            </w:r>
          </w:p>
        </w:tc>
        <w:tc>
          <w:tcPr>
            <w:tcW w:w="5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Ernest Maddock</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Ernest Maddock</w:t>
            </w:r>
          </w:p>
        </w:tc>
        <w:tc>
          <w:tcPr>
            <w:tcW w:w="5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Stephen A. Skaggs</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Stephen A. Skaggs</w:t>
            </w:r>
          </w:p>
        </w:tc>
        <w:tc>
          <w:tcPr>
            <w:tcW w:w="5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Christina C. Correia</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March 2, 2026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Christina C. Correia</w:t>
            </w:r>
          </w:p>
        </w:tc>
        <w:tc>
          <w:tcPr>
            <w:tcW w:w="5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198" w:right="3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terms of our capital stock and warrants is not complete and is qualified in its entirety by reference to our Certificate of Incorporation, as amended (the “Certificate of Incorporation”), our Second Amended and Restated Bylaws (the “Bylaws”) and the warrant agreements, all of which are attached as exhibits to our Annual Report on Form 10-K. References to “our”, “we”, “us”, the “Company”, and “Ouster” refer to Ouster,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amount of our authorized capital stock consists of 100,000,000 shares of common stock, par value $0.0001 per share, and 100,000,000 shares of preferred stock, par value $0.0001 per share.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(the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our common stock is entitled to one vote per share on each matter submitted to a vote of stockholders, as provided by the Certificate of Incorporation. The Bylaws provide that the holders of one-third (1/3) in voting power of the stock issued and outstanding and entitled to vote, present in person, or by remote communication, if applicable, or represented by proxy, shall constitute a quorum for the transaction of business. When a quorum is present, the affirmative vote of a majority of the votes cast (excluding abstentions and broker non-votes) is required to take action, unless otherwise specified by law, the Bylaws or the Certificate of Incorporation, and except for the election of directors, which is determined by a plurality vote. There are no cumulative voting rights.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holder of shares of our capital stock is entitled to the payment of dividends and other distributions as may be declared by Board from time to time out of our assets or funds legally available for dividends or other distributions.</w:t>
      </w:r>
    </w:p>
    <w:p>
      <w:pPr>
        <w:sectPr>
          <w:pgSz w:w="11900" w:h="16838" w:orient="portrait"/>
          <w:cols w:equalWidth="0" w:num="1">
            <w:col w:w="11240"/>
          </w:cols>
          <w:pgMar w:left="320" w:top="1413" w:right="339" w:bottom="1440" w:gutter="0" w:footer="0" w:header="0"/>
        </w:sectPr>
      </w:pPr>
    </w:p>
    <w:bookmarkStart w:id="106" w:name="page107"/>
    <w:bookmarkEnd w:id="10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rights are subject to the preferential rights of the holders of our preferred stock, if any, and any contractual limitations on our ability to declare and pay dividends.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rights of each holder of our common stock are subject to, and may be adversely affected by, the rights of the holders of any series of our preferred stock that we may designate and issue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the Certificate of Incorporation and the Bylaws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a special meeting of stockholders may be called by (a) the Chairperson of the Board, (b) the Board, (c) our Chief Executive Officer or (d) our President, provided that such special meeting may be postponed, rescheduled or cancelled by the Board or other person calling the special meeting.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provides that any action required or permitted to be taken by our stockholders must be effected at an annual or special meeting of the stockholders, and may not be taken by written consent in lieu of a meeting.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 and Vacancies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 and the requirements for amendments to our Certificate of Incorporation (Article XIII).</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jurisdiction provisions of the Certificate of Incorporation and (b) service of process on such stockholder’s counsel.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Exchange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are listed on The Nasdaq Global Select Market under the symbol “OUST.”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Ouster’s 2026 Public Warrants (Nasdaq Capital Market: OUSTZ)</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2026 public warrants refers to the Company’s warrants that were offered and sold in the Company’s initial public offering pursuant to a registration statement. Each ten (10) 2026 public warrants entitles the registered holder to purchase one share of our common stock at a price of $115.00 per share, subject to adjustment as discussed below, provided that there is an effective registration statement under the Securities Act covering the shares of our common stock issuable upon exercise of the warrants and a current prospectus relating to them available (or we permit holders to exercise their warrants on a cashless basis under the circumstances specified in the applicable warrant agreement) and such shares are registered, qualified or exempt from registration under the securities, or blue sky, laws of the state of residence of the holder. Pursuant to the warrant agreement governing the 2026 public warrants, a warrant holder may exercise its warrants only for a whole number of shares of our common stock. This means only a whole 2026 public warrant may be exercised at a given time by a warrant holder. The 2026 public warrants will expire on March 11, 2026 at 5:00 p.m., New York City time, or earlier upon redemption or liquidation.</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obligated to deliver any shares of common stock pursuant to the exercise of a 2026 public warrant and have no obligation to settle such warrant exercise unless a registration statement under the Securities Act with respect to the shares of our common stock underlying the warrants is then effective and a prospectus relating thereto is current, subject to us satisfying our obligations described below with respect to registration. No 2026 public warrant will be exercisable and we will not be obligated to issue a share of common stock upon exercise of a warrant unless the shares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2026 public warrant, the holder of such warrant will not be entitled to exercise such warrant and such warrant may have no value and expire worthless. In no event will we be required to net cash settle any 2026 public warrant.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maintain the effectiveness of a registration statement covering the issuance, under the Securities Act, of the shares of common stock issuable upon exercise of the 2026 public warrants, and a current prospectus relating thereto, until the expiration of the warrants in accordance with the provisions of the applicable warrant agreement. Notwithstanding the above, if the shares of common stock are at the time of any exercise of a warrant not</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listed on a national securities exchange such that they satisfy the definition of a “covered security” under Section 18(b)(1) of the Securities Act, we may, at our option, require holders of 2026 public warrants who exercise their warrants to do so on a “cashless basis” in accordance with Section 3(a)(9) of the Securities Act and, in the event we so elect, we will not be required to maintain in effect a registration statement, and in the event we do not so elect, we will be obligated to use our best efforts to register or qualify the shares under applicable blue sky laws to the extent an exemption is not available.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warrants for redemption: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in whole and not in part;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at a price of $0.10 per warrant;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upon not less than 30 days’ prior written notice of redemption (the “30-day redemption period”) to each warrant holder; and</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if, and only if, the reported closing price of our common stock equals or exceeds $180.00 per share (as adjusted for stock splits, stock dividends,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reorganizations, recapitalizations and the like) for any 20 trading days within a 30 trading-day period ending three business days before we send the notice of redemption to the warrant holders.</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and when the 2026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2026 public warrants, each warrant holder will be entitled to exercise his, her or its warrant prior to the scheduled redemption date. However, the price of our common stock may fall below the $180.00 redemption trigger price (as adjusted for stock splits, stock dividends, reorganizations, recapitalizations and the like) as well as the $115.00 warrant exercise price after the redemption notice is issued.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2026 public warrants for redemption as described above, our Board will have the option to require any holder that wishes to exercise his, her or its warrant to do so on a “cashless basis.” In determining whether to require all holders to exercise their 2026 public warrants on a “cashless basis,” our management may consider, among other factors, our cash position, the number of warrants that are outstanding and the dilutive effect on our stockholders of issuing the maximum number of shares of common stock issuable upon the exercise of the warrants. If we takes advantage of this option, all holders of 2026 public warrants would pay the exercise price by surrendering their warrants for that number of shares of common stock equal to the quotient obtained by dividing (a) the product of the number of shares of common stock underlying the warrants, multiplied by the excess of the “fair market value” (defined below) over the exercise price of the warrants by (b) the fair market value. The “fair market value” will mean the average reported closing price of the shares of common stock for the 10 trading days ending on the third trading day prior to the date on which the notice of redemption is sent to the holders of warrants. If we take advantage of this option, the notice of redemption will contain the information necessary to calculate the number of shares of common stock to be received upon exercise of the 2026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2026 public warrants. If we call the 2026 public warrants for redemption and do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2026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specified by the holder) of the shares of our common stock outstanding immediately after giving effect to such exercise.</w:t>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increased by a stock dividend payable in shares of our common stock, or by a split-up or other similar event, then, on the effective date of stock dividend, split-up or</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 event, the number of shares of common stock issuable on exercise of each 2026 public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(a) the number of shares of common stock actually sold in such rights offering (or issuable under any other equity securities sold in such rights offering that are convertible into or exercisable for shares of our common stock) and (b) the quotient of (i) the price per share of our common stock paid in such rights offering and (ii) the fair market value. For these purposes (a) if the rights offering is for securities convertible into or exercisable for shares of our common stock, in determining the price payable for shares of our common stock, there will be taken into account any consideration received for such rights, as well as any additional amount payable upon exercise or conversion and (b) fair market value means the volume 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2026 public warrants are outstanding and unexpired, pay a dividend or make a distribution in cash, securities or other assets to the holders of shares of our common stock on account of such shares of common stock (or other securities into which the warrants are convertible), other than as described above or certain ordinary cash dividends, then the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common stock issuable on exercise of each 2026 public warrant will be decreased in proportion to such decrease in outstanding shares of our common stock.</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our common stock purchasable upon the exercise of the 2026 public warrants is adjusted, as described above, the warrant exercise price will be adjusted by multiplying the warrant exercise price immediately prior to such adjustment by a fraction (a) the numerator of which will be the number of shares of common stock purchasable upon the exercise of the warrants immediately prior to such adjustment, and (b) the denominator of which will be the number of shares of common stock so purchasable immediately thereafter.</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our common stock (other than those described above or that solely affects the par value of such shares of our common stock), or in the case of any merger or consolidation of our Company with or into another corporation (other than a consolidation or merger in which we are the continuing corporation and that does not result in any reclassification or reorganization of the issued and outstanding shares of our common stock), or in the case of any sale or conveyance to another corporation or entity of the assets or other property of our as an entirety or substantially as an entirety in connection with which we are dissolved, the holders of the 2026 public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our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2026 public warrant properly exercises the warrant within 30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2026 public warrants when an extraordinary transaction occurs during the exercise period of the warrants</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the holders of the 2026 public warrants otherwise do not receive the full potential value of the warrants.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2026 public warrants are issued in registered form under a warrant agreement between Continental Stock Transfer &amp; Trust Company, as warrant agent, and us. The warrant agreement provides that the terms of the 2026 public warrants may be amended without the consent of any holder for the purpose of (a) curing any ambiguity or to correct any defective provision, (b) adjusting the provisions relating to cash dividends on shares of our common stock as contemplated by and in accordance with the warrant agreement or (c) adding or changing any other provisions with respect to matters or questions arising under the warrant agreement as the parties to the warrant agreement may deem necessary or desirable and that the parties deem to not adversely affect the interests of the registered holders of the 2026 public warrants. All other modifications or amendments will require the approval by the holders of at least 50% of the then-outstanding 2026 public warrants and, solely with respect to any amendment to the terms of the private placement warrants, 50% of the then outstanding private placement warrants. You should review a copy of the warrant agreement, which is filed as an exhibit to our Annual Report on Form 10-K, for a complete description of the terms and conditions applicable to the warrants.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2026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holders of our 2026 public warrants do not have the rights or privileges of holders of shares of our common stock and any voting rights until they exercise their warrants and receive shares of our common stock. After the issuance of shares of our common stock upon exercise of the 2026 public warrants, each holder will be entitled to one vote for each share held of record on all matters to be voted on by stockholders.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a warrant holder may exercise its warrants only for a whole number of shares of our common stock. This means that no fractional shares will be issued upon exercise of the 2026 public warrants. If, upon exercise of the 2026 public warrants, a holder would be entitled to receive a fractional interest in a share, we will, upon exercise, round down to the nearest whole number of shares of our common stock to be issued to the warrant holder.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Ouster’s Private Placement Warrants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Private placement warrants refers to the warrants issued in a private placement to Colonnade Sponsor LLC (the “Sponsor”). The private placement warrants (including the shares of our common stock issuable upon exercise of such warrants) will not be redeemable by us so long as they are held by the Sponsor, members of the Sponsor or their permitted transferees. The Sponsor or its permitted transferees have the option to exercise the private placement warrants on a cashless basis. Except as described below, the private placement warrants have terms and provisions that are identical to those of the 2026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2026 public warrants.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shares of our common stock equal to the quotient obtained by dividing (a) the product of the number of shares of our common stock underlying the warrants, multiplied by the excess of the “fair market value” (defined below) over the exercise price of the warrants by (b) the fair market value. The “fair market value” will mean the average reported closing price of the shares of our common stock for the 10 trading days ending on the third trading day prior to the date on which the notice of warrant exercise is sent to the warrant agent.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Amazon Warrants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Velodyne agreed to issue to Amazon.com NV Investment Holdings LLC, a wholly-owned subsidiary of Amazon Inc. (“Amazon”), a warrant to acquire, following customary antidilution adjustments, up to an aggregate of</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3,263,898 shares of the Company’s common stock at an exercise price of $50.71 per share (the “Amazon Warrant”), which was assumed by the Company in connection with the Velodyne Merger.</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and the warrant shares issuable upon exercise of the Amazon Warrant are subject to further antidilution adjustments, including in the event the Company makes certain sales of common stock (or securities exercisable or convertible into or exchangeable for shares of the Company’s common stock) at a price less than the exercise price of the Amazon Warrant. As of December 31, 2025, there were 3,271,970 shares of common stock issuable under the Amazon Warrant.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1,107,586 unvested Ouster common stock shares, will be recognized as a non-cash stock-based reduction to revenue when Amazon makes payments and vesting conditions become probable of being achieved.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 to exercise the Amazon Warrant and receive the warrant shares that have vested expires February 4, 2030. As of December 31, 2025, 2,728,985 Amazon Warrant shares have vested.</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220"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Reasons for an Insider Trading Policy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Federal securities laws prohibit the purchase or sale of securities by persons on the basis of material, non-public information about a company, as well as the disclosure of material, non-public information about a company to others who then trade in the company’s securities. Such transactions are commonly known as “insider trading.” Preventing insider trading is necessary to comply with securities laws and to preserve the reputation and integrity of Ouster, Inc.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Ouster</w:t>
      </w:r>
      <w:r>
        <w:rPr>
          <w:rFonts w:ascii="Times New Roman" w:cs="Times New Roman" w:eastAsia="Times New Roman" w:hAnsi="Times New Roman"/>
          <w:sz w:val="22"/>
          <w:szCs w:val="22"/>
          <w:color w:val="auto"/>
        </w:rPr>
        <w:t>”), its subsidiaries, as well as that of all persons affiliated with the Company.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Insider trading can be punished by civil sanctions, involve criminal prosecution, or both and the penalties for violating insider trading laws may include imprisonment, disgorgement of profits, civil fines, and significant criminal fines. Insider trading is also prohibited by Ouster “Insider Trading Compliance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and its violation may result in disciplinary sanctions, including termination of employment for cause.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Company’s Board of Directors has adopted this Policy both to satisfy the Ouster’s obligations to prevent insider trading and to help Company personnel avoid the severe consequences associated with violations of the insider trading laws. This Policy is also intended to prevent even the appearance of improper conduct on the part of anyone employed by or associated with the Company, not just so-called “insiders.”</w:t>
      </w:r>
    </w:p>
    <w:p>
      <w:pPr>
        <w:spacing w:after="0" w:line="17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Accordingly, this Policy applies to all officers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directors, employees, contractors, and consultants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contractors, and consultants of the Company, are referred to as the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Covered Person must review this Policy. Questions regarding the Policy should be directed to the Company’s General Counsel or his or her delegate (the “</w:t>
      </w:r>
      <w:r>
        <w:rPr>
          <w:rFonts w:ascii="Times New Roman" w:cs="Times New Roman" w:eastAsia="Times New Roman" w:hAnsi="Times New Roman"/>
          <w:sz w:val="22"/>
          <w:szCs w:val="22"/>
          <w:b w:val="1"/>
          <w:bCs w:val="1"/>
          <w:i w:val="1"/>
          <w:iCs w:val="1"/>
          <w:color w:val="auto"/>
        </w:rPr>
        <w:t>Compliance Person</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Policy consists of seven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6459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53" w:lineRule="exact"/>
        <w:rPr>
          <w:sz w:val="20"/>
          <w:szCs w:val="20"/>
          <w:color w:val="auto"/>
        </w:rPr>
      </w:pPr>
    </w:p>
    <w:p>
      <w:pPr>
        <w:ind w:right="100" w:firstLine="8"/>
        <w:spacing w:after="0" w:line="225" w:lineRule="auto"/>
        <w:tabs>
          <w:tab w:leader="none" w:pos="124"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has the meaning of the term in Rule 16a-1(f) under the Securities Exchange Act of 1934, as amended, which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w:t>
      </w:r>
    </w:p>
    <w:p>
      <w:pPr>
        <w:sectPr>
          <w:pgSz w:w="11900" w:h="16838" w:orient="portrait"/>
          <w:cols w:equalWidth="0" w:num="1">
            <w:col w:w="11240"/>
          </w:cols>
          <w:pgMar w:left="320" w:top="1440" w:right="339" w:bottom="1440" w:gutter="0" w:footer="0" w:header="0"/>
        </w:sectPr>
      </w:pPr>
    </w:p>
    <w:bookmarkStart w:id="114" w:name="page115"/>
    <w:bookmarkEnd w:id="114"/>
    <w:p>
      <w:pPr>
        <w:ind w:left="1300" w:hanging="320"/>
        <w:spacing w:after="0"/>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the Company prohibiting insider trading;</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the Company to prevent insider trading;</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 and</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20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II.  </w:t>
      </w:r>
      <w:r>
        <w:rPr>
          <w:rFonts w:ascii="Times New Roman" w:cs="Times New Roman" w:eastAsia="Times New Roman" w:hAnsi="Times New Roman"/>
          <w:sz w:val="22"/>
          <w:szCs w:val="22"/>
          <w:b w:val="1"/>
          <w:bCs w:val="1"/>
          <w:u w:val="single" w:color="auto"/>
          <w:color w:val="auto"/>
        </w:rPr>
        <w:t>Statement of Policies Prohibiting Insider Trading</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 Covered Person shall purchase, sell, gift or otherwise transfer any security of the Company while in possession of material, non-public information about the Company. In addition, no Covered Person shall purchase, sell, gift or otherwise transfer any security of any other company, while in possession of material, non-public information about the other company if such information is obtained in the course of the Covered Person’s employment or service with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These prohibitions do </w:t>
      </w:r>
      <w:r>
        <w:rPr>
          <w:rFonts w:ascii="Times New Roman" w:cs="Times New Roman" w:eastAsia="Times New Roman" w:hAnsi="Times New Roman"/>
          <w:sz w:val="22"/>
          <w:szCs w:val="22"/>
          <w:i w:val="1"/>
          <w:iCs w:val="1"/>
          <w:u w:val="single" w:color="auto"/>
          <w:color w:val="auto"/>
        </w:rPr>
        <w:t>not</w:t>
      </w:r>
      <w:r>
        <w:rPr>
          <w:rFonts w:ascii="Times New Roman" w:cs="Times New Roman" w:eastAsia="Times New Roman" w:hAnsi="Times New Roman"/>
          <w:sz w:val="22"/>
          <w:szCs w:val="22"/>
          <w:color w:val="auto"/>
        </w:rPr>
        <w:t xml:space="preserve"> apply to:</w:t>
      </w:r>
    </w:p>
    <w:p>
      <w:pPr>
        <w:spacing w:after="0" w:line="224" w:lineRule="exact"/>
        <w:rPr>
          <w:sz w:val="20"/>
          <w:szCs w:val="20"/>
          <w:color w:val="auto"/>
        </w:rPr>
      </w:pPr>
    </w:p>
    <w:p>
      <w:pPr>
        <w:ind w:left="1300" w:hanging="320"/>
        <w:spacing w:after="0" w:line="271" w:lineRule="auto"/>
        <w:tabs>
          <w:tab w:leader="none" w:pos="129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by a Covered Person from the Company or sales of the Company’s securities by a Covered Person to the Company;</w:t>
      </w:r>
    </w:p>
    <w:p>
      <w:pPr>
        <w:spacing w:after="0" w:line="171"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 transactions for family or estate planning purposes, where securities are gifted to a person or entity subject to this Policy, except that all gift transactions involving Company securities are subject to pre-clearance;</w:t>
      </w:r>
    </w:p>
    <w:p>
      <w:pPr>
        <w:spacing w:after="0" w:line="157" w:lineRule="exact"/>
        <w:rPr>
          <w:rFonts w:ascii="Times New Roman" w:cs="Times New Roman" w:eastAsia="Times New Roman" w:hAnsi="Times New Roman"/>
          <w:sz w:val="22"/>
          <w:szCs w:val="22"/>
          <w:color w:val="auto"/>
        </w:rPr>
      </w:pPr>
    </w:p>
    <w:p>
      <w:pPr>
        <w:jc w:val="both"/>
        <w:ind w:left="1300" w:hanging="320"/>
        <w:spacing w:after="0" w:line="268" w:lineRule="auto"/>
        <w:tabs>
          <w:tab w:leader="none" w:pos="129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or other equity award through a broker </w:t>
      </w:r>
      <w:r>
        <w:rPr>
          <w:rFonts w:ascii="Times New Roman" w:cs="Times New Roman" w:eastAsia="Times New Roman" w:hAnsi="Times New Roman"/>
          <w:sz w:val="21"/>
          <w:szCs w:val="21"/>
          <w:u w:val="single" w:color="auto"/>
          <w:color w:val="auto"/>
        </w:rPr>
        <w:t>does</w:t>
      </w:r>
      <w:r>
        <w:rPr>
          <w:rFonts w:ascii="Times New Roman" w:cs="Times New Roman" w:eastAsia="Times New Roman" w:hAnsi="Times New Roman"/>
          <w:sz w:val="21"/>
          <w:szCs w:val="21"/>
          <w:color w:val="auto"/>
        </w:rPr>
        <w:t xml:space="preserve"> involve a market sale of the Company’s securities, and therefore would not qualify under this exception);</w:t>
      </w:r>
    </w:p>
    <w:p>
      <w:pPr>
        <w:spacing w:after="0" w:line="163"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29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promulgated under the Securities Exchange Act of 1934, as amended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115" w:name="page116"/>
    <w:bookmarkEnd w:id="115"/>
    <w:p>
      <w:pPr>
        <w:ind w:left="1300"/>
        <w:spacing w:after="0" w:line="271" w:lineRule="auto"/>
        <w:rPr>
          <w:sz w:val="20"/>
          <w:szCs w:val="20"/>
          <w:color w:val="auto"/>
        </w:rPr>
      </w:pPr>
      <w:r>
        <w:rPr>
          <w:rFonts w:ascii="Times New Roman" w:cs="Times New Roman" w:eastAsia="Times New Roman" w:hAnsi="Times New Roman"/>
          <w:sz w:val="22"/>
          <w:szCs w:val="22"/>
          <w:color w:val="auto"/>
        </w:rPr>
        <w:t>without such amendment or modification being pre-cleared in advance pursuant to this Policy. For more information about Rule 10b5-1 trading plans, see Section VI below;</w:t>
      </w:r>
    </w:p>
    <w:p>
      <w:pPr>
        <w:spacing w:after="0" w:line="158" w:lineRule="exact"/>
        <w:rPr>
          <w:sz w:val="20"/>
          <w:szCs w:val="20"/>
          <w:color w:val="auto"/>
        </w:rPr>
      </w:pPr>
    </w:p>
    <w:p>
      <w:pPr>
        <w:jc w:val="both"/>
        <w:ind w:left="1300" w:hanging="320"/>
        <w:spacing w:after="0" w:line="253" w:lineRule="auto"/>
        <w:tabs>
          <w:tab w:leader="none" w:pos="129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 “non-Rule 10b5-1 trading arrangement” as defined in Item 408 of Regulation S-K that (i) was entered into outside of a black-out period and while the Covered Person was unaware of any material, non-public information, (ii) has been pre-cleared by the Compliance Person and (iii) has not been modified after such initial pre-clearance without such amendment or modification being pre-cleared in advance by the Compliance Person; or</w:t>
      </w:r>
    </w:p>
    <w:p>
      <w:pPr>
        <w:spacing w:after="0" w:line="178" w:lineRule="exact"/>
        <w:rPr>
          <w:rFonts w:ascii="Times New Roman" w:cs="Times New Roman" w:eastAsia="Times New Roman" w:hAnsi="Times New Roman"/>
          <w:sz w:val="22"/>
          <w:szCs w:val="22"/>
          <w:color w:val="auto"/>
        </w:rPr>
      </w:pPr>
    </w:p>
    <w:p>
      <w:pPr>
        <w:ind w:left="1300" w:right="20" w:hanging="320"/>
        <w:spacing w:after="0" w:line="284" w:lineRule="auto"/>
        <w:tabs>
          <w:tab w:leader="none" w:pos="129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“sell-to-cover” transactions pursuant to a non-discretionary policy adopted by the Company that is intended to facilitate the payment of withholding taxes associated with vesting of equity awards (other than stock options).</w:t>
      </w:r>
    </w:p>
    <w:p>
      <w:pPr>
        <w:spacing w:after="0" w:line="1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addition, no Covered Person shall directly or indirectly communicate (or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 In communicating material, non-public information to employees of the Company, Covered Persons must take care to emphasize the need for confidential treatment of such information and adherence to the Company’s policies with regard to confidential information.</w:t>
      </w:r>
    </w:p>
    <w:p>
      <w:pPr>
        <w:spacing w:after="0" w:line="177" w:lineRule="exact"/>
        <w:rPr>
          <w:sz w:val="20"/>
          <w:szCs w:val="20"/>
          <w:color w:val="auto"/>
        </w:rPr>
      </w:pPr>
    </w:p>
    <w:p>
      <w:pPr>
        <w:ind w:left="540" w:hanging="532"/>
        <w:spacing w:after="0"/>
        <w:tabs>
          <w:tab w:leader="none" w:pos="54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Explanation of Insider Trading</w:t>
      </w:r>
    </w:p>
    <w:p>
      <w:pPr>
        <w:spacing w:after="0" w:line="21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purchase or sale of a security while in possession of “material” and “non-public”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relating to the security or its issuer.</w:t>
      </w:r>
    </w:p>
    <w:p>
      <w:pPr>
        <w:spacing w:after="0" w:line="14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stocks, bonds, notes, debentures, options, warrants, equity and other convertible securities, as well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derivative instruments.</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 only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of a security, but also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transfers, pledging and margin loans, and acquisitions and exercises of warrants or puts, calls or other derivative securities.</w:t>
      </w:r>
    </w:p>
    <w:p>
      <w:pPr>
        <w:spacing w:after="0" w:line="179"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Materiality</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 information about:</w:t>
      </w:r>
    </w:p>
    <w:p>
      <w:pPr>
        <w:spacing w:after="0" w:line="220"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joint ventures or dispositions;</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 or developments with major customers;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Company’s intellectual property portfolio;</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incidents involving cybersecurity or data protection;</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and</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Moreover, material information does not have to be related to a company’s business. For example, the contents of a forthcoming newspaper column that is expected to affect the market price of a security can be material.</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 Information</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Associated Press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United Press International</w:t>
      </w:r>
      <w:r>
        <w:rPr>
          <w:rFonts w:ascii="Times New Roman" w:cs="Times New Roman" w:eastAsia="Times New Roman" w:hAnsi="Times New Roman"/>
          <w:sz w:val="22"/>
          <w:szCs w:val="22"/>
          <w:color w:val="auto"/>
        </w:rPr>
        <w:t>, a broadcast on widely available radio or television programs, publication in a widely available newspaper, magazine or news website, a Regulation FD-compliant conference call, public disclosure documents filed with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that are available on the SEC’s website or other Regulation FD-compliant method.</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71" w:lineRule="auto"/>
        <w:rPr>
          <w:sz w:val="20"/>
          <w:szCs w:val="20"/>
          <w:color w:val="auto"/>
        </w:rPr>
      </w:pPr>
      <w:r>
        <w:rPr>
          <w:rFonts w:ascii="Times New Roman" w:cs="Times New Roman" w:eastAsia="Times New Roman" w:hAnsi="Times New Roman"/>
          <w:sz w:val="22"/>
          <w:szCs w:val="22"/>
          <w:color w:val="auto"/>
        </w:rPr>
        <w:t>should allow two full trading days following publication as a reasonable waiting period before such information is deemed to be public.</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For the purposes of this Policy, a “trading day” is a day on which U.S.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err on the side of caution and direct an inquiry to the Compliance Person.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Statement of Procedures Preventing Insider Trading</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designated employee is required to follow these procedures.</w:t>
      </w:r>
    </w:p>
    <w:p>
      <w:pPr>
        <w:spacing w:after="0" w:line="158"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All Trades by All Officers, Directors and Certain Employees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 in the Company’s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(including without limitation, acquisitions and dispositions of Company stock, gifts, the exercise of stock options and the sale of Company stock issued upon exercise of stock options) by officers, directors and such other employees as are designated in Attachment A, as may be amended from time to time by the Board of Directors, the Compliance Person or Chief Financial Officer (each, a “</w:t>
      </w:r>
      <w:r>
        <w:rPr>
          <w:rFonts w:ascii="Times New Roman" w:cs="Times New Roman" w:eastAsia="Times New Roman" w:hAnsi="Times New Roman"/>
          <w:sz w:val="22"/>
          <w:szCs w:val="22"/>
          <w:b w:val="1"/>
          <w:bCs w:val="1"/>
          <w:i w:val="1"/>
          <w:iCs w:val="1"/>
          <w:color w:val="auto"/>
        </w:rPr>
        <w:t>Pre-Clearance Person</w:t>
      </w:r>
      <w:r>
        <w:rPr>
          <w:rFonts w:ascii="Times New Roman" w:cs="Times New Roman" w:eastAsia="Times New Roman" w:hAnsi="Times New Roman"/>
          <w:sz w:val="22"/>
          <w:szCs w:val="22"/>
          <w:b w:val="1"/>
          <w:bCs w:val="1"/>
          <w:color w:val="auto"/>
        </w:rPr>
        <w:t xml:space="preserve">”), must be pre-cleared </w:t>
      </w:r>
      <w:r>
        <w:rPr>
          <w:rFonts w:ascii="Times New Roman" w:cs="Times New Roman" w:eastAsia="Times New Roman" w:hAnsi="Times New Roman"/>
          <w:sz w:val="22"/>
          <w:szCs w:val="22"/>
          <w:color w:val="auto"/>
        </w:rPr>
        <w:t>by the Company’s Compliance Person. Pre-clearance does not relieve anyone of his or her responsibility under SEC rules and should not be understood to represent legal advice by the Company that a proposed transaction complies with SEC rules or applicable law.</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 request for pre-clearance must be made in writing at least two (2) business days in advance of the proposed transaction and should include the identity of the Pre-Clearance Person, the type of proposed transaction (for example, an open market purchase, a privately negotiated sale, a gift, an option exercise, etc.), the proposed date of the transaction and the number of shares, options or other securities to be transacted. In addition, unless otherwise determined by the Compliance Person, the Pre-Clearance Person must execute a certification (in the form approved by the Compliance Person) that he, she or it is not aware of material, non-public information about the Company. The Compliance Person shall have sole discretion to decide whether to clear any contemplated transaction, provided that the Chief Financial Officer shall have sole discretion to decide whether to clear transactions by the Compliance Person or persons or entities subject to this Policy as a result of their relationship with the Compliance Person. All trades that are pre-cleared must be effected within five business days of receipt of the pre-clearance unless a specific exception has been granted by the Compliance Person (or the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22"/>
          <w:szCs w:val="22"/>
          <w:color w:val="auto"/>
        </w:rPr>
        <w:t>Financial Officer, in the case of the Compliance Person or persons or entities subject to this Policy as a result of their relationship with the Compliance Person). A pre-cleared trade (or any portion of a pre-cleared trade)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79" w:lineRule="exact"/>
        <w:rPr>
          <w:sz w:val="20"/>
          <w:szCs w:val="20"/>
          <w:color w:val="auto"/>
        </w:rPr>
      </w:pPr>
    </w:p>
    <w:p>
      <w:pPr>
        <w:jc w:val="both"/>
        <w:ind w:right="320" w:firstLine="648"/>
        <w:spacing w:after="0" w:line="257" w:lineRule="auto"/>
        <w:rPr>
          <w:sz w:val="20"/>
          <w:szCs w:val="20"/>
          <w:color w:val="auto"/>
        </w:rPr>
      </w:pPr>
      <w:r>
        <w:rPr>
          <w:rFonts w:ascii="Times New Roman" w:cs="Times New Roman" w:eastAsia="Times New Roman" w:hAnsi="Times New Roman"/>
          <w:sz w:val="22"/>
          <w:szCs w:val="22"/>
          <w:color w:val="auto"/>
        </w:rPr>
        <w:t>Pre-clearance should not be understood to represent legal advice by the Company that a proposed transaction complies with the law. None of the Company, the Compliance Person or the Company’s other employees will have any liability for any delay in reviewing, or refusal of, a request for pre-clearance.</w:t>
      </w:r>
    </w:p>
    <w:p>
      <w:pPr>
        <w:spacing w:after="0" w:line="186"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Additionally, no officer, director or other employee designated in Attachment A, as may be amended from time to time by the Board of Directors, the Company’s General Counsel or the Chief Financial Officer, shall purchase or sell any security of the Company during the period beginning at 11:59 p.m., Eastern time, on the 14</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21"/>
          <w:szCs w:val="21"/>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w:t>
      </w:r>
    </w:p>
    <w:p>
      <w:pPr>
        <w:spacing w:after="0" w:line="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except for purchases and sales made pursuant to the permitted transactions described in Section II. Accordingly, the start of the quarterly black-out periods are as follows:</w:t>
      </w:r>
    </w:p>
    <w:p>
      <w:pPr>
        <w:spacing w:after="0" w:line="191" w:lineRule="exact"/>
        <w:rPr>
          <w:sz w:val="20"/>
          <w:szCs w:val="20"/>
          <w:color w:val="auto"/>
        </w:rPr>
      </w:pPr>
    </w:p>
    <w:tbl>
      <w:tblPr>
        <w:tblLayout w:type="fixed"/>
        <w:tblInd w:w="2290" w:type="dxa"/>
        <w:tblCellMar>
          <w:top w:w="0" w:type="dxa"/>
          <w:left w:w="0" w:type="dxa"/>
          <w:bottom w:w="0" w:type="dxa"/>
          <w:right w:w="0" w:type="dxa"/>
        </w:tblCellMar>
      </w:tblPr>
      <w:tr>
        <w:trPr>
          <w:trHeight w:val="216"/>
        </w:trPr>
        <w:tc>
          <w:tcPr>
            <w:tcW w:w="2060" w:type="dxa"/>
            <w:vAlign w:val="bottom"/>
            <w:tcBorders>
              <w:top w:val="single" w:sz="8" w:color="auto"/>
              <w:left w:val="single" w:sz="8" w:color="auto"/>
              <w:right w:val="single" w:sz="8" w:color="auto"/>
            </w:tcBorders>
          </w:tcPr>
          <w:p>
            <w:pPr>
              <w:jc w:val="center"/>
              <w:ind w:left="552"/>
              <w:spacing w:after="0" w:line="216" w:lineRule="exact"/>
              <w:rPr>
                <w:sz w:val="20"/>
                <w:szCs w:val="20"/>
                <w:color w:val="auto"/>
              </w:rPr>
            </w:pPr>
            <w:r>
              <w:rPr>
                <w:rFonts w:ascii="Times New Roman" w:cs="Times New Roman" w:eastAsia="Times New Roman" w:hAnsi="Times New Roman"/>
                <w:sz w:val="22"/>
                <w:szCs w:val="22"/>
                <w:b w:val="1"/>
                <w:bCs w:val="1"/>
                <w:color w:val="auto"/>
                <w:w w:val="98"/>
              </w:rPr>
              <w:t>Black-Out</w:t>
            </w:r>
          </w:p>
        </w:tc>
        <w:tc>
          <w:tcPr>
            <w:tcW w:w="2080" w:type="dxa"/>
            <w:vAlign w:val="bottom"/>
            <w:tcBorders>
              <w:top w:val="single" w:sz="8" w:color="auto"/>
              <w:right w:val="single" w:sz="8" w:color="auto"/>
            </w:tcBorders>
          </w:tcPr>
          <w:p>
            <w:pPr>
              <w:jc w:val="center"/>
              <w:ind w:left="532"/>
              <w:spacing w:after="0" w:line="216" w:lineRule="exact"/>
              <w:rPr>
                <w:sz w:val="20"/>
                <w:szCs w:val="20"/>
                <w:color w:val="auto"/>
              </w:rPr>
            </w:pPr>
            <w:r>
              <w:rPr>
                <w:rFonts w:ascii="Times New Roman" w:cs="Times New Roman" w:eastAsia="Times New Roman" w:hAnsi="Times New Roman"/>
                <w:sz w:val="22"/>
                <w:szCs w:val="22"/>
                <w:b w:val="1"/>
                <w:bCs w:val="1"/>
                <w:color w:val="auto"/>
                <w:w w:val="98"/>
              </w:rPr>
              <w:t>Quarter End</w:t>
            </w:r>
          </w:p>
        </w:tc>
      </w:tr>
      <w:tr>
        <w:trPr>
          <w:trHeight w:val="286"/>
        </w:trPr>
        <w:tc>
          <w:tcPr>
            <w:tcW w:w="20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Period Start Date</w:t>
            </w:r>
          </w:p>
        </w:tc>
        <w:tc>
          <w:tcPr>
            <w:tcW w:w="2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213"/>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276"/>
        </w:trPr>
        <w:tc>
          <w:tcPr>
            <w:tcW w:w="2060" w:type="dxa"/>
            <w:vAlign w:val="bottom"/>
            <w:tcBorders>
              <w:left w:val="single" w:sz="8" w:color="auto"/>
              <w:right w:val="single" w:sz="8" w:color="auto"/>
            </w:tcBorders>
          </w:tcPr>
          <w:p>
            <w:pPr>
              <w:jc w:val="center"/>
              <w:ind w:left="532"/>
              <w:spacing w:after="0"/>
              <w:rPr>
                <w:sz w:val="20"/>
                <w:szCs w:val="20"/>
                <w:color w:val="auto"/>
              </w:rPr>
            </w:pPr>
            <w:r>
              <w:rPr>
                <w:rFonts w:ascii="Times New Roman" w:cs="Times New Roman" w:eastAsia="Times New Roman" w:hAnsi="Times New Roman"/>
                <w:sz w:val="22"/>
                <w:szCs w:val="22"/>
                <w:color w:val="auto"/>
                <w:w w:val="96"/>
              </w:rPr>
              <w:t>March 17</w:t>
            </w:r>
          </w:p>
        </w:tc>
        <w:tc>
          <w:tcPr>
            <w:tcW w:w="2080" w:type="dxa"/>
            <w:vAlign w:val="bottom"/>
            <w:tcBorders>
              <w:right w:val="single" w:sz="8" w:color="auto"/>
            </w:tcBorders>
          </w:tcPr>
          <w:p>
            <w:pPr>
              <w:jc w:val="center"/>
              <w:ind w:left="532"/>
              <w:spacing w:after="0"/>
              <w:rPr>
                <w:sz w:val="20"/>
                <w:szCs w:val="20"/>
                <w:color w:val="auto"/>
              </w:rPr>
            </w:pPr>
            <w:r>
              <w:rPr>
                <w:rFonts w:ascii="Times New Roman" w:cs="Times New Roman" w:eastAsia="Times New Roman" w:hAnsi="Times New Roman"/>
                <w:sz w:val="22"/>
                <w:szCs w:val="22"/>
                <w:color w:val="auto"/>
                <w:w w:val="98"/>
              </w:rPr>
              <w:t>March 31</w:t>
            </w:r>
          </w:p>
        </w:tc>
      </w:tr>
      <w:tr>
        <w:trPr>
          <w:trHeight w:val="204"/>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r>
      <w:tr>
        <w:trPr>
          <w:trHeight w:val="276"/>
        </w:trPr>
        <w:tc>
          <w:tcPr>
            <w:tcW w:w="2060" w:type="dxa"/>
            <w:vAlign w:val="bottom"/>
            <w:tcBorders>
              <w:left w:val="single" w:sz="8" w:color="auto"/>
              <w:right w:val="single" w:sz="8" w:color="auto"/>
            </w:tcBorders>
          </w:tcPr>
          <w:p>
            <w:pPr>
              <w:jc w:val="center"/>
              <w:ind w:left="532"/>
              <w:spacing w:after="0"/>
              <w:rPr>
                <w:sz w:val="20"/>
                <w:szCs w:val="20"/>
                <w:color w:val="auto"/>
              </w:rPr>
            </w:pPr>
            <w:r>
              <w:rPr>
                <w:rFonts w:ascii="Times New Roman" w:cs="Times New Roman" w:eastAsia="Times New Roman" w:hAnsi="Times New Roman"/>
                <w:sz w:val="22"/>
                <w:szCs w:val="22"/>
                <w:color w:val="auto"/>
                <w:w w:val="97"/>
              </w:rPr>
              <w:t>June 16</w:t>
            </w:r>
          </w:p>
        </w:tc>
        <w:tc>
          <w:tcPr>
            <w:tcW w:w="2080" w:type="dxa"/>
            <w:vAlign w:val="bottom"/>
            <w:tcBorders>
              <w:right w:val="single" w:sz="8" w:color="auto"/>
            </w:tcBorders>
          </w:tcPr>
          <w:p>
            <w:pPr>
              <w:jc w:val="center"/>
              <w:ind w:left="532"/>
              <w:spacing w:after="0"/>
              <w:rPr>
                <w:sz w:val="20"/>
                <w:szCs w:val="20"/>
                <w:color w:val="auto"/>
              </w:rPr>
            </w:pPr>
            <w:r>
              <w:rPr>
                <w:rFonts w:ascii="Times New Roman" w:cs="Times New Roman" w:eastAsia="Times New Roman" w:hAnsi="Times New Roman"/>
                <w:sz w:val="22"/>
                <w:szCs w:val="22"/>
                <w:color w:val="auto"/>
              </w:rPr>
              <w:t>June 30</w:t>
            </w:r>
          </w:p>
        </w:tc>
      </w:tr>
      <w:tr>
        <w:trPr>
          <w:trHeight w:val="204"/>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r>
      <w:tr>
        <w:trPr>
          <w:trHeight w:val="276"/>
        </w:trPr>
        <w:tc>
          <w:tcPr>
            <w:tcW w:w="2060" w:type="dxa"/>
            <w:vAlign w:val="bottom"/>
            <w:tcBorders>
              <w:left w:val="single" w:sz="8" w:color="auto"/>
              <w:right w:val="single" w:sz="8" w:color="auto"/>
            </w:tcBorders>
          </w:tcPr>
          <w:p>
            <w:pPr>
              <w:jc w:val="center"/>
              <w:ind w:left="532"/>
              <w:spacing w:after="0"/>
              <w:rPr>
                <w:sz w:val="20"/>
                <w:szCs w:val="20"/>
                <w:color w:val="auto"/>
              </w:rPr>
            </w:pPr>
            <w:r>
              <w:rPr>
                <w:rFonts w:ascii="Times New Roman" w:cs="Times New Roman" w:eastAsia="Times New Roman" w:hAnsi="Times New Roman"/>
                <w:sz w:val="22"/>
                <w:szCs w:val="22"/>
                <w:color w:val="auto"/>
                <w:w w:val="97"/>
              </w:rPr>
              <w:t>September 16</w:t>
            </w:r>
          </w:p>
        </w:tc>
        <w:tc>
          <w:tcPr>
            <w:tcW w:w="2080" w:type="dxa"/>
            <w:vAlign w:val="bottom"/>
            <w:tcBorders>
              <w:right w:val="single" w:sz="8" w:color="auto"/>
            </w:tcBorders>
          </w:tcPr>
          <w:p>
            <w:pPr>
              <w:jc w:val="center"/>
              <w:ind w:left="532"/>
              <w:spacing w:after="0"/>
              <w:rPr>
                <w:sz w:val="20"/>
                <w:szCs w:val="20"/>
                <w:color w:val="auto"/>
              </w:rPr>
            </w:pPr>
            <w:r>
              <w:rPr>
                <w:rFonts w:ascii="Times New Roman" w:cs="Times New Roman" w:eastAsia="Times New Roman" w:hAnsi="Times New Roman"/>
                <w:sz w:val="22"/>
                <w:szCs w:val="22"/>
                <w:color w:val="auto"/>
                <w:w w:val="98"/>
              </w:rPr>
              <w:t>September 30</w:t>
            </w:r>
          </w:p>
        </w:tc>
      </w:tr>
      <w:tr>
        <w:trPr>
          <w:trHeight w:val="204"/>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r>
      <w:tr>
        <w:trPr>
          <w:trHeight w:val="276"/>
        </w:trPr>
        <w:tc>
          <w:tcPr>
            <w:tcW w:w="2060" w:type="dxa"/>
            <w:vAlign w:val="bottom"/>
            <w:tcBorders>
              <w:left w:val="single" w:sz="8" w:color="auto"/>
              <w:right w:val="single" w:sz="8" w:color="auto"/>
            </w:tcBorders>
          </w:tcPr>
          <w:p>
            <w:pPr>
              <w:jc w:val="center"/>
              <w:ind w:left="552"/>
              <w:spacing w:after="0"/>
              <w:rPr>
                <w:sz w:val="20"/>
                <w:szCs w:val="20"/>
                <w:color w:val="auto"/>
              </w:rPr>
            </w:pPr>
            <w:r>
              <w:rPr>
                <w:rFonts w:ascii="Times New Roman" w:cs="Times New Roman" w:eastAsia="Times New Roman" w:hAnsi="Times New Roman"/>
                <w:sz w:val="22"/>
                <w:szCs w:val="22"/>
                <w:color w:val="auto"/>
                <w:w w:val="98"/>
              </w:rPr>
              <w:t>December 17</w:t>
            </w:r>
          </w:p>
        </w:tc>
        <w:tc>
          <w:tcPr>
            <w:tcW w:w="2080" w:type="dxa"/>
            <w:vAlign w:val="bottom"/>
            <w:tcBorders>
              <w:right w:val="single" w:sz="8" w:color="auto"/>
            </w:tcBorders>
          </w:tcPr>
          <w:p>
            <w:pPr>
              <w:jc w:val="center"/>
              <w:ind w:left="532"/>
              <w:spacing w:after="0"/>
              <w:rPr>
                <w:sz w:val="20"/>
                <w:szCs w:val="20"/>
                <w:color w:val="auto"/>
              </w:rPr>
            </w:pPr>
            <w:r>
              <w:rPr>
                <w:rFonts w:ascii="Times New Roman" w:cs="Times New Roman" w:eastAsia="Times New Roman" w:hAnsi="Times New Roman"/>
                <w:sz w:val="22"/>
                <w:szCs w:val="22"/>
                <w:color w:val="auto"/>
                <w:w w:val="98"/>
              </w:rPr>
              <w:t>December 31</w:t>
            </w:r>
          </w:p>
        </w:tc>
      </w:tr>
      <w:tr>
        <w:trPr>
          <w:trHeight w:val="204"/>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r>
    </w:tbl>
    <w:p>
      <w:pPr>
        <w:spacing w:after="0" w:line="2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Company’s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the Company’s disclosure committee, the Chief Financial Officer or the General Counsel may issue a “stop trading” order, despite the existence of an open trading window, should circumstances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119" w:name="page120"/>
    <w:bookmarkEnd w:id="119"/>
    <w:p>
      <w:pPr>
        <w:jc w:val="both"/>
        <w:spacing w:after="0" w:line="275" w:lineRule="auto"/>
        <w:rPr>
          <w:sz w:val="20"/>
          <w:szCs w:val="20"/>
          <w:color w:val="auto"/>
        </w:rPr>
      </w:pPr>
      <w:r>
        <w:rPr>
          <w:rFonts w:ascii="Times New Roman" w:cs="Times New Roman" w:eastAsia="Times New Roman" w:hAnsi="Times New Roman"/>
          <w:sz w:val="21"/>
          <w:szCs w:val="21"/>
          <w:color w:val="auto"/>
        </w:rPr>
        <w:t>because of developments that have not yet been disclosed to the public. Subject to the exceptions noted above, all of those affected should not trade in the Company’s securities while the “stop trading” order is in effect, and should not disclose to others that the Company has suspended trading. Any stop trading order will remain effective until revoked by the General Counsel.</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order to assist applicable individuals in complying with this Policy, the Company will deliver an email (or other communication) notifying all persons subject to the trading restrictions when a quarterly black-out period has begun or a “stop trading” order has been issued and when such period has ended. The Company’s delivery or non-delivery of these e-mails (or other communication) does not relieve persons subject to black-out or “stop trading” restrictions of their obligation to only trade in the Company’s securities in full compliance with this Policy.</w:t>
      </w:r>
    </w:p>
    <w:p>
      <w:pPr>
        <w:spacing w:after="0" w:line="19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the restrictions set forth in “Statement of Policies Prohibiting Insider Trading” above continue to apply until that information has become public or is no longer material.</w:t>
      </w:r>
    </w:p>
    <w:p>
      <w:pPr>
        <w:spacing w:after="0" w:line="169"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Prohibited Transactions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Covered Persons shall comply with the following policies with respect to certain transactions in the Company securities:</w:t>
      </w:r>
    </w:p>
    <w:p>
      <w:pPr>
        <w:spacing w:after="0" w:line="1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Short sales of the Company’s securities evidence an expectation on the part of the seller that the securities will decline in value, and therefore signal to the market that the seller has no confidence in the Company or its short-term prospects.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 time of sale, or sales of shares against which the insider does not deliver the shares within 20 days after the sale.</w:t>
      </w:r>
    </w:p>
    <w:p>
      <w:pPr>
        <w:spacing w:after="0" w:line="194"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A transaction in options is, in effect, a bet on the short-term movement of the Company’s stock and therefore creates the appearance that a Covered Person is trading based on material, non-public information. Transactions in options, whether traded on an exchange, on any other organized market or on an over-the-counter market, also may focus an officer’s, director’s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57" w:lineRule="auto"/>
        <w:rPr>
          <w:sz w:val="20"/>
          <w:szCs w:val="20"/>
          <w:color w:val="auto"/>
        </w:rPr>
      </w:pPr>
      <w:r>
        <w:rPr>
          <w:rFonts w:ascii="Times New Roman" w:cs="Times New Roman" w:eastAsia="Times New Roman" w:hAnsi="Times New Roman"/>
          <w:sz w:val="22"/>
          <w:szCs w:val="22"/>
          <w:color w:val="auto"/>
        </w:rPr>
        <w:t>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w:t>
      </w:r>
    </w:p>
    <w:p>
      <w:pPr>
        <w:spacing w:after="0" w:line="186"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 Covered Person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7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the Company’s Securities on Margin; Pledging the Company’s Securities to Secure Margin or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Loans</w:t>
      </w:r>
    </w:p>
    <w:p>
      <w:pPr>
        <w:spacing w:after="0" w:line="19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179" w:lineRule="exact"/>
        <w:rPr>
          <w:sz w:val="20"/>
          <w:szCs w:val="20"/>
          <w:color w:val="auto"/>
        </w:rPr>
      </w:pPr>
    </w:p>
    <w:p>
      <w:pPr>
        <w:ind w:left="1020" w:hanging="364"/>
        <w:spacing w:after="0"/>
        <w:tabs>
          <w:tab w:leader="none" w:pos="10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Partnership Distributions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an investment fund,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Rule 10b5-1 Trading Plans</w:t>
      </w:r>
    </w:p>
    <w:p>
      <w:pPr>
        <w:spacing w:after="0" w:line="224"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Rule 10b5-1 will protect a Covered Person from insider trading liability under Rule 10b5-1 for transactions under a previously established contract, plan or instruction to trade in the Company’s stock entered into in good faith and in accordance with the terms of Rule 10b5-1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and will be exempt from the trading restrictions set forth in this Policy. Each such Trading Plan, and any proposed modification or termination thereof, must be submitted to and pre-approved by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121" w:name="page122"/>
    <w:bookmarkEnd w:id="121"/>
    <w:p>
      <w:pPr>
        <w:jc w:val="both"/>
        <w:spacing w:after="0" w:line="256" w:lineRule="auto"/>
        <w:rPr>
          <w:sz w:val="20"/>
          <w:szCs w:val="20"/>
          <w:color w:val="auto"/>
        </w:rPr>
      </w:pPr>
      <w:r>
        <w:rPr>
          <w:rFonts w:ascii="Times New Roman" w:cs="Times New Roman" w:eastAsia="Times New Roman" w:hAnsi="Times New Roman"/>
          <w:sz w:val="22"/>
          <w:szCs w:val="22"/>
          <w:color w:val="auto"/>
        </w:rPr>
        <w:t>Compliance Person, who may impose such conditions on the implementation and operation of the Trading Plan as the Compliance Person deems necessary or advisable. However, compliance of the Trading Plan to the terms of Rule 10b5-1 and the execution of transactions pursuant to the Trading Plan are the sole responsibility of the person entering into, modifying, or terminating the Trading Plan, not the Company or the Compliance Person.</w:t>
      </w:r>
    </w:p>
    <w:p>
      <w:pPr>
        <w:spacing w:after="0" w:line="172"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Trading Plans do not exempt individuals subject to Section 16 of the 1934 Act from complying with Section 16 reporting obligations or from short-swing profit rules or liability. Furthermore, Trading Plans only provide an “affirmative defense” in the event there is an insider trading lawsuit. It does not prevent someone from bringing a lawsuit.</w:t>
      </w:r>
    </w:p>
    <w:p>
      <w:pPr>
        <w:spacing w:after="0" w:line="15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 Covered Person may enter into a Trading Plan only in good faith and only when he or she is not in possession of material, non-public information, and only outside black-out periods.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 to file the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Compliance Person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Covered Persons may adopt Trading Plans with brokers that outline a pre-set plan for trading of the Company’s stock, including the exercise of options. Trades pursuant to a Trading Plan generally may occur at any time, provided that such Trading Plan:</w:t>
      </w:r>
    </w:p>
    <w:p>
      <w:pPr>
        <w:spacing w:after="0" w:line="167"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submitted to and pre-approved by the Compliance Person</w:t>
      </w:r>
      <w:r>
        <w:rPr>
          <w:rFonts w:ascii="Arial" w:cs="Arial" w:eastAsia="Arial" w:hAnsi="Arial"/>
          <w:sz w:val="22"/>
          <w:szCs w:val="22"/>
          <w:color w:val="auto"/>
        </w:rPr>
        <w:t>;</w:t>
      </w:r>
    </w:p>
    <w:p>
      <w:pPr>
        <w:spacing w:after="0" w:line="21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a “Cooling-Off Period” for</w:t>
      </w:r>
    </w:p>
    <w:p>
      <w:pPr>
        <w:spacing w:after="0" w:line="220" w:lineRule="exact"/>
        <w:rPr>
          <w:sz w:val="20"/>
          <w:szCs w:val="20"/>
          <w:color w:val="auto"/>
        </w:rPr>
      </w:pPr>
    </w:p>
    <w:p>
      <w:pPr>
        <w:jc w:val="both"/>
        <w:ind w:left="1960" w:hanging="332"/>
        <w:spacing w:after="0" w:line="266" w:lineRule="auto"/>
        <w:tabs>
          <w:tab w:leader="none" w:pos="1955" w:val="left"/>
        </w:tabs>
        <w:numPr>
          <w:ilvl w:val="1"/>
          <w:numId w:val="45"/>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spacing w:after="0" w:line="164" w:lineRule="exact"/>
        <w:rPr>
          <w:rFonts w:ascii="Courier New" w:cs="Courier New" w:eastAsia="Courier New" w:hAnsi="Courier New"/>
          <w:sz w:val="22"/>
          <w:szCs w:val="22"/>
          <w:color w:val="auto"/>
        </w:rPr>
      </w:pPr>
    </w:p>
    <w:p>
      <w:pPr>
        <w:ind w:left="1960" w:hanging="332"/>
        <w:spacing w:after="0" w:line="279" w:lineRule="auto"/>
        <w:tabs>
          <w:tab w:leader="none" w:pos="1955" w:val="left"/>
        </w:tabs>
        <w:numPr>
          <w:ilvl w:val="1"/>
          <w:numId w:val="45"/>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employees and any other persons, other than the Company, that extends 30 days after adoption or modification of a Trading Plan;</w:t>
      </w:r>
    </w:p>
    <w:p>
      <w:pPr>
        <w:spacing w:after="0" w:line="146" w:lineRule="exact"/>
        <w:rPr>
          <w:rFonts w:ascii="Courier New" w:cs="Courier New" w:eastAsia="Courier New" w:hAnsi="Courier New"/>
          <w:sz w:val="22"/>
          <w:szCs w:val="22"/>
          <w:color w:val="auto"/>
        </w:rPr>
      </w:pPr>
    </w:p>
    <w:p>
      <w:pPr>
        <w:jc w:val="both"/>
        <w:ind w:left="1300" w:hanging="644"/>
        <w:spacing w:after="0" w:line="263" w:lineRule="auto"/>
        <w:tabs>
          <w:tab w:leader="none" w:pos="129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122" w:name="page123"/>
    <w:bookmarkEnd w:id="122"/>
    <w:p>
      <w:pPr>
        <w:jc w:val="both"/>
        <w:ind w:left="1300" w:hanging="644"/>
        <w:spacing w:after="0" w:line="257" w:lineRule="auto"/>
        <w:tabs>
          <w:tab w:leader="none" w:pos="129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complies with all other applicable requirements of Rule 10b5-1.</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Compliance Person may impose such other conditions on the implementation and operation of the Trading Plan as the Compliance Person deems necessary or advisable. Individuals may not adopt more than one Trading Plan at a time except under the limited circumstances permitted by Rule 10b5-1 and subject to pre-approval by the Compliance Person. For example, you may have one later-commencing Trading Plan if trading is not authorized to begin until after all trades under the earlier Trading Plan are completed or expired. Please note that, in such case, the individual seeking pre-approval should provide copies of both the proposed later-commencing Trading Plan and the existing Trading Plan in connection with the pre-approval request.</w:t>
      </w:r>
    </w:p>
    <w:p>
      <w:pPr>
        <w:spacing w:after="0" w:line="6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For clarity, the requirements of this Section VI.A do not apply to any Trading Plan entered into by a private equity firm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spacing w:after="0" w:line="68"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and Modifications to Trading Plans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Termination of Trading Plans should occur only in unusual circumstances. Effectiveness of any termination or modification of a Trading Plan will be subject to the prior review and approval of the Compliance Person. Termination is effected upon written notice to the broker.</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pre-approval by the Compliance Person and modifications of a Trading Plan that change the amount, price, or timing of the purchase or sale of the securities underlying a Trading Plan will trigger a new cooling-off period (as described in Section VI.A above).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terminated. This may include circumstances such as the announcement of a merger or the occurrence of an event that would cause the transaction either to violate the law or to have an adverse effect on the Company. The Compliance Person or administrator of the Company’s stock plans is authorized to notify the broker in such circumstances, thereby insulating the insider in the event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2" w:right="339" w:bottom="1440" w:gutter="0" w:footer="0" w:header="0"/>
        </w:sectPr>
      </w:pPr>
    </w:p>
    <w:bookmarkStart w:id="123" w:name="page124"/>
    <w:bookmarkEnd w:id="123"/>
    <w:p>
      <w:pPr>
        <w:ind w:left="1080" w:hanging="424"/>
        <w:spacing w:after="0"/>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Plans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Compliance Person.</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Compliance Person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94"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a Trading Plan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158" w:lineRule="exact"/>
        <w:rPr>
          <w:sz w:val="20"/>
          <w:szCs w:val="20"/>
          <w:color w:val="auto"/>
        </w:rPr>
      </w:pPr>
    </w:p>
    <w:p>
      <w:pPr>
        <w:ind w:left="1060" w:hanging="404"/>
        <w:spacing w:after="0"/>
        <w:tabs>
          <w:tab w:leader="none" w:pos="10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67" w:lineRule="exact"/>
        <w:rPr>
          <w:sz w:val="20"/>
          <w:szCs w:val="20"/>
          <w:color w:val="auto"/>
        </w:rPr>
      </w:pPr>
    </w:p>
    <w:p>
      <w:pPr>
        <w:ind w:left="1020" w:hanging="364"/>
        <w:spacing w:after="0"/>
        <w:tabs>
          <w:tab w:leader="none" w:pos="10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Amendment, and Implementation of this Policy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General Counsel shall have the authority to interpret and make immaterial updates to this Policy and all related policies and procedures. In particular, such interpretations and updates of this Policy, as authorized by the General Counsel, may include waivers to or departures from the terms of this Policy, to the extent consistent with the general purpose of this Policy and applicable securities laws. The Chief Financial Officer will administer this Policy as it applies to any trading activity by General Counsel.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Actions taken by the Company, the General Counsel, the Compliance Person, the Chief Financial Officer or any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personnel do not constitute legal advice, nor do they insulate you from the consequences of noncompliance with this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 or with securities laws.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u w:val="single" w:color="auto"/>
          <w:color w:val="auto"/>
        </w:rPr>
        <w:t>Execution and return of Certification of Compliance</w:t>
      </w:r>
    </w:p>
    <w:p>
      <w:pPr>
        <w:spacing w:after="0" w:line="224" w:lineRule="exact"/>
        <w:rPr>
          <w:sz w:val="20"/>
          <w:szCs w:val="20"/>
          <w:color w:val="auto"/>
        </w:rPr>
      </w:pPr>
    </w:p>
    <w:p>
      <w:pPr>
        <w:jc w:val="both"/>
        <w:ind w:firstLine="223"/>
        <w:spacing w:after="0" w:line="271" w:lineRule="auto"/>
        <w:rPr>
          <w:sz w:val="20"/>
          <w:szCs w:val="20"/>
          <w:color w:val="auto"/>
        </w:rPr>
      </w:pPr>
      <w:r>
        <w:rPr>
          <w:rFonts w:ascii="Times New Roman" w:cs="Times New Roman" w:eastAsia="Times New Roman" w:hAnsi="Times New Roman"/>
          <w:sz w:val="22"/>
          <w:szCs w:val="22"/>
          <w:color w:val="auto"/>
        </w:rPr>
        <w:t>All Covered Persons subject to this Policy may be asked to periodically certify their compliance with the terms and provisions of this Policy.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October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22" w:right="339" w:bottom="1440" w:gutter="0" w:footer="0" w:header="0"/>
        </w:sectPr>
      </w:pPr>
    </w:p>
    <w:bookmarkStart w:id="124" w:name="page125"/>
    <w:bookmarkEnd w:id="12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list  of  the  direct  and  indirect  subsidiaries  of  Ouster,</w:t>
            </w:r>
          </w:p>
        </w:tc>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that  is  current  as  of  February  25,  2026</w:t>
            </w:r>
          </w:p>
        </w:tc>
        <w:tc>
          <w:tcPr>
            <w:tcW w:w="0" w:type="dxa"/>
            <w:vAlign w:val="bottom"/>
          </w:tcPr>
          <w:p>
            <w:pPr>
              <w:spacing w:after="0"/>
              <w:rPr>
                <w:sz w:val="1"/>
                <w:szCs w:val="1"/>
                <w:color w:val="auto"/>
              </w:rPr>
            </w:pPr>
          </w:p>
        </w:tc>
      </w:tr>
      <w:tr>
        <w:trPr>
          <w:trHeight w:val="257"/>
        </w:trPr>
        <w:tc>
          <w:tcPr>
            <w:tcW w:w="68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68"/>
        </w:trPr>
        <w:tc>
          <w:tcPr>
            <w:tcW w:w="682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Ouster Canada Ltd.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Stereolabs SAS</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Ouster France SAS</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Ouster Hong Kong Ltd.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Ouster (Suzhou) Intelligent Technology Co., Ltd.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People’s Republic of China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Ouster Netherlands, B.V.</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Ouster (Thailand) Co., Ltd.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Thailand</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Ouster UK Limited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Ouster Singapore PTE. Ltd.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Singapore</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Sense Photonics, Inc.</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 USA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Stereolabs Incorporated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 USA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14352947 Canada Inc.</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14356811 Canada Inc.</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Bluecity Technology Inc.</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Beijing Velodyne LiDAR Technology Co., Ltd.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People’s Republic of China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Velodyne Europe GmbH</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Velodyne, LLC</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 USA</w:t>
            </w:r>
          </w:p>
        </w:tc>
        <w:tc>
          <w:tcPr>
            <w:tcW w:w="0" w:type="dxa"/>
            <w:vAlign w:val="bottom"/>
          </w:tcPr>
          <w:p>
            <w:pPr>
              <w:spacing w:after="0"/>
              <w:rPr>
                <w:sz w:val="1"/>
                <w:szCs w:val="1"/>
                <w:color w:val="auto"/>
              </w:rPr>
            </w:pPr>
          </w:p>
        </w:tc>
      </w:tr>
      <w:tr>
        <w:trPr>
          <w:trHeight w:val="270"/>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Velodyne Lidar USA, Inc.</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 USA</w:t>
            </w:r>
          </w:p>
        </w:tc>
        <w:tc>
          <w:tcPr>
            <w:tcW w:w="0" w:type="dxa"/>
            <w:vAlign w:val="bottom"/>
          </w:tcPr>
          <w:p>
            <w:pPr>
              <w:spacing w:after="0"/>
              <w:rPr>
                <w:sz w:val="1"/>
                <w:szCs w:val="1"/>
                <w:color w:val="auto"/>
              </w:rPr>
            </w:pPr>
          </w:p>
        </w:tc>
      </w:tr>
      <w:tr>
        <w:trPr>
          <w:trHeight w:val="282"/>
        </w:trPr>
        <w:tc>
          <w:tcPr>
            <w:tcW w:w="6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Velodyne Lidar India Private Limited</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India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333-254987,</w:t>
      </w:r>
    </w:p>
    <w:p>
      <w:pPr>
        <w:spacing w:after="0" w:line="16" w:lineRule="exact"/>
        <w:rPr>
          <w:sz w:val="20"/>
          <w:szCs w:val="20"/>
          <w:color w:val="auto"/>
        </w:rPr>
      </w:pPr>
    </w:p>
    <w:p>
      <w:pPr>
        <w:ind w:right="3060"/>
        <w:spacing w:after="0" w:line="218" w:lineRule="auto"/>
        <w:rPr>
          <w:sz w:val="20"/>
          <w:szCs w:val="20"/>
          <w:color w:val="auto"/>
        </w:rPr>
      </w:pPr>
      <w:r>
        <w:rPr>
          <w:rFonts w:ascii="Times New Roman" w:cs="Times New Roman" w:eastAsia="Times New Roman" w:hAnsi="Times New Roman"/>
          <w:sz w:val="18"/>
          <w:szCs w:val="18"/>
          <w:color w:val="auto"/>
        </w:rPr>
        <w:t>333-271845, 333-264600, and 333-286936) and Form S-8 (Nos. 333-281535, 333-278345, 333-270847, 333-269748, 333-266140, 333-266141, 333-260576, 333-257859, and 333-286017) of Ouster, Inc. of our report dated March 2, 2026 relating to the financial statements, which appears in this Form 10-K.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03" w:lineRule="auto"/>
        <w:rPr>
          <w:sz w:val="20"/>
          <w:szCs w:val="20"/>
          <w:color w:val="auto"/>
        </w:rPr>
      </w:pPr>
      <w:r>
        <w:rPr>
          <w:rFonts w:ascii="Times New Roman" w:cs="Times New Roman" w:eastAsia="Times New Roman" w:hAnsi="Times New Roman"/>
          <w:sz w:val="18"/>
          <w:szCs w:val="18"/>
          <w:color w:val="auto"/>
        </w:rPr>
        <w:t>San Jose, California</w:t>
      </w: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104"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Angus Pacala, certify that:</w:t>
      </w:r>
    </w:p>
    <w:p>
      <w:pPr>
        <w:spacing w:after="0" w:line="306" w:lineRule="exact"/>
        <w:rPr>
          <w:sz w:val="20"/>
          <w:szCs w:val="20"/>
          <w:color w:val="auto"/>
        </w:rPr>
      </w:pPr>
    </w:p>
    <w:p>
      <w:pPr>
        <w:ind w:left="560" w:hanging="534"/>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560" w:right="2660" w:hanging="534"/>
        <w:spacing w:after="0" w:line="266" w:lineRule="auto"/>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60" w:right="2680" w:hanging="534"/>
        <w:spacing w:after="0" w:line="231" w:lineRule="auto"/>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60" w:right="2740" w:hanging="534"/>
        <w:spacing w:after="0" w:line="247" w:lineRule="auto"/>
        <w:tabs>
          <w:tab w:leader="none" w:pos="5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spacing w:after="0" w:line="330" w:lineRule="exact"/>
        <w:rPr>
          <w:rFonts w:ascii="Times New Roman" w:cs="Times New Roman" w:eastAsia="Times New Roman" w:hAnsi="Times New Roman"/>
          <w:sz w:val="17"/>
          <w:szCs w:val="17"/>
          <w:color w:val="auto"/>
        </w:rPr>
      </w:pPr>
    </w:p>
    <w:p>
      <w:pPr>
        <w:ind w:left="1080" w:right="2480" w:hanging="527"/>
        <w:spacing w:after="0" w:line="195" w:lineRule="auto"/>
        <w:tabs>
          <w:tab w:leader="none" w:pos="1080" w:val="left"/>
        </w:tabs>
        <w:numPr>
          <w:ilvl w:val="1"/>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36"/>
          <w:szCs w:val="36"/>
          <w:color w:val="auto"/>
          <w:vertAlign w:val="superscript"/>
        </w:rPr>
      </w:pPr>
    </w:p>
    <w:p>
      <w:pPr>
        <w:spacing w:after="0" w:line="268" w:lineRule="exact"/>
        <w:rPr>
          <w:rFonts w:ascii="Times New Roman" w:cs="Times New Roman" w:eastAsia="Times New Roman" w:hAnsi="Times New Roman"/>
          <w:sz w:val="36"/>
          <w:szCs w:val="36"/>
          <w:color w:val="auto"/>
          <w:vertAlign w:val="superscript"/>
        </w:rPr>
      </w:pPr>
    </w:p>
    <w:p>
      <w:pPr>
        <w:ind w:left="1080" w:right="2480" w:hanging="527"/>
        <w:spacing w:after="0" w:line="224" w:lineRule="auto"/>
        <w:tabs>
          <w:tab w:leader="none" w:pos="10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1080" w:right="2660" w:hanging="527"/>
        <w:spacing w:after="0" w:line="231" w:lineRule="auto"/>
        <w:tabs>
          <w:tab w:leader="none" w:pos="10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2460" w:hanging="527"/>
        <w:spacing w:after="0" w:line="224" w:lineRule="auto"/>
        <w:tabs>
          <w:tab w:leader="none" w:pos="10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3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right="2740" w:hanging="534"/>
        <w:spacing w:after="0" w:line="231"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right="2440" w:hanging="527"/>
        <w:spacing w:after="0" w:line="226" w:lineRule="auto"/>
        <w:tabs>
          <w:tab w:leader="none" w:pos="10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right="2580" w:hanging="527"/>
        <w:spacing w:after="0" w:line="250" w:lineRule="auto"/>
        <w:tabs>
          <w:tab w:leader="none" w:pos="10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120" w:val="left"/>
          <w:tab w:leader="none" w:pos="594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Angus Pacala</w:t>
      </w:r>
    </w:p>
    <w:p>
      <w:pPr>
        <w:spacing w:after="0" w:line="10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20"/>
          </w:cols>
          <w:pgMar w:left="340" w:top="13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7"/>
          <w:szCs w:val="17"/>
          <w:color w:val="auto"/>
        </w:rPr>
        <w:t>Kenneth P. Gianella</w:t>
      </w:r>
      <w:r>
        <w:rPr>
          <w:rFonts w:ascii="Times New Roman" w:cs="Times New Roman" w:eastAsia="Times New Roman" w:hAnsi="Times New Roman"/>
          <w:sz w:val="18"/>
          <w:szCs w:val="18"/>
          <w:color w:val="auto"/>
        </w:rPr>
        <w:t>, certify that:</w:t>
      </w:r>
    </w:p>
    <w:p>
      <w:pPr>
        <w:spacing w:after="0" w:line="261" w:lineRule="exact"/>
        <w:rPr>
          <w:sz w:val="20"/>
          <w:szCs w:val="20"/>
          <w:color w:val="auto"/>
        </w:rPr>
      </w:pPr>
    </w:p>
    <w:p>
      <w:pPr>
        <w:ind w:left="560" w:hanging="534"/>
        <w:spacing w:after="0"/>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Ouster, Inc.;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60" w:right="2660" w:hanging="534"/>
        <w:spacing w:after="0" w:line="250" w:lineRule="auto"/>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560" w:right="2680" w:hanging="534"/>
        <w:spacing w:after="0" w:line="242" w:lineRule="auto"/>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7" w:lineRule="exact"/>
        <w:rPr>
          <w:rFonts w:ascii="Times New Roman" w:cs="Times New Roman" w:eastAsia="Times New Roman" w:hAnsi="Times New Roman"/>
          <w:sz w:val="18"/>
          <w:szCs w:val="18"/>
          <w:color w:val="auto"/>
        </w:rPr>
      </w:pPr>
    </w:p>
    <w:p>
      <w:pPr>
        <w:ind w:left="560" w:right="2740" w:hanging="534"/>
        <w:spacing w:after="0" w:line="272" w:lineRule="auto"/>
        <w:tabs>
          <w:tab w:leader="none" w:pos="5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2" w:lineRule="exact"/>
        <w:rPr>
          <w:rFonts w:ascii="Times New Roman" w:cs="Times New Roman" w:eastAsia="Times New Roman" w:hAnsi="Times New Roman"/>
          <w:sz w:val="17"/>
          <w:szCs w:val="17"/>
          <w:color w:val="auto"/>
        </w:rPr>
      </w:pPr>
    </w:p>
    <w:p>
      <w:pPr>
        <w:ind w:left="1080" w:right="2480" w:hanging="527"/>
        <w:spacing w:after="0" w:line="245"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1080" w:right="2480" w:hanging="527"/>
        <w:spacing w:after="0" w:line="245"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080" w:right="2660" w:hanging="527"/>
        <w:spacing w:after="0" w:line="250"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1080" w:right="2460" w:hanging="527"/>
        <w:spacing w:after="0" w:line="245"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3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0" w:right="2740" w:hanging="53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1060" w:right="2460" w:hanging="527"/>
        <w:spacing w:after="0" w:line="250" w:lineRule="auto"/>
        <w:tabs>
          <w:tab w:leader="none" w:pos="10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060" w:right="2580" w:hanging="527"/>
        <w:spacing w:after="0" w:line="266" w:lineRule="auto"/>
        <w:tabs>
          <w:tab w:leader="none" w:pos="10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20" w:val="left"/>
          <w:tab w:leader="none" w:pos="594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P. Gianella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33515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Kenneth P. Gianella</w:t>
      </w:r>
    </w:p>
    <w:p>
      <w:pPr>
        <w:spacing w:after="0" w:line="7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 Accounting Officer)</w:t>
      </w:r>
    </w:p>
    <w:p>
      <w:pPr>
        <w:sectPr>
          <w:pgSz w:w="11900" w:h="16838" w:orient="portrait"/>
          <w:cols w:equalWidth="0" w:num="1">
            <w:col w:w="11220"/>
          </w:cols>
          <w:pgMar w:left="340" w:top="13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right="32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Ouster, Inc. (the “Company”) for the period ended December 31, 2025 as filed with the Securities and Exchange Commission on the date hereof (the “Report”), I certify, pursuant to 18 U.S.C. § 1350, as adopted pursuant to § 906 of the Sarbanes-Oxley Act of 2002, that:</w:t>
      </w:r>
    </w:p>
    <w:p>
      <w:pPr>
        <w:spacing w:after="0" w:line="243" w:lineRule="exact"/>
        <w:rPr>
          <w:sz w:val="20"/>
          <w:szCs w:val="20"/>
          <w:color w:val="auto"/>
        </w:rPr>
      </w:pPr>
    </w:p>
    <w:p>
      <w:pPr>
        <w:ind w:left="1080" w:right="2580" w:hanging="527"/>
        <w:spacing w:after="0" w:line="23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1080" w:right="2460" w:hanging="527"/>
        <w:spacing w:after="0" w:line="23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5720" w:val="left"/>
          <w:tab w:leader="none" w:pos="660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Angus Pacala</w:t>
      </w:r>
    </w:p>
    <w:p>
      <w:pPr>
        <w:spacing w:after="0" w:line="9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3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right="32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Ouster, Inc. (the “Company”) for the period ended December 31, 2025 as filed with the Securities and Exchange Commission on the date hereof (the “Report”), I certify, pursuant to 18 U.S.C. § 1350, as adopted pursuant to § 906 of the Sarbanes-Oxley Act of 2002, that:</w:t>
      </w:r>
    </w:p>
    <w:p>
      <w:pPr>
        <w:spacing w:after="0" w:line="243" w:lineRule="exact"/>
        <w:rPr>
          <w:sz w:val="20"/>
          <w:szCs w:val="20"/>
          <w:color w:val="auto"/>
        </w:rPr>
      </w:pPr>
    </w:p>
    <w:p>
      <w:pPr>
        <w:ind w:left="1080" w:right="2580" w:hanging="527"/>
        <w:spacing w:after="0" w:line="23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2460" w:hanging="527"/>
        <w:spacing w:after="0" w:line="250"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5560" w:val="left"/>
          <w:tab w:leader="none" w:pos="644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P. Gianella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Kenneth P. Gianella</w:t>
      </w:r>
    </w:p>
    <w:p>
      <w:pPr>
        <w:spacing w:after="0" w:line="7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 Accounting Officer)</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Roman"/>
      <w:start w:val="2"/>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lowerRoman"/>
      <w:start w:val="2"/>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upperLetter"/>
      <w:start w:val="9"/>
    </w:lvl>
  </w:abstractNum>
  <w:abstractNum w:abstractNumId="25">
    <w:nsid w:val="3855585C"/>
    <w:multiLevelType w:val="hybridMultilevel"/>
    <w:lvl w:ilvl="0">
      <w:lvlJc w:val="left"/>
      <w:lvlText w:val="1"/>
      <w:numFmt w:val="bullet"/>
      <w:start w:val="1"/>
    </w:lvl>
  </w:abstractNum>
  <w:abstractNum w:abstractNumId="26">
    <w:nsid w:val="70A64E2A"/>
    <w:multiLevelType w:val="hybridMultilevel"/>
    <w:lvl w:ilvl="0">
      <w:lvlJc w:val="left"/>
      <w:lvlText w:val="%1"/>
      <w:numFmt w:val="upperLetter"/>
      <w:start w:val="1"/>
    </w:lvl>
    <w:lvl w:ilvl="1">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upperLetter"/>
      <w:start w:val="61"/>
    </w:lvl>
  </w:abstractNum>
  <w:abstractNum w:abstractNumId="30">
    <w:nsid w:val="725A06FB"/>
    <w:multiLevelType w:val="hybridMultilevel"/>
    <w:lvl w:ilvl="0">
      <w:lvlJc w:val="left"/>
      <w:lvlText w:val="%1."/>
      <w:numFmt w:val="upperLetter"/>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upperLetter"/>
      <w:start w:val="2"/>
    </w:lvl>
  </w:abstractNum>
  <w:abstractNum w:abstractNumId="33">
    <w:nsid w:val="7A6D8D3C"/>
    <w:multiLevelType w:val="hybridMultilevel"/>
    <w:lvl w:ilvl="0">
      <w:lvlJc w:val="left"/>
      <w:lvlText w:val="%1."/>
      <w:numFmt w:val="upperLetter"/>
      <w:start w:val="1"/>
    </w:lvl>
  </w:abstractNum>
  <w:abstractNum w:abstractNumId="34">
    <w:nsid w:val="4B588F54"/>
    <w:multiLevelType w:val="hybridMultilevel"/>
    <w:lvl w:ilvl="0">
      <w:lvlJc w:val="left"/>
      <w:lvlText w:val="%1."/>
      <w:numFmt w:val="upperLetter"/>
      <w:start w:val="2"/>
    </w:lvl>
  </w:abstractNum>
  <w:abstractNum w:abstractNumId="35">
    <w:nsid w:val="542289EC"/>
    <w:multiLevelType w:val="hybridMultilevel"/>
    <w:lvl w:ilvl="0">
      <w:lvlJc w:val="left"/>
      <w:lvlText w:val="%1."/>
      <w:numFmt w:val="upperLetter"/>
      <w:start w:val="3"/>
    </w:lvl>
  </w:abstractNum>
  <w:abstractNum w:abstractNumId="36">
    <w:nsid w:val="6DE91B18"/>
    <w:multiLevelType w:val="hybridMultilevel"/>
    <w:lvl w:ilvl="0">
      <w:lvlJc w:val="left"/>
      <w:lvlText w:val="%1."/>
      <w:numFmt w:val="upperLetter"/>
      <w:start w:val="22"/>
    </w:lvl>
  </w:abstractNum>
  <w:abstractNum w:abstractNumId="37">
    <w:nsid w:val="38437FDB"/>
    <w:multiLevelType w:val="hybridMultilevel"/>
    <w:lvl w:ilvl="0">
      <w:lvlJc w:val="left"/>
      <w:lvlText w:val="%1."/>
      <w:numFmt w:val="upperLetter"/>
      <w:start w:val="1"/>
    </w:lvl>
  </w:abstractNum>
  <w:abstractNum w:abstractNumId="38">
    <w:nsid w:val="7644A45C"/>
    <w:multiLevelType w:val="hybridMultilevel"/>
    <w:lvl w:ilvl="0">
      <w:lvlJc w:val="left"/>
      <w:lvlText w:val="%1."/>
      <w:numFmt w:val="upperLetter"/>
      <w:start w:val="2"/>
    </w:lvl>
  </w:abstractNum>
  <w:abstractNum w:abstractNumId="39">
    <w:nsid w:val="32FFF902"/>
    <w:multiLevelType w:val="hybridMultilevel"/>
    <w:lvl w:ilvl="0">
      <w:lvlJc w:val="left"/>
      <w:lvlText w:val="%1."/>
      <w:numFmt w:val="upperLetter"/>
      <w:start w:val="3"/>
    </w:lvl>
  </w:abstractNum>
  <w:abstractNum w:abstractNumId="40">
    <w:nsid w:val="684A481A"/>
    <w:multiLevelType w:val="hybridMultilevel"/>
    <w:lvl w:ilvl="0">
      <w:lvlJc w:val="left"/>
      <w:lvlText w:val="%1."/>
      <w:numFmt w:val="upperLetter"/>
      <w:start w:val="4"/>
    </w:lvl>
  </w:abstractNum>
  <w:abstractNum w:abstractNumId="41">
    <w:nsid w:val="579478FE"/>
    <w:multiLevelType w:val="hybridMultilevel"/>
    <w:lvl w:ilvl="0">
      <w:lvlJc w:val="left"/>
      <w:lvlText w:val="%1."/>
      <w:numFmt w:val="upperLetter"/>
      <w:start w:val="6"/>
    </w:lvl>
  </w:abstractNum>
  <w:abstractNum w:abstractNumId="42">
    <w:nsid w:val="749ABB43"/>
    <w:multiLevelType w:val="hybridMultilevel"/>
    <w:lvl w:ilvl="0">
      <w:lvlJc w:val="left"/>
      <w:lvlText w:val="%1."/>
      <w:numFmt w:val="upperLetter"/>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lvl w:ilvl="1">
      <w:lvlJc w:val="left"/>
      <w:lvlText w:val="o"/>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upperLetter"/>
      <w:start w:val="2"/>
    </w:lvl>
  </w:abstractNum>
  <w:abstractNum w:abstractNumId="47">
    <w:nsid w:val="12E685FB"/>
    <w:multiLevelType w:val="hybridMultilevel"/>
    <w:lvl w:ilvl="0">
      <w:lvlJc w:val="left"/>
      <w:lvlText w:val="%1."/>
      <w:numFmt w:val="upperLetter"/>
      <w:start w:val="3"/>
    </w:lvl>
  </w:abstractNum>
  <w:abstractNum w:abstractNumId="48">
    <w:nsid w:val="70C6A529"/>
    <w:multiLevelType w:val="hybridMultilevel"/>
    <w:lvl w:ilvl="0">
      <w:lvlJc w:val="left"/>
      <w:lvlText w:val="%1."/>
      <w:numFmt w:val="upperLetter"/>
      <w:start w:val="4"/>
    </w:lvl>
  </w:abstractNum>
  <w:abstractNum w:abstractNumId="49">
    <w:nsid w:val="520EEDD1"/>
    <w:multiLevelType w:val="hybridMultilevel"/>
    <w:lvl w:ilvl="0">
      <w:lvlJc w:val="left"/>
      <w:lvlText w:val="%1."/>
      <w:numFmt w:val="upperLetter"/>
      <w:start w:val="5"/>
    </w:lvl>
  </w:abstractNum>
  <w:abstractNum w:abstractNumId="50">
    <w:nsid w:val="374A3FE6"/>
    <w:multiLevelType w:val="hybridMultilevel"/>
    <w:lvl w:ilvl="0">
      <w:lvlJc w:val="left"/>
      <w:lvlText w:val="%1."/>
      <w:numFmt w:val="upperLetter"/>
      <w:start w:val="6"/>
    </w:lvl>
  </w:abstractNum>
  <w:abstractNum w:abstractNumId="51">
    <w:nsid w:val="4F4EF005"/>
    <w:multiLevelType w:val="hybridMultilevel"/>
    <w:lvl w:ilvl="0">
      <w:lvlJc w:val="left"/>
      <w:lvlText w:val="%1."/>
      <w:numFmt w:val="decimal"/>
      <w:start w:val="1"/>
    </w:lvl>
    <w:lvl w:ilvl="1">
      <w:lvlJc w:val="left"/>
      <w:lvlText w:val="(%2)"/>
      <w:numFmt w:val="lowerLetter"/>
      <w:start w:val="1"/>
    </w:lvl>
  </w:abstractNum>
  <w:abstractNum w:abstractNumId="52">
    <w:nsid w:val="23F9C13C"/>
    <w:multiLevelType w:val="hybridMultilevel"/>
    <w:lvl w:ilvl="0">
      <w:lvlJc w:val="left"/>
      <w:lvlText w:val="%1."/>
      <w:numFmt w:val="decimal"/>
      <w:start w:val="5"/>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5"/>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55" Type="http://schemas.openxmlformats.org/officeDocument/2006/relationships/image" Target="media/image135.png"/><Relationship Id="rId179"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82" Type="http://schemas.openxmlformats.org/officeDocument/2006/relationships/hyperlink" Target="https://www.sec.gov/Archives/edgar/data/1816581/000119312521080046/d122652dex991.htm#toc" TargetMode="External"/><Relationship Id="rId143" Type="http://schemas.openxmlformats.org/officeDocument/2006/relationships/hyperlink" Target="https://www.sec.gov/Archives/edgar/data/0001816581/000119312521076326/d149743dex31.htm" TargetMode="External"/><Relationship Id="rId144" Type="http://schemas.openxmlformats.org/officeDocument/2006/relationships/hyperlink" Target="https://www.sec.gov/Archives/edgar/data/1816581/000119312523108331/d502108dex31.htm" TargetMode="External"/><Relationship Id="rId145" Type="http://schemas.openxmlformats.org/officeDocument/2006/relationships/hyperlink" Target="https://www.sec.gov/Archives/edgar/data/1816581/000119312524103286/d813445dex31.htm" TargetMode="External"/><Relationship Id="rId146" Type="http://schemas.openxmlformats.org/officeDocument/2006/relationships/hyperlink" Target="https://www.sec.gov/Archives/edgar/data/0001816581/000119312520229870/d938278dex41.htm" TargetMode="External"/><Relationship Id="rId147" Type="http://schemas.openxmlformats.org/officeDocument/2006/relationships/hyperlink" Target="https://www.sec.gov/Archives/edgar/data/0001816581/000119312520209451/d937985dex43.htm" TargetMode="External"/><Relationship Id="rId148" Type="http://schemas.openxmlformats.org/officeDocument/2006/relationships/hyperlink" Target="https://www.sec.gov/Archives/edgar/data/1745317/000119312522029612/d54842dex41.htm" TargetMode="External"/><Relationship Id="rId149" Type="http://schemas.openxmlformats.org/officeDocument/2006/relationships/hyperlink" Target="https://www.sec.gov/Archives/edgar/data/1816581/000162828025049640/oust-ex101xousterindemnifi.htm" TargetMode="External"/><Relationship Id="rId150" Type="http://schemas.openxmlformats.org/officeDocument/2006/relationships/hyperlink" Target="https://www.sec.gov/Archives/edgar/data/0001816581/000119312521080038/d122652dex102.htm" TargetMode="External"/><Relationship Id="rId151" Type="http://schemas.openxmlformats.org/officeDocument/2006/relationships/hyperlink" Target="https://www.sec.gov/Archives/edgar/data/0001816581/000119312521080038/d122652dex103.htm" TargetMode="External"/><Relationship Id="rId152" Type="http://schemas.openxmlformats.org/officeDocument/2006/relationships/hyperlink" Target="https://www.sec.gov/Archives/edgar/data/1816581/000119312520324674/d10549dex105a.htm" TargetMode="External"/><Relationship Id="rId153" Type="http://schemas.openxmlformats.org/officeDocument/2006/relationships/hyperlink" Target="https://www.sec.gov/Archives/edgar/data/1816581/000119312521080038/d122652dex103b.htm" TargetMode="External"/><Relationship Id="rId154" Type="http://schemas.openxmlformats.org/officeDocument/2006/relationships/hyperlink" Target="https://www.sec.gov/Archives/edgar/data/1816581/000162828024022948/oust-ex104xformofrestricte.htm" TargetMode="External"/><Relationship Id="rId156" Type="http://schemas.openxmlformats.org/officeDocument/2006/relationships/hyperlink" Target="https://www.sec.gov/Archives/edgar/data/1816581/000162828022004256/oust-ex106cfor202110xk.htm" TargetMode="External"/><Relationship Id="rId157" Type="http://schemas.openxmlformats.org/officeDocument/2006/relationships/hyperlink" Target="https://www.sec.gov/Archives/edgar/data/1816581/000119312525326944/d96126dex101.htm" TargetMode="External"/><Relationship Id="rId158" Type="http://schemas.openxmlformats.org/officeDocument/2006/relationships/hyperlink" Target="https://www.sec.gov/Archives/edgar/data/1816581/000162828024022948/oust-ex103xthirdamendedand.htm" TargetMode="External"/><Relationship Id="rId159" Type="http://schemas.openxmlformats.org/officeDocument/2006/relationships/hyperlink" Target="https://www.sec.gov/Archives/edgar/data/0001816581/000119312521311897/d245371dex991.htm" TargetMode="External"/><Relationship Id="rId160" Type="http://schemas.openxmlformats.org/officeDocument/2006/relationships/hyperlink" Target="https://www.sec.gov/Archives/edgar/data/1816581/000162828022004256/oust-ex109afor202110xk.htm" TargetMode="External"/><Relationship Id="rId161" Type="http://schemas.openxmlformats.org/officeDocument/2006/relationships/hyperlink" Target="https://www.sec.gov/Archives/edgar/data/1816581/000119312521104385/d156556dex109.htm" TargetMode="External"/><Relationship Id="rId162" Type="http://schemas.openxmlformats.org/officeDocument/2006/relationships/hyperlink" Target="https://www.sec.gov/Archives/edgar/data/1816581/000119312521104385/d156556dex109a.htm" TargetMode="External"/><Relationship Id="rId163" Type="http://schemas.openxmlformats.org/officeDocument/2006/relationships/hyperlink" Target="https://www.sec.gov/Archives/edgar/data/1816581/000119312521104385/d156556dex109b.htm" TargetMode="External"/><Relationship Id="rId164" Type="http://schemas.openxmlformats.org/officeDocument/2006/relationships/hyperlink" Target="https://www.sec.gov/Archives/edgar/data/1816581/000119312521104385/d156556dex109c.htm" TargetMode="External"/><Relationship Id="rId165" Type="http://schemas.openxmlformats.org/officeDocument/2006/relationships/hyperlink" Target="https://www.sec.gov/Archives/edgar/data/1816581/000119312524114352/d800696ddef14a.htm#toc800696_44" TargetMode="External"/><Relationship Id="rId166" Type="http://schemas.openxmlformats.org/officeDocument/2006/relationships/hyperlink" Target="https://www.sec.gov/Archives/edgar/data/1816581/000119312525117780/d900380dex11.htm" TargetMode="External"/><Relationship Id="rId167" Type="http://schemas.openxmlformats.org/officeDocument/2006/relationships/hyperlink" Target="https://www.sec.gov/Archives/edgar/data/1816581/000162828022028989/oust-30sep22xex102.htm" TargetMode="External"/><Relationship Id="rId168" Type="http://schemas.openxmlformats.org/officeDocument/2006/relationships/hyperlink" Target="https://www.sec.gov/Archives/edgar/data/1745317/000162828022029030/exhibit10122q3offerletterw.htm" TargetMode="External"/><Relationship Id="rId169" Type="http://schemas.openxmlformats.org/officeDocument/2006/relationships/hyperlink" Target="https://www.sec.gov/Archives/edgar/data/1745317/000110465920112259/tm2032425d1_ex10-2.htm" TargetMode="External"/><Relationship Id="rId170" Type="http://schemas.openxmlformats.org/officeDocument/2006/relationships/hyperlink" Target="https://www.sec.gov/Archives/edgar/data/1745317/000110465920112259/tm2032425d1_ex10-5.htm" TargetMode="External"/><Relationship Id="rId171" Type="http://schemas.openxmlformats.org/officeDocument/2006/relationships/hyperlink" Target="https://www.sec.gov/Archives/edgar/data/1816581/000119312523036876/d344849dex991.htm" TargetMode="External"/><Relationship Id="rId172" Type="http://schemas.openxmlformats.org/officeDocument/2006/relationships/hyperlink" Target="https://www.sec.gov/Archives/edgar/data/1745317/000119312522029612/d54842dex101.htm" TargetMode="External"/><Relationship Id="rId173" Type="http://schemas.openxmlformats.org/officeDocument/2006/relationships/hyperlink" Target="https://www.sec.gov/Archives/edgar/data/1816581/000119312524251296/d873558dex101.htm" TargetMode="External"/><Relationship Id="rId174" Type="http://schemas.openxmlformats.org/officeDocument/2006/relationships/hyperlink" Target="https://www.sec.gov/Archives/edgar/data/1816581/000119312524251296/d873558dex102.htm" TargetMode="External"/><Relationship Id="rId175" Type="http://schemas.openxmlformats.org/officeDocument/2006/relationships/hyperlink" Target="https://www.sec.gov/Archives/edgar/data/1816581/000119312521019642/d10549dex1014b.htm" TargetMode="External"/><Relationship Id="rId176" Type="http://schemas.openxmlformats.org/officeDocument/2006/relationships/hyperlink" Target="https://www.sec.gov/Archives/edgar/data/1816581/000119312520324674/d10549dex106.htm" TargetMode="External"/><Relationship Id="rId177" Type="http://schemas.openxmlformats.org/officeDocument/2006/relationships/hyperlink" Target="https://www.sec.gov/Archives/edgar/data/1816581/000119312521019642/d10549dex1014.htm" TargetMode="External"/><Relationship Id="rId178" Type="http://schemas.openxmlformats.org/officeDocument/2006/relationships/hyperlink" Target="https://www.sec.gov/Archives/edgar/data/1816581/000119312521019642/d10549dex1014a.htm" TargetMode="External"/><Relationship Id="rId180" Type="http://schemas.openxmlformats.org/officeDocument/2006/relationships/hyperlink" Target="https://www.sec.gov/Archives/edgar/data/1816581/000119312525103773/d871291dex101.htm" TargetMode="External"/><Relationship Id="rId181" Type="http://schemas.openxmlformats.org/officeDocument/2006/relationships/hyperlink" Target="https://www.sec.gov/Archives/edgar/data/1816581/000162828024013619/oust-ex971xerroneouslyaw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2026-03-02T16:30:38Z</dcterms:created>
  <dcterms:modified xsi:type="dcterms:W3CDTF">2026-03-02T16:30:38Z</dcterms:modified>
</cp:coreProperties>
</file>