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419100</wp:posOffset>
            </wp:positionH>
            <wp:positionV relativeFrom="page">
              <wp:posOffset>163195</wp:posOffset>
            </wp:positionV>
            <wp:extent cx="671004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419100</wp:posOffset>
            </wp:positionH>
            <wp:positionV relativeFrom="page">
              <wp:posOffset>203835</wp:posOffset>
            </wp:positionV>
            <wp:extent cx="671004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t>SECURITIES AND EXCHANGE COMMISSION</w:t>
      </w:r>
    </w:p>
    <w:p>
      <w:pPr>
        <w:ind w:left="4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2647950</wp:posOffset>
            </wp:positionH>
            <wp:positionV relativeFrom="paragraph">
              <wp:posOffset>219075</wp:posOffset>
            </wp:positionV>
            <wp:extent cx="141414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t>SCHEDULE 14A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(Rule 14a-101)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jc w:val="center"/>
        <w:ind w:right="-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INFORMATION REQUIRED IN PROXY STATEMENT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center"/>
        <w:ind w:right="-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t>SCHEDULE 14A INFORMATION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ind w:right="-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Proxy Statement Pursuant to Section 14(a) of the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Securities Exchange Act of 1934 (Amendment No.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2647950</wp:posOffset>
            </wp:positionH>
            <wp:positionV relativeFrom="paragraph">
              <wp:posOffset>210820</wp:posOffset>
            </wp:positionV>
            <wp:extent cx="141414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420" w:hanging="420"/>
        <w:spacing w:after="0"/>
        <w:tabs>
          <w:tab w:leader="none" w:pos="4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242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420" w:hanging="420"/>
        <w:spacing w:after="0"/>
        <w:tabs>
          <w:tab w:leader="none" w:pos="4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46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420" w:hanging="420"/>
        <w:spacing w:after="0"/>
        <w:tabs>
          <w:tab w:leader="none" w:pos="4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420" w:hanging="420"/>
        <w:spacing w:after="0"/>
        <w:tabs>
          <w:tab w:leader="none" w:pos="42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420" w:hanging="420"/>
        <w:spacing w:after="0"/>
        <w:tabs>
          <w:tab w:leader="none" w:pos="42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Pursuant to §240.14a-12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jc w:val="center"/>
        <w:ind w:right="-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t>OUSTER, INC.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Registrant as Specified in its Charter)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ind w:left="2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all boxes that apply):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420" w:hanging="420"/>
        <w:spacing w:after="0"/>
        <w:tabs>
          <w:tab w:leader="none" w:pos="42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420" w:hanging="420"/>
        <w:spacing w:after="0"/>
        <w:tabs>
          <w:tab w:leader="none" w:pos="4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244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420" w:hanging="420"/>
        <w:spacing w:after="0"/>
        <w:tabs>
          <w:tab w:leader="none" w:pos="4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175260</wp:posOffset>
            </wp:positionV>
            <wp:extent cx="67100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216535</wp:posOffset>
            </wp:positionV>
            <wp:extent cx="67100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799"/>
          </w:cols>
          <w:pgMar w:left="660" w:top="496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193040</wp:posOffset>
            </wp:positionH>
            <wp:positionV relativeFrom="page">
              <wp:posOffset>88900</wp:posOffset>
            </wp:positionV>
            <wp:extent cx="7211060" cy="41446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1060" cy="4144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6"/>
          <w:szCs w:val="26"/>
          <w:color w:val="004878"/>
        </w:rPr>
        <w:t>You invested in OUSTER, INC. and it’s time to vote!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20" w:right="70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4878"/>
        </w:rPr>
        <w:t xml:space="preserve">You have the right to vote on proposals being presented at the Annual Meeting. </w:t>
      </w:r>
      <w:r>
        <w:rPr>
          <w:rFonts w:ascii="Arial" w:cs="Arial" w:eastAsia="Arial" w:hAnsi="Arial"/>
          <w:sz w:val="17"/>
          <w:szCs w:val="17"/>
          <w:b w:val="1"/>
          <w:bCs w:val="1"/>
          <w:color w:val="004878"/>
        </w:rPr>
        <w:t>This is an important notice regarding the</w:t>
      </w:r>
      <w:r>
        <w:rPr>
          <w:rFonts w:ascii="Arial" w:cs="Arial" w:eastAsia="Arial" w:hAnsi="Arial"/>
          <w:sz w:val="17"/>
          <w:szCs w:val="17"/>
          <w:color w:val="004878"/>
        </w:rPr>
        <w:t xml:space="preserve"> </w:t>
      </w:r>
      <w:r>
        <w:rPr>
          <w:rFonts w:ascii="Arial" w:cs="Arial" w:eastAsia="Arial" w:hAnsi="Arial"/>
          <w:sz w:val="17"/>
          <w:szCs w:val="17"/>
          <w:b w:val="1"/>
          <w:bCs w:val="1"/>
          <w:color w:val="004878"/>
        </w:rPr>
        <w:t>availability of proxy materials for the stockholder meeting to be held on June 21, 2024.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6"/>
          <w:szCs w:val="26"/>
          <w:color w:val="004878"/>
        </w:rPr>
        <w:t>Get informed before you vote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2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4878"/>
        </w:rPr>
        <w:t>View the Notice and Proxy Statement and Annual Report online OR you can receive a free paper or email copy of the material(s) by requesting prior to June 7, 2024. If you would like to request a copy of the material(s) for this and/or future stockholder meetings, you may (1) visit www.ProxyVote.com, (2) call 1-800-579-1639 or (3) send an email to sendmaterial@proxyvote.com. If sending an email, please include your control number (indicated below) in the subject line. Unless requested, you will not otherwise receive a paper or email copy.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137160</wp:posOffset>
            </wp:positionV>
            <wp:extent cx="6985000" cy="25330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0" cy="2533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4878"/>
        </w:rPr>
        <w:t>     *Please check the meeting materials for any special requirements for meeting attendance.</w:t>
      </w:r>
    </w:p>
    <w:p>
      <w:pPr>
        <w:sectPr>
          <w:pgSz w:w="11900" w:h="16838" w:orient="portrait"/>
          <w:cols w:equalWidth="0" w:num="1">
            <w:col w:w="10360"/>
          </w:cols>
          <w:pgMar w:left="660" w:top="1440" w:right="879" w:bottom="144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6"/>
          <w:szCs w:val="26"/>
          <w:b w:val="1"/>
          <w:bCs w:val="1"/>
          <w:color w:val="007BB6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193040</wp:posOffset>
            </wp:positionH>
            <wp:positionV relativeFrom="page">
              <wp:posOffset>88900</wp:posOffset>
            </wp:positionV>
            <wp:extent cx="7179945" cy="374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9945" cy="3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  Vote at www.ProxyVote.com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213995</wp:posOffset>
            </wp:positionV>
            <wp:extent cx="6710045" cy="4127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0045" cy="4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004878"/>
        </w:rPr>
        <w:t>  THIS IS NOT A VOTABLE BALLOT</w:t>
      </w:r>
    </w:p>
    <w:p>
      <w:pPr>
        <w:sectPr>
          <w:pgSz w:w="11900" w:h="16838" w:orient="portrait"/>
          <w:cols w:equalWidth="0" w:num="1">
            <w:col w:w="10560"/>
          </w:cols>
          <w:pgMar w:left="660" w:top="255" w:right="679" w:bottom="1440" w:gutter="0" w:footer="0" w:header="0"/>
        </w:sectPr>
      </w:pP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20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4878"/>
        </w:rPr>
        <w:t>This is an overview of the proposals being presented at the upcoming stockholder meeting. Please follow the instructions on the reverse side to vote these important matters.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"/>
          <w:szCs w:val="6"/>
          <w:color w:val="auto"/>
        </w:rPr>
        <w:t> </w:t>
      </w:r>
    </w:p>
    <w:p>
      <w:pPr>
        <w:spacing w:after="0" w:line="75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880" w:space="500"/>
            <w:col w:w="5180"/>
          </w:cols>
          <w:pgMar w:left="660" w:top="255" w:right="679" w:bottom="144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004878"/>
              </w:rPr>
              <w:t>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9360" w:type="dxa"/>
            <w:vAlign w:val="bottom"/>
            <w:tcBorders>
              <w:bottom w:val="single" w:sz="8" w:color="F0EFF7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004878"/>
              </w:rPr>
              <w:t>  Voting Items</w:t>
            </w:r>
          </w:p>
        </w:tc>
        <w:tc>
          <w:tcPr>
            <w:tcW w:w="1200" w:type="dxa"/>
            <w:vAlign w:val="bottom"/>
            <w:tcBorders>
              <w:bottom w:val="single" w:sz="8" w:color="F0EFF7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004878"/>
                <w:w w:val="99"/>
              </w:rPr>
              <w:t>Recommends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40" w:type="dxa"/>
            <w:vAlign w:val="bottom"/>
            <w:shd w:val="clear" w:color="auto" w:fill="F0EFF7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  <w:w w:val="80"/>
              </w:rPr>
              <w:t>  1.</w:t>
            </w:r>
          </w:p>
        </w:tc>
        <w:tc>
          <w:tcPr>
            <w:tcW w:w="9120" w:type="dxa"/>
            <w:vAlign w:val="bottom"/>
            <w:tcBorders>
              <w:right w:val="single" w:sz="8" w:color="004878"/>
            </w:tcBorders>
            <w:shd w:val="clear" w:color="auto" w:fill="F0EFF7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Election of Class III Directors</w:t>
            </w:r>
          </w:p>
        </w:tc>
        <w:tc>
          <w:tcPr>
            <w:tcW w:w="1200" w:type="dxa"/>
            <w:vAlign w:val="bottom"/>
            <w:shd w:val="clear" w:color="auto" w:fill="F0EFF7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4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120" w:type="dxa"/>
            <w:vAlign w:val="bottom"/>
            <w:tcBorders>
              <w:right w:val="single" w:sz="8" w:color="004878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4878"/>
              </w:rPr>
              <w:t>Nominees:</w:t>
            </w:r>
          </w:p>
        </w:tc>
        <w:tc>
          <w:tcPr>
            <w:tcW w:w="120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40" w:type="dxa"/>
            <w:vAlign w:val="bottom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120" w:type="dxa"/>
            <w:vAlign w:val="bottom"/>
            <w:tcBorders>
              <w:right w:val="single" w:sz="8" w:color="004878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01)  Susan Heystee</w:t>
            </w:r>
          </w:p>
        </w:tc>
        <w:tc>
          <w:tcPr>
            <w:tcW w:w="1200" w:type="dxa"/>
            <w:vAlign w:val="bottom"/>
            <w:shd w:val="clear" w:color="auto" w:fill="F0EFF7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4878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40" w:type="dxa"/>
            <w:vAlign w:val="bottom"/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120" w:type="dxa"/>
            <w:vAlign w:val="bottom"/>
            <w:tcBorders>
              <w:right w:val="single" w:sz="8" w:color="004878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02)  Angus Pacala</w:t>
            </w:r>
          </w:p>
        </w:tc>
        <w:tc>
          <w:tcPr>
            <w:tcW w:w="1200" w:type="dxa"/>
            <w:vAlign w:val="bottom"/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4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20" w:type="dxa"/>
            <w:vAlign w:val="bottom"/>
            <w:tcBorders>
              <w:bottom w:val="single" w:sz="8" w:color="004878"/>
              <w:right w:val="single" w:sz="8" w:color="004878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03)  Theodore L. Tewksbury, Ph.D.</w:t>
            </w:r>
          </w:p>
        </w:tc>
        <w:tc>
          <w:tcPr>
            <w:tcW w:w="120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shd w:val="clear" w:color="auto" w:fill="F0EFF7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  <w:w w:val="80"/>
              </w:rPr>
              <w:t>  2.</w:t>
            </w:r>
          </w:p>
        </w:tc>
        <w:tc>
          <w:tcPr>
            <w:tcW w:w="9120" w:type="dxa"/>
            <w:vAlign w:val="bottom"/>
            <w:tcBorders>
              <w:right w:val="single" w:sz="8" w:color="004878"/>
            </w:tcBorders>
            <w:shd w:val="clear" w:color="auto" w:fill="F0EFF7"/>
          </w:tcPr>
          <w:p>
            <w:pPr>
              <w:ind w:left="10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Ratification of the appointment of PricewaterhouseCoopers LLP as the Company’s independent registered public</w:t>
            </w:r>
          </w:p>
        </w:tc>
        <w:tc>
          <w:tcPr>
            <w:tcW w:w="1200" w:type="dxa"/>
            <w:vAlign w:val="bottom"/>
            <w:vMerge w:val="restart"/>
            <w:shd w:val="clear" w:color="auto" w:fill="F0EFF7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4878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" w:type="dxa"/>
            <w:vAlign w:val="bottom"/>
            <w:shd w:val="clear" w:color="auto" w:fill="F0EFF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120" w:type="dxa"/>
            <w:vAlign w:val="bottom"/>
            <w:tcBorders>
              <w:right w:val="single" w:sz="8" w:color="004878"/>
            </w:tcBorders>
            <w:vMerge w:val="restart"/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accounting firm for the fiscal year ending December 31, 2024.</w:t>
            </w:r>
          </w:p>
        </w:tc>
        <w:tc>
          <w:tcPr>
            <w:tcW w:w="1200" w:type="dxa"/>
            <w:vAlign w:val="bottom"/>
            <w:vMerge w:val="continue"/>
            <w:shd w:val="clear" w:color="auto" w:fill="F0EFF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4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120" w:type="dxa"/>
            <w:vAlign w:val="bottom"/>
            <w:tcBorders>
              <w:bottom w:val="single" w:sz="8" w:color="004878"/>
              <w:right w:val="single" w:sz="8" w:color="004878"/>
            </w:tcBorders>
            <w:vMerge w:val="continue"/>
            <w:shd w:val="clear" w:color="auto" w:fill="F0EFF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4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  <w:w w:val="80"/>
              </w:rPr>
              <w:t>  3.</w:t>
            </w:r>
          </w:p>
        </w:tc>
        <w:tc>
          <w:tcPr>
            <w:tcW w:w="9120" w:type="dxa"/>
            <w:vAlign w:val="bottom"/>
            <w:tcBorders>
              <w:bottom w:val="single" w:sz="8" w:color="F0EFF7"/>
              <w:right w:val="single" w:sz="8" w:color="004878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Approval, on an advisory (non-binding) basis, of the compensation of the Company’s named executive officers.</w:t>
            </w:r>
          </w:p>
        </w:tc>
        <w:tc>
          <w:tcPr>
            <w:tcW w:w="120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4878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tcBorders>
              <w:top w:val="single" w:sz="8" w:color="004878"/>
            </w:tcBorders>
            <w:shd w:val="clear" w:color="auto" w:fill="F0EFF7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  <w:w w:val="80"/>
              </w:rPr>
              <w:t>  4.</w:t>
            </w:r>
          </w:p>
        </w:tc>
        <w:tc>
          <w:tcPr>
            <w:tcW w:w="9120" w:type="dxa"/>
            <w:vAlign w:val="bottom"/>
            <w:tcBorders>
              <w:top w:val="single" w:sz="8" w:color="004878"/>
              <w:right w:val="single" w:sz="8" w:color="004878"/>
            </w:tcBorders>
            <w:shd w:val="clear" w:color="auto" w:fill="F0EFF7"/>
          </w:tcPr>
          <w:p>
            <w:pPr>
              <w:ind w:left="10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Approval of the amended and restated 2022 Employee Stock Purchase Plan to increase the number of shares</w:t>
            </w:r>
          </w:p>
        </w:tc>
        <w:tc>
          <w:tcPr>
            <w:tcW w:w="1200" w:type="dxa"/>
            <w:vAlign w:val="bottom"/>
            <w:tcBorders>
              <w:top w:val="single" w:sz="8" w:color="004878"/>
            </w:tcBorders>
            <w:vMerge w:val="restart"/>
            <w:shd w:val="clear" w:color="auto" w:fill="F0EFF7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4878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" w:type="dxa"/>
            <w:vAlign w:val="bottom"/>
            <w:shd w:val="clear" w:color="auto" w:fill="F0EFF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120" w:type="dxa"/>
            <w:vAlign w:val="bottom"/>
            <w:tcBorders>
              <w:right w:val="single" w:sz="8" w:color="004878"/>
            </w:tcBorders>
            <w:vMerge w:val="restart"/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authorized for issuance.</w:t>
            </w:r>
          </w:p>
        </w:tc>
        <w:tc>
          <w:tcPr>
            <w:tcW w:w="1200" w:type="dxa"/>
            <w:vAlign w:val="bottom"/>
            <w:vMerge w:val="continue"/>
            <w:shd w:val="clear" w:color="auto" w:fill="F0EFF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4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120" w:type="dxa"/>
            <w:vAlign w:val="bottom"/>
            <w:tcBorders>
              <w:bottom w:val="single" w:sz="8" w:color="004878"/>
              <w:right w:val="single" w:sz="8" w:color="004878"/>
            </w:tcBorders>
            <w:vMerge w:val="continue"/>
            <w:shd w:val="clear" w:color="auto" w:fill="F0EFF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4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  <w:w w:val="80"/>
              </w:rPr>
              <w:t>  5.</w:t>
            </w:r>
          </w:p>
        </w:tc>
        <w:tc>
          <w:tcPr>
            <w:tcW w:w="9120" w:type="dxa"/>
            <w:vAlign w:val="bottom"/>
            <w:tcBorders>
              <w:bottom w:val="single" w:sz="8" w:color="F0EFF7"/>
              <w:right w:val="single" w:sz="8" w:color="004878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Approval of the Velodyne Lidar, Inc. 2020 Equity Incentive Plan.</w:t>
            </w:r>
          </w:p>
        </w:tc>
        <w:tc>
          <w:tcPr>
            <w:tcW w:w="120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4878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487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120" w:type="dxa"/>
            <w:vAlign w:val="bottom"/>
            <w:tcBorders>
              <w:right w:val="single" w:sz="8" w:color="004878"/>
            </w:tcBorders>
            <w:shd w:val="clear" w:color="auto" w:fill="00487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00487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-1397635</wp:posOffset>
            </wp:positionV>
            <wp:extent cx="6710045" cy="35769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0045" cy="3576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 w:right="2200"/>
        <w:spacing w:after="0" w:line="27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004878"/>
        </w:rPr>
        <w:t xml:space="preserve">NOTE: </w:t>
      </w:r>
      <w:r>
        <w:rPr>
          <w:rFonts w:ascii="Arial" w:cs="Arial" w:eastAsia="Arial" w:hAnsi="Arial"/>
          <w:sz w:val="17"/>
          <w:szCs w:val="17"/>
          <w:color w:val="004878"/>
        </w:rPr>
        <w:t>Such other business as may properly come before the meeting or any continuation, postponement or</w:t>
      </w:r>
      <w:r>
        <w:rPr>
          <w:rFonts w:ascii="Arial" w:cs="Arial" w:eastAsia="Arial" w:hAnsi="Arial"/>
          <w:sz w:val="17"/>
          <w:szCs w:val="17"/>
          <w:b w:val="1"/>
          <w:bCs w:val="1"/>
          <w:color w:val="004878"/>
        </w:rPr>
        <w:t xml:space="preserve"> </w:t>
      </w:r>
      <w:r>
        <w:rPr>
          <w:rFonts w:ascii="Arial" w:cs="Arial" w:eastAsia="Arial" w:hAnsi="Arial"/>
          <w:sz w:val="17"/>
          <w:szCs w:val="17"/>
          <w:color w:val="004878"/>
        </w:rPr>
        <w:t>adjournment thereof.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1972945</wp:posOffset>
            </wp:positionV>
            <wp:extent cx="6710045" cy="18097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0045" cy="180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FFFFFF"/>
        </w:rPr>
        <w:t>Prefer to receive an email instead? While voting on www.ProxyVote.com, be sure to click “Delivery Settings”.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231F20"/>
        </w:rPr>
        <w:t>V50046-P12052</w:t>
      </w:r>
    </w:p>
    <w:sectPr>
      <w:pgSz w:w="11900" w:h="16838" w:orient="portrait"/>
      <w:cols w:equalWidth="0" w:num="1">
        <w:col w:w="10560"/>
      </w:cols>
      <w:pgMar w:left="660" w:top="255" w:right="6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2024-04-25T16:40:04Z</dcterms:created>
  <dcterms:modified xsi:type="dcterms:W3CDTF">2024-04-25T16:40:04Z</dcterms:modified>
</cp:coreProperties>
</file>