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Frichtl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TREAT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Ouster,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OUST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1051"/>
        <w:gridCol w:w="446"/>
        <w:gridCol w:w="74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14.22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376,510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2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Incentive Stock Option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14.22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100,713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received upon exercise remain subject to a lock-up period that expires at the close of business on August 31, 2026, pursuant to the lock-up agreement entered into for the Registrant's offering of common stock that closed on July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are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the Reporting Person's Form 4 dated March 15, 2021 in which this option grant was reported, incentive stock options and non-qualified stock options were reported in the aggregate. All non-qualified stock options have since been exercised, with 100,713 incentive stock options remaining.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Megan Chung, as Attorney-in-Fact for Mark Frichtl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7596" TargetMode="External"/><Relationship Id="rId5" Type="http://schemas.openxmlformats.org/officeDocument/2006/relationships/hyperlink" Target="http://www.sec.gov/cgi-bin/browse-edgar?action=getcompany&amp;CIK=0001816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675</Words>
  <Characters>3674</Characters>
  <CharactersWithSpaces>4268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