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60029ds3asr.htm"/>
        <w:bookmarkStart w:id="1" w:name="ksd160029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Securities and Exchange Commission on July 1,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36"/>
        </w:rPr>
      </w:pPr>
      <w:r>
        <w:rPr>
          <w:rFonts w:ascii="Times New Roman" w:hAnsi="Times New Roman"/>
          <w:b/>
          <w:sz w:val="36"/>
        </w:rPr>
        <w:t xml:space="preserve">Form S-3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48"/>
        </w:rPr>
      </w:pPr>
      <w:r>
        <w:rPr>
          <w:rFonts w:ascii="Times New Roman" w:hAnsi="Times New Roman"/>
          <w:b/>
          <w:sz w:val="48"/>
        </w:rPr>
        <w:t xml:space="preserve">Ouster,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86-2528989</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60" w:after="0"/>
        <w:jc w:val="center"/>
        <w:rPr>
          <w:rFonts w:ascii="Times New Roman" w:hAnsi="Times New Roman"/>
          <w:b/>
          <w:sz w:val="20"/>
        </w:rPr>
      </w:pPr>
      <w:r>
        <w:rPr>
          <w:rFonts w:ascii="Times New Roman" w:hAnsi="Times New Roman"/>
          <w:b/>
          <w:sz w:val="20"/>
        </w:rPr>
        <w:t xml:space="preserve">350 Treat Avenue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California 94110 </w:t>
      </w:r>
    </w:p>
    <w:p>
      <w:pPr>
        <w:pStyle w:val="TextBody"/>
        <w:bidi w:val="0"/>
        <w:spacing w:before="0" w:after="0"/>
        <w:jc w:val="center"/>
        <w:rPr>
          <w:rFonts w:ascii="Times New Roman" w:hAnsi="Times New Roman"/>
          <w:b/>
          <w:sz w:val="20"/>
        </w:rPr>
      </w:pPr>
      <w:r>
        <w:rPr>
          <w:rFonts w:ascii="Times New Roman" w:hAnsi="Times New Roman"/>
          <w:b/>
          <w:sz w:val="20"/>
        </w:rPr>
        <w:t xml:space="preserve">(415) 949-0108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20"/>
        </w:rPr>
      </w:pPr>
      <w:r>
        <w:rPr>
          <w:rFonts w:ascii="Times New Roman" w:hAnsi="Times New Roman"/>
          <w:b/>
          <w:sz w:val="20"/>
        </w:rPr>
        <w:t xml:space="preserve">Megan Chung </w:t>
      </w:r>
    </w:p>
    <w:p>
      <w:pPr>
        <w:pStyle w:val="TextBody"/>
        <w:bidi w:val="0"/>
        <w:spacing w:before="0" w:after="0"/>
        <w:jc w:val="center"/>
        <w:rPr>
          <w:rFonts w:ascii="Times New Roman" w:hAnsi="Times New Roman"/>
          <w:b/>
          <w:sz w:val="20"/>
        </w:rPr>
      </w:pPr>
      <w:r>
        <w:rPr>
          <w:rFonts w:ascii="Times New Roman" w:hAnsi="Times New Roman"/>
          <w:b/>
          <w:sz w:val="20"/>
        </w:rPr>
        <w:t xml:space="preserve">General Counsel and 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Ouster, Inc. </w:t>
      </w:r>
    </w:p>
    <w:p>
      <w:pPr>
        <w:pStyle w:val="TextBody"/>
        <w:bidi w:val="0"/>
        <w:spacing w:before="0" w:after="0"/>
        <w:jc w:val="center"/>
        <w:rPr>
          <w:rFonts w:ascii="Times New Roman" w:hAnsi="Times New Roman"/>
          <w:b/>
          <w:sz w:val="20"/>
        </w:rPr>
      </w:pPr>
      <w:r>
        <w:rPr>
          <w:rFonts w:ascii="Times New Roman" w:hAnsi="Times New Roman"/>
          <w:b/>
          <w:sz w:val="20"/>
        </w:rPr>
        <w:t xml:space="preserve">350 Treat Avenue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California 94110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60" w:after="0"/>
        <w:jc w:val="center"/>
        <w:rPr>
          <w:rFonts w:ascii="Times New Roman" w:hAnsi="Times New Roman"/>
          <w:b/>
          <w:sz w:val="20"/>
        </w:rPr>
      </w:pPr>
      <w:r>
        <w:rPr>
          <w:rFonts w:ascii="Times New Roman" w:hAnsi="Times New Roman"/>
          <w:b/>
          <w:sz w:val="20"/>
        </w:rPr>
        <w:t xml:space="preserve">Drew Capurro </w:t>
      </w:r>
    </w:p>
    <w:p>
      <w:pPr>
        <w:pStyle w:val="TextBody"/>
        <w:bidi w:val="0"/>
        <w:spacing w:before="0" w:after="0"/>
        <w:jc w:val="center"/>
        <w:rPr>
          <w:rFonts w:ascii="Times New Roman" w:hAnsi="Times New Roman"/>
          <w:b/>
          <w:sz w:val="20"/>
        </w:rPr>
      </w:pPr>
      <w:r>
        <w:rPr>
          <w:rFonts w:ascii="Times New Roman" w:hAnsi="Times New Roman"/>
          <w:b/>
          <w:sz w:val="20"/>
        </w:rPr>
        <w:t xml:space="preserve">Latham &amp; Watkins LLP </w:t>
      </w:r>
    </w:p>
    <w:p>
      <w:pPr>
        <w:pStyle w:val="TextBody"/>
        <w:bidi w:val="0"/>
        <w:spacing w:before="0" w:after="0"/>
        <w:jc w:val="center"/>
        <w:rPr>
          <w:rFonts w:ascii="Times New Roman" w:hAnsi="Times New Roman"/>
          <w:b/>
          <w:sz w:val="20"/>
        </w:rPr>
      </w:pPr>
      <w:r>
        <w:rPr>
          <w:rFonts w:ascii="Times New Roman" w:hAnsi="Times New Roman"/>
          <w:b/>
          <w:sz w:val="20"/>
        </w:rPr>
        <w:t xml:space="preserve">650 Town Center Drive, 20th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Costa Mesa, California 92626 </w:t>
      </w:r>
    </w:p>
    <w:p>
      <w:pPr>
        <w:pStyle w:val="TextBody"/>
        <w:bidi w:val="0"/>
        <w:spacing w:before="0" w:after="0"/>
        <w:jc w:val="center"/>
        <w:rPr>
          <w:rFonts w:ascii="Times New Roman" w:hAnsi="Times New Roman"/>
          <w:b/>
          <w:sz w:val="20"/>
        </w:rPr>
      </w:pPr>
      <w:r>
        <w:rPr>
          <w:rFonts w:ascii="Times New Roman" w:hAnsi="Times New Roman"/>
          <w:b/>
          <w:sz w:val="20"/>
        </w:rPr>
        <w:t xml:space="preserve">(714) 540-1235 </w:t>
      </w:r>
    </w:p>
    <w:p>
      <w:pPr>
        <w:pStyle w:val="TextBody"/>
        <w:bidi w:val="0"/>
        <w:spacing w:before="0" w:after="0"/>
        <w:jc w:val="left"/>
        <w:rPr>
          <w:rFonts w:ascii="Times New Roman" w:hAnsi="Times New Roman"/>
          <w:sz w:val="20"/>
        </w:rPr>
      </w:pPr>
      <w:r>
        <w:rPr>
          <w:rFonts w:ascii="Times New Roman" w:hAnsi="Times New Roman"/>
          <w:b/>
          <w:sz w:val="20"/>
        </w:rPr>
        <w:t xml:space="preserve">APPROXIMATE DATE OF COMMENCEMENT OF PROPOSED SALE TO THE PUBLIC: </w:t>
      </w:r>
      <w:r>
        <w:rPr>
          <w:rFonts w:ascii="Times New Roman" w:hAnsi="Times New Roman"/>
          <w:sz w:val="20"/>
        </w:rPr>
        <w:t xml:space="preserve">From time to time after the effective date of this registration statement.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20"/>
        </w:rPr>
      </w:pPr>
      <w:r>
        <w:rPr>
          <w:rFonts w:ascii="Times New Roman" w:hAnsi="Times New Roman"/>
          <w:sz w:val="20"/>
        </w:rPr>
        <w:t xml:space="preserve">If the only securities being registered on this Form are being offered pursuant to dividend or interest reinvestment plans, please check the following box. ☐ </w:t>
      </w:r>
    </w:p>
    <w:p>
      <w:pPr>
        <w:pStyle w:val="TextBody"/>
        <w:bidi w:val="0"/>
        <w:spacing w:before="60" w:after="0"/>
        <w:jc w:val="left"/>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60" w:after="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20"/>
        </w:rPr>
      </w:pPr>
      <w:r>
        <w:rPr>
          <w:rFonts w:ascii="Times New Roman" w:hAnsi="Times New Roman"/>
          <w:sz w:val="20"/>
        </w:rPr>
        <w:t xml:space="preserve">If this Form is a registration statement pursuant to General Instruction I.D. or a post-effective amendment thereto that shall become effective on filing with the Commission pursuant to Rule 462(e) under the Securities Act, check the following box. ☒ </w:t>
      </w:r>
    </w:p>
    <w:p>
      <w:pPr>
        <w:pStyle w:val="TextBody"/>
        <w:bidi w:val="0"/>
        <w:spacing w:before="60" w:after="0"/>
        <w:jc w:val="left"/>
        <w:rPr>
          <w:rFonts w:ascii="Times New Roman" w:hAnsi="Times New Roman"/>
          <w:sz w:val="20"/>
        </w:rPr>
      </w:pPr>
      <w:r>
        <w:rPr>
          <w:rFonts w:ascii="Times New Roman" w:hAnsi="Times New Roman"/>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6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6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6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6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417320" cy="7505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7320" cy="7505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Ouster,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240" w:after="0"/>
        <w:jc w:val="left"/>
        <w:rPr/>
      </w:pPr>
      <w:r>
        <w:rPr>
          <w:rFonts w:ascii="Times New Roman" w:hAnsi="Times New Roman"/>
          <w:b/>
          <w:sz w:val="24"/>
        </w:rPr>
        <w:t>INVESTING IN OUR SECURITIES INVOLVES RISKS. SEE THE “</w:t>
      </w:r>
      <w:hyperlink w:anchor="toc160029_5">
        <w:r>
          <w:rPr>
            <w:rStyle w:val="InternetLink"/>
            <w:rFonts w:ascii="Times New Roman" w:hAnsi="Times New Roman"/>
            <w:b/>
            <w:sz w:val="24"/>
          </w:rPr>
          <w:t>RISK FACTORS</w:t>
        </w:r>
      </w:hyperlink>
      <w:r>
        <w:rPr>
          <w:rFonts w:ascii="Times New Roman" w:hAnsi="Times New Roman"/>
          <w:b/>
          <w:sz w:val="24"/>
        </w:rPr>
        <w:t xml:space="preserve">” ON PAGE 6 OF THIS PROSPECTUS AND ANY SIMILAR SECTION CONTAINED IN THE APPLICABLE PROSPECTUS SUPPLEMENT AND IN THE DOCUMENTS INCORPORATED BY REFERENCE HEREIN OR THEREIN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“OUST.” On June 30, 2026, the last reported sale price of our common stock on the Nasdaq Global Select Market was $62.52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July 1,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16002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2">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3">
              <w:r>
                <w:rPr>
                  <w:rStyle w:val="InternetLink"/>
                  <w:rFonts w:ascii="Times New Roman" w:hAnsi="Times New Roman"/>
                  <w:sz w:val="20"/>
                </w:rPr>
                <w:t>WHERE YOU CAN FIND MORE INFORMATION; 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9">
              <w:r>
                <w:rPr>
                  <w:rStyle w:val="InternetLink"/>
                  <w:rFonts w:ascii="Times New Roman" w:hAnsi="Times New Roman"/>
                  <w:sz w:val="20"/>
                </w:rPr>
                <w:t>DESCRIPTION OF OTHER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0">
              <w:r>
                <w:rPr>
                  <w:rStyle w:val="InternetLink"/>
                  <w:rFonts w:ascii="Times New Roman" w:hAnsi="Times New Roman"/>
                  <w:sz w:val="20"/>
                </w:rPr>
                <w:t>GLOBAL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1">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60029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“Ouster,” “we,” “our,” “us” and the “Company” in this prospectus, we mean Ouster, Inc. and its consolidated subsidiaries, unless otherwise specified. When we refer to “you,” we mean the potential holders of the applicable series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60029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applicable prospectus supplement contain forward-looking statements, which reflect our current views with respect to, among other things, our operations and financial performance. All statements other than statements of historical facts contained in this prospectus and any applicable prospectus supplement are forward-looking statements, including any statements regarding our ability to maintain or grow our global sales and bolster our financial position; our expected contractual obligations and capital expenditures; the capabilities of and demand for our products; our anticipated new product launches and anticipated impacts from recent product launches; our future results of operations and financial position; industry and business trends; the remediation of material weaknesses; the impact of market conditions and other macroeconomic factors on our business, financial condition and results of operation; expectations regarding legal proceedings; our future business strategy, plans, distribution partnerships, market growth and our objectives for future operations.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“should,” “expects,” “might,” “plans,” “anticipates,” “could,” “intends,” “target,” “projects,” “contemplates,” “believes,” “estimates,” “predicts,” “potential,” “seek,” “would”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 but are not limited to the risks described under the heading “Risk Factors” contained in this prospectus, the applicable prospectus supplement and any applicable free writing prospectus, and under similar headings in other documents that are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160029_3"/>
      <w:bookmarkEnd w:id="5"/>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hAnsi="Times New Roman"/>
          <w:i/>
          <w:sz w:val="20"/>
        </w:rPr>
        <w:t>http://www.sec.gov</w:t>
      </w:r>
      <w:r>
        <w:rPr>
          <w:rFonts w:ascii="Times New Roman" w:hAnsi="Times New Roman"/>
          <w:sz w:val="20"/>
        </w:rPr>
        <w:t xml:space="preserve">. You may access these materials free of charge as soon as reasonably practicable after they are electronically filed with or furnished to the SEC. </w:t>
      </w:r>
    </w:p>
    <w:p>
      <w:pPr>
        <w:pStyle w:val="TextBody"/>
        <w:bidi w:val="0"/>
        <w:spacing w:before="240" w:after="0"/>
        <w:jc w:val="left"/>
        <w:rPr>
          <w:rFonts w:ascii="Times New Roman" w:hAnsi="Times New Roman"/>
          <w:sz w:val="20"/>
        </w:rPr>
      </w:pPr>
      <w:r>
        <w:rPr>
          <w:rFonts w:ascii="Times New Roman" w:hAnsi="Times New Roman"/>
          <w:sz w:val="20"/>
        </w:rPr>
        <w:t xml:space="preserve">Our web site address is </w:t>
      </w:r>
      <w:r>
        <w:rPr>
          <w:rFonts w:ascii="Times New Roman" w:hAnsi="Times New Roman"/>
          <w:i/>
          <w:sz w:val="20"/>
        </w:rPr>
        <w:t>www.ouster.com</w:t>
      </w:r>
      <w:r>
        <w:rPr>
          <w:rFonts w:ascii="Times New Roman" w:hAnsi="Times New Roman"/>
          <w:sz w:val="20"/>
        </w:rPr>
        <w:t xml:space="preserve">. The information on our web site, however, is not, and should not be deemed to be, a part of, or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5">
              <w:r>
                <w:rPr>
                  <w:rStyle w:val="InternetLink"/>
                  <w:rFonts w:ascii="Times New Roman" w:hAnsi="Times New Roman"/>
                  <w:sz w:val="20"/>
                </w:rPr>
                <w:t>Form 10-Q</w:t>
              </w:r>
            </w:hyperlink>
            <w:r>
              <w:rPr>
                <w:rFonts w:ascii="Times New Roman" w:hAnsi="Times New Roman"/>
                <w:sz w:val="20"/>
              </w:rPr>
              <w:t xml:space="preserve"> for the quarter ended March 31, 2026, filed with the SEC on May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May  8, 2026</w:t>
              </w:r>
            </w:hyperlink>
            <w:r>
              <w:rPr>
                <w:rFonts w:ascii="Times New Roman" w:hAnsi="Times New Roman"/>
                <w:sz w:val="20"/>
              </w:rPr>
              <w:t xml:space="preserve"> and </w:t>
            </w:r>
            <w:hyperlink r:id="rId7">
              <w:r>
                <w:rPr>
                  <w:rStyle w:val="InternetLink"/>
                  <w:rFonts w:ascii="Times New Roman" w:hAnsi="Times New Roman"/>
                  <w:sz w:val="20"/>
                </w:rPr>
                <w:t>June 18,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the our Registration Statement on </w:t>
            </w:r>
            <w:hyperlink r:id="rId8">
              <w:r>
                <w:rPr>
                  <w:rStyle w:val="InternetLink"/>
                  <w:rFonts w:ascii="Times New Roman" w:hAnsi="Times New Roman"/>
                  <w:sz w:val="20"/>
                </w:rPr>
                <w:t>Form 8-A</w:t>
              </w:r>
            </w:hyperlink>
            <w:r>
              <w:rPr>
                <w:rFonts w:ascii="Times New Roman" w:hAnsi="Times New Roman"/>
                <w:sz w:val="20"/>
              </w:rPr>
              <w:t xml:space="preserve">, filed with the SEC on December 20, 2024, as updated in Exhibit 4.3 to our annual report on Form 10-K for the year ended December 31, 2025, filed with the SEC on March 2, 2026, as well as any additional amendments or reports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Securities Exchange Act of 1934, as amended, which we refer to as the “Exchange Act” in this prospectus, prior to the termination of this offering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Ouster, Inc. </w:t>
      </w:r>
    </w:p>
    <w:p>
      <w:pPr>
        <w:pStyle w:val="TextBody"/>
        <w:bidi w:val="0"/>
        <w:spacing w:before="0" w:after="0"/>
        <w:jc w:val="center"/>
        <w:rPr>
          <w:rFonts w:ascii="Times New Roman" w:hAnsi="Times New Roman"/>
          <w:sz w:val="20"/>
        </w:rPr>
      </w:pPr>
      <w:r>
        <w:rPr>
          <w:rFonts w:ascii="Times New Roman" w:hAnsi="Times New Roman"/>
          <w:sz w:val="20"/>
        </w:rPr>
        <w:t xml:space="preserve">350 Treat Avenue </w:t>
      </w:r>
    </w:p>
    <w:p>
      <w:pPr>
        <w:pStyle w:val="TextBody"/>
        <w:bidi w:val="0"/>
        <w:spacing w:before="0" w:after="0"/>
        <w:jc w:val="center"/>
        <w:rPr>
          <w:rFonts w:ascii="Times New Roman" w:hAnsi="Times New Roman"/>
          <w:sz w:val="20"/>
        </w:rPr>
      </w:pPr>
      <w:r>
        <w:rPr>
          <w:rFonts w:ascii="Times New Roman" w:hAnsi="Times New Roman"/>
          <w:sz w:val="20"/>
        </w:rPr>
        <w:t xml:space="preserve">San Francisco, California 94110 </w:t>
      </w:r>
    </w:p>
    <w:p>
      <w:pPr>
        <w:pStyle w:val="TextBody"/>
        <w:bidi w:val="0"/>
        <w:spacing w:before="0" w:after="0"/>
        <w:jc w:val="center"/>
        <w:rPr>
          <w:rFonts w:ascii="Times New Roman" w:hAnsi="Times New Roman"/>
          <w:sz w:val="20"/>
        </w:rPr>
      </w:pPr>
      <w:r>
        <w:rPr>
          <w:rFonts w:ascii="Times New Roman" w:hAnsi="Times New Roman"/>
          <w:sz w:val="20"/>
        </w:rPr>
        <w:t>(415) 949-0108</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60029_4"/>
      <w:bookmarkEnd w:id="6"/>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leader in sensing and perception for Physical AI across industrial, robotics, automotive, and smart infrastructure. With a unified platform of high-performance digital lidar, cameras, AI compute, sensor fusion and perception software, and AI models, we deliver solutions that improve quality of life by enabling machines to sense, think, act, and learn in the physical world.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global provider of lidar sensors and solutions. We design and manufacture high-resolution digital lidar sensors that offer advanced 3D vision to machinery, vehicles, robots, and fixed infrastructure assets, which allows each to understand and visualize the surrounding world and enable safe operation and autonomy. We believe our sensors are one of the highest-performing, lowest-cost lidar solutions available today. </w:t>
      </w:r>
    </w:p>
    <w:p>
      <w:pPr>
        <w:pStyle w:val="TextBody"/>
        <w:bidi w:val="0"/>
        <w:spacing w:before="240" w:after="0"/>
        <w:jc w:val="left"/>
        <w:rPr>
          <w:rFonts w:ascii="Times New Roman" w:hAnsi="Times New Roman"/>
          <w:sz w:val="20"/>
        </w:rPr>
      </w:pPr>
      <w:r>
        <w:rPr>
          <w:rFonts w:ascii="Times New Roman" w:hAnsi="Times New Roman"/>
          <w:sz w:val="20"/>
        </w:rPr>
        <w:t xml:space="preserve">Our wholly-owned subsidiary, Stereolabs, which we acquired on February 4, 2026, is a pioneer in AI vision and perception solutions that has developed a leading portfolio of industrial-grade ZED-cameras, AI compute powered by NVIDIA’s platform, and in-house AI vision software to power solutions across robotics, industrials, and smart infrastructure. Its high-performance ZED cameras provide best-in-class 2D and 3D color data with ultra-low latency, and its embedded AI compute hardware facilitates native, real-time sensor fusion at the edge. We believe Stereolabs’s perception software, built on proprietary AI models, is the foundation for thousands of developers’ autonomy workflows. </w:t>
      </w:r>
    </w:p>
    <w:p>
      <w:pPr>
        <w:pStyle w:val="TextBody"/>
        <w:bidi w:val="0"/>
        <w:spacing w:before="240" w:after="0"/>
        <w:jc w:val="left"/>
        <w:rPr>
          <w:rFonts w:ascii="Times New Roman" w:hAnsi="Times New Roman"/>
          <w:sz w:val="20"/>
        </w:rPr>
      </w:pPr>
      <w:r>
        <w:rPr>
          <w:rFonts w:ascii="Times New Roman" w:hAnsi="Times New Roman"/>
          <w:sz w:val="20"/>
        </w:rPr>
        <w:t xml:space="preserve">Our hardware product offerings include a broad portfolio of digital lidar sensors, monocular and stereo cameras, and AI compute. On May 4, 2026, we announced the launch of the Rev8 OS family of digital lidar sensors. Powered by our next-generation L4 and L4 Max Ouster Silicon, the Rev8 family features upgraded OS0, OS1, and OSDome sensors and adds the flagship 256-channel OS1 Max. Rev8 introduces the world’s first native color lidar sensors, provides up to double the range and resolution of the previous generation, and is designed for functional safety, reliability, affordability, and scale. Within our OS sensor models, we offer numerous customization options, all enabled by embedded software.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portfolio has expanded to include Stereolabs’s growing product line, which now includes the ZED X, ZED X Mini, and ZED X Nano stereo cameras, the ZED X One monocular camera, and the ZED Box edge compute. We are currently developing our solid-state digital flash (“DF”) sensors, which is a suite of short, mid, and long-range solid-state digital lidar sensors that provide uniform precision imaging without motion blur across an entire field of view. </w:t>
      </w:r>
    </w:p>
    <w:p>
      <w:pPr>
        <w:pStyle w:val="TextBody"/>
        <w:bidi w:val="0"/>
        <w:spacing w:before="240" w:after="0"/>
        <w:jc w:val="left"/>
        <w:rPr>
          <w:rFonts w:ascii="Times New Roman" w:hAnsi="Times New Roman"/>
          <w:sz w:val="20"/>
        </w:rPr>
      </w:pPr>
      <w:r>
        <w:rPr>
          <w:rFonts w:ascii="Times New Roman" w:hAnsi="Times New Roman"/>
          <w:sz w:val="20"/>
        </w:rPr>
        <w:t xml:space="preserve">We provide Physical AI solutions tailored for smart infrastructure applications. Our software solutions, built on proprietary AI models, enable real-time people and object detection, classification, and tracking for actionable, intuitive, and customizable insights while preserving personally identifiable information. Ouster Gemini is our digital lidar powered perception platform designed for security and crowd analytics, logistics, and intelligent transportation systems. Ouster BlueCity is our turnkey real-time traffic management solution for analytics and signal actuation to improve traffic flow, road safety, and urban planning. </w:t>
      </w:r>
    </w:p>
    <w:p>
      <w:pPr>
        <w:pStyle w:val="TextBody"/>
        <w:bidi w:val="0"/>
        <w:spacing w:before="240" w:after="0"/>
        <w:jc w:val="left"/>
        <w:rPr>
          <w:rFonts w:ascii="Times New Roman" w:hAnsi="Times New Roman"/>
          <w:sz w:val="20"/>
        </w:rPr>
      </w:pPr>
      <w:r>
        <w:rPr>
          <w:rFonts w:ascii="Times New Roman" w:hAnsi="Times New Roman"/>
          <w:sz w:val="20"/>
        </w:rPr>
        <w:t xml:space="preserve">We were initially incorporated under the name “Colonnade Acquisition Corp.” on June 4, 2020 as a Cayman Islands exempted company for purposes of effecting a merger, share exchange, asset acquisition, share purchase, reorganization or similar business combination with one or more businesses. On March 10, 2021, we domesticated into a Delaware corporation and changed our name to “Ouster, Inc.” in connection with the consummation of the business combination with Ouster Technologies, Inc.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 is located at 350 Treat Avenue, San Francisco, CA 94110. Our telephone number is (415) 949-0108. Our website address is </w:t>
      </w:r>
      <w:r>
        <w:rPr>
          <w:rFonts w:ascii="Times New Roman" w:hAnsi="Times New Roman"/>
          <w:i/>
          <w:sz w:val="20"/>
        </w:rPr>
        <w:t>www.ouster.com</w:t>
      </w:r>
      <w:r>
        <w:rPr>
          <w:rFonts w:ascii="Times New Roman" w:hAnsi="Times New Roman"/>
          <w:sz w:val="20"/>
        </w:rPr>
        <w:t xml:space="preserve">. Information contained on our website is not a part of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60029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“Forward-Looking Statements” included in our most recent Annual Report on Form 10-K and any subsequent Quarterly Reports on Form 10-Q or Current Reports on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60029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60029_7"/>
      <w:bookmarkEnd w:id="9"/>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terms of our capital stock and warrants is not complete and is qualified in its entirety by reference to our Certificate of Incorporation, as amended (the “Certificate of Incorporation”), our Second Amended and Restated Bylaws (the “Bylaws”) and the warrant agreements, all of which are attached as exhibits to our Annual Report on Form 10-K. References to “our”, “we”, “us”, the “Company”, and “Ouster” refer to Ouster, Inc. </w:t>
      </w:r>
    </w:p>
    <w:p>
      <w:pPr>
        <w:pStyle w:val="TextBody"/>
        <w:bidi w:val="0"/>
        <w:spacing w:before="360" w:after="0"/>
        <w:jc w:val="left"/>
        <w:rPr>
          <w:rFonts w:ascii="Times New Roman" w:hAnsi="Times New Roman"/>
          <w:b/>
          <w:sz w:val="20"/>
        </w:rPr>
      </w:pPr>
      <w:r>
        <w:rPr>
          <w:rFonts w:ascii="Times New Roman" w:hAnsi="Times New Roman"/>
          <w:b/>
          <w:sz w:val="20"/>
        </w:rPr>
        <w:t xml:space="preserve">Capital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Authorized Capitalization </w:t>
      </w:r>
    </w:p>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total amount of our authorized capital stock consists of 200,000,000 shares of common stock, par value $0.0001 per share, and 100,000,000 shares of preferred stock, par value $0.0001 per share. </w:t>
      </w:r>
    </w:p>
    <w:p>
      <w:pPr>
        <w:pStyle w:val="TextBody"/>
        <w:bidi w:val="0"/>
        <w:spacing w:before="360" w:after="0"/>
        <w:jc w:val="left"/>
        <w:rPr>
          <w:rFonts w:ascii="Times New Roman" w:hAnsi="Times New Roman"/>
          <w:i/>
          <w:sz w:val="20"/>
        </w:rPr>
      </w:pPr>
      <w:r>
        <w:rPr>
          <w:rFonts w:ascii="Times New Roman" w:hAnsi="Times New Roman"/>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(the “Board”) has authority to issue shares of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Delaware General Corporation Law (“DGCL”). The issuance of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our Company. </w:t>
      </w:r>
    </w:p>
    <w:p>
      <w:pPr>
        <w:pStyle w:val="TextBody"/>
        <w:bidi w:val="0"/>
        <w:spacing w:before="240" w:after="0"/>
        <w:jc w:val="left"/>
        <w:rPr>
          <w:rFonts w:ascii="Times New Roman" w:hAnsi="Times New Roman"/>
          <w:sz w:val="20"/>
        </w:rPr>
      </w:pPr>
      <w:r>
        <w:rPr>
          <w:rFonts w:ascii="Times New Roman" w:hAnsi="Times New Roman"/>
          <w:sz w:val="20"/>
        </w:rPr>
        <w:t xml:space="preserve">We will fix the designations, voting powers, preferences and rights of the preferred stock of each series,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DGCL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 </w:t>
      </w:r>
    </w:p>
    <w:p>
      <w:pPr>
        <w:pStyle w:val="TextBody"/>
        <w:bidi w:val="0"/>
        <w:spacing w:before="360" w:after="0"/>
        <w:jc w:val="left"/>
        <w:rPr>
          <w:rFonts w:ascii="Times New Roman" w:hAnsi="Times New Roman"/>
          <w:i/>
          <w:sz w:val="20"/>
        </w:rPr>
      </w:pPr>
      <w:r>
        <w:rPr>
          <w:rFonts w:ascii="Times New Roman" w:hAnsi="Times New Roman"/>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does not entitle its holders to preemptive or other similar subscription rights to purchase any of our securities. Our common stock is neither convertible nor redeemable. Unless our Board determines otherwise, we will issue all of our capital stock in uncertificated form.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our common stock is entitled to one vote per share on each matter submitted to a vote of stockholders, as provided by the Certificate of Incorporation. The Bylaws provide that the holders of one-third (1/3) in voting power of the stock issued and outstanding and entitled to vote, present in person, or by remote communication, if applicable, or represented by proxy, shall constitute a quorum for the transaction of business. When a quorum is present, the affirmative vote of a majority of the votes cast (excluding abstentions and broker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non-votes) is required to take action, unless otherwise specified by law, the Bylaws or the Certificate of Incorporation, and except for the election of directors, which is determined by a plurality vote. There are no cumulative voting rights. </w:t>
      </w:r>
    </w:p>
    <w:p>
      <w:pPr>
        <w:pStyle w:val="TextBody"/>
        <w:bidi w:val="0"/>
        <w:spacing w:before="360" w:after="0"/>
        <w:jc w:val="left"/>
        <w:rPr>
          <w:rFonts w:ascii="Times New Roman" w:hAnsi="Times New Roman"/>
          <w:i/>
          <w:sz w:val="20"/>
        </w:rPr>
      </w:pPr>
      <w:r>
        <w:rPr>
          <w:rFonts w:ascii="Times New Roman" w:hAnsi="Times New Roman"/>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shares of our capital stock is entitled to the payment of dividends and other distributions as may be declared by Board from time to time out of our assets or funds legally available for dividends or other distributions. These rights are subject to the preferential rights of the holders of our preferred stock, if any, and any contractual limitations on our ability to declare and pay dividends.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The rights of each holder of our common stock are subject to, and may be adversely affected by, the rights of the holders of any series of our preferred stock that we may designate and issue in the future.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If we are involved in voluntary or involuntary liquidation, dissolution or winding up of our affairs, or a similar event, each holder of our common stock will participate pro rata in all assets remaining after payment of liabilities, subject to prior distribution rights of our preferred stock, if any, then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Effects of the Certificate of Incorporation and the Bylaws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and the Bylaws contain provisions that may delay, defer or discourage another party from acquiring control of our Company. We expect that these provisions, which are summarized below, will discourage coercive takeover practices or inadequate takeover bids. These provisions are also designed to encourage persons seeking to acquire control of our Company to first negotiate with the Board, which we believe may result in an improvement of the terms of any such acquisition in favor of our stockholders. However, they also give the Board the power to discourage mergers that some stockholders may favor.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a special meeting of stockholders may be called by (a) the Chairperson of the Board, (b) the Board, (c) our Chief Executive Officer or (d) our President, provided that such special meeting may be postponed, rescheduled or cancelled by the Board or other person calling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any action required or permitted to be taken by our stockholders must be effected at an annual or special meeting of the stockholders, and may not be taken by written consent in lieu of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our Board is divided into three classes, with the classes as nearly equal in number as possible and each class serving three-year staggered terms. The Board or any individual director may be removed from office at any time, but only for cause and only by the affirmative vote of the holders of at least a majority of the voting power of all of the then outstanding shares of our voting stock entitled to vote at an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Election of Directors and Vacancies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the holders of any series of preferred stock to elect additional directors under specified circumstances, the number of directors of our Board is fixed exclusively by the Board. Our Board is divided into three classes, designated Class I, II and III, with each class to be elected by our stockholders every three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the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Board is expressly authorized to adopt, amend or repeal the Bylaws, subject to the power of our stockholders entitled to vote with respect thereto to adopt, amend or repeal the Bylaws. Our stockholders have the power to adopt, amend or repeal the Bylaws; provided, that in addition to any vote of the holders of any class or series of our stock required by applicable law or by our Certificate of Incorporation or Bylaws, the adoption, amendment or repeal of our Bylaws by our stockholders shall require the affirmative vote of the holders of at least two-thirds of the voting power of all of the then outstanding shares of our voting stock entitled to vote generally in an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vote of at least 66 2/3% of the total voting power of our outstanding shares entitled to vote thereon, voting together as a single class, is required to amend certain provisions of our Certificate of Incorporation, including those relating to the terms of our authorized preferred stock (Article V(B)), the authority and composition of our Board (Article VII), special meetings of our stockholders and the ability of our stockholders to act by written consent (Article VIII), limitation of liability of our directors (Article IX), restrictions similar to Section 203 of the DGCL (Article X), our obligation to indemnify our directors and officers to the fullest extent permitted by law (Article XI), exclusive jurisdiction of certain legal proceedings involving our stockholders (Article XII) and the requirements for amendments to our Certificate of Incorporation (Article XIII).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 of such corporation’s voting stock, unless: (a) the board of directors of such corporation approves the acquisition of stock or the merger transaction before the time that the person becomes an interested stockholder, (b) the interested stockholder owns at least 85% of the outstanding voting stock of such corporation at the time the merger transaction commences (excluding voting stock owned by directors who are also officers and certain employee stock plans), or (c) the merger transaction is approved by the board of directors and at a meeting of stockholders, not by written consent, by the affirmative vote of at least two-thirds of the outstanding voting stock which is not owned by the interested stockholder. A Delaware corporation may elect in its certificate of incorporation or bylaws not to be governed by this particular Delaware law. Under the Certificate of Incorporation, we have opted out of Section 203 of the DGCL, but the Certificate of Incorporation provides other similar restrictions regarding takeovers by interested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we are to indemnify our directors to the fullest extent authorized or permitted by applicable law. We have entered and expect to continue to enter into agreements to indemnify our directors, executive officers and other employees as determined by the Board. Under the Bylaws, we are required to indemnify each of our directors and officers if the basis of the indemnitee’s involvement was by reason of the fact that the indemnitee is or was our director or officer or was serving at our request as a director, officer, employee or agent for another entity. We must indemnify our officers and directors against all expenses (including attorneys’ fees), judgments, fines and amounts paid in settlement actually and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incurred by the indemnitee in connection with such action, suit or proceeding if the indemnitee acted in good faith and in a manner the indemnitee reasonably believed to be in or not opposed to our best interests, and, with respect to any criminal action or proceeding, had no reasonable cause to believe the indemnitee’s conduct was unlawful. The Bylaws also require us to advance expenses (including attorneys’ fees) incurred by a director or officer in defending any civil, criminal, administrative or investigative action, suit or proceeding, provided that such person will repay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of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DGCL or the Bylaws or the Certificate of Incorporation (as each may be amended from time to time), (iv) any action, suit or proceeding as to which the DGCL confers jurisdiction on the Court of Chancery of the State of Delaware, or (v) any action, suit or proceeding asserting a claim against us or any current or former director, officer or stockholder governed by the internal affairs doctrine, and, if brought outside of Delaware, the stockholder bringing the suit will be deemed to have consented to (a) the personal jurisdiction of the state and federal courts in the State of Delaware in connection with any action brought in any such court to enforce the exclusive jurisdiction provisions of the Certificate of Incorporation and (b) service of process on such stockholder’s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22 of the Securities Act of 1933, as amended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also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Although we believe these provisions would benefit us by providing increased consistency in the application of applicable law in the types of lawsuits to which they apply, these provisions may have the effect of discouraging lawsuits against our directors and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for our common stock is Continental Stock Transfer &amp; Trust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“OUST.”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60029_8"/>
      <w:bookmarkEnd w:id="10"/>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only, “Ouster,” “we,” “our” or “us” refer to Ouster, Inc., excluding our subsidiaries, unless expressly stated or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(Section 2.2)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240" w:after="0"/>
        <w:jc w:val="left"/>
        <w:rPr>
          <w:rFonts w:ascii="Times New Roman" w:hAnsi="Times New Roman"/>
          <w:sz w:val="20"/>
        </w:rPr>
      </w:pPr>
      <w:r>
        <w:rPr>
          <w:rFonts w:ascii="Times New Roman" w:hAnsi="Times New Roman"/>
          <w:sz w:val="20"/>
        </w:rPr>
        <w:t xml:space="preserve">Global Debt Securities and Book-Entry System.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(Article IV)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entity or the successor person (if other than Ouster) is a corporation, partnership, trust or other entity organized and validly existing under the laws of Delaware and expressly assumes our obligations on the debt securities and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(Section 5.1)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Ouster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Ouster;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(Section 6.1)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(Section 9.1)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(Section 9.3)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60029_9"/>
      <w:bookmarkEnd w:id="11"/>
      <w:r>
        <w:rPr>
          <w:rFonts w:ascii="Times New Roman" w:hAnsi="Times New Roman"/>
          <w:b/>
          <w:sz w:val="20"/>
        </w:rPr>
        <w:t xml:space="preserve">DESCRIPTION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any depositary shares, warrants, purchase contracts or units issued by us that may be offered and sold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60029_10"/>
      <w:bookmarkEnd w:id="12"/>
      <w:r>
        <w:rPr>
          <w:rFonts w:ascii="Times New Roman" w:hAnsi="Times New Roman"/>
          <w:b/>
          <w:sz w:val="20"/>
        </w:rPr>
        <w:t xml:space="preserve">GLOBAL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w:t>
      </w:r>
    </w:p>
    <w:p>
      <w:pPr>
        <w:pStyle w:val="TextBody"/>
        <w:bidi w:val="0"/>
        <w:spacing w:before="24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160029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60029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will pass upon certain legal matters relating to the issuance and sale of the securities offered hereby on behalf of Ouster, Inc.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15" w:name="toc160029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14.</w:t>
            </w:r>
          </w:p>
        </w:tc>
        <w:tc>
          <w:tcPr>
            <w:tcW w:w="9185"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is an estimate of the expenses (all of which are to be paid by the registrant) that we may incur in connection with the securities being registered hereby.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76"/>
        <w:gridCol w:w="589"/>
        <w:gridCol w:w="140"/>
        <w:gridCol w:w="562"/>
        <w:gridCol w:w="372"/>
      </w:tblGrid>
      <w:tr>
        <w:trPr/>
        <w:tc>
          <w:tcPr>
            <w:tcW w:w="5276" w:type="dxa"/>
            <w:tcBorders/>
            <w:vAlign w:val="center"/>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5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5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   </w:t>
            </w:r>
          </w:p>
        </w:tc>
        <w:tc>
          <w:tcPr>
            <w:tcW w:w="372" w:type="dxa"/>
            <w:tcBorders/>
            <w:shd w:fill="CCEEFF" w:val="clear"/>
            <w:vAlign w:val="bottom"/>
          </w:tcPr>
          <w:p>
            <w:pPr>
              <w:pStyle w:val="TableContents"/>
              <w:bidi w:val="0"/>
              <w:spacing w:before="0" w:after="283"/>
              <w:jc w:val="left"/>
              <w:rPr/>
            </w:pPr>
            <w:r>
              <w:rPr/>
              <w:t>(1) </w:t>
            </w:r>
          </w:p>
        </w:tc>
      </w:tr>
      <w:tr>
        <w:trPr/>
        <w:tc>
          <w:tcPr>
            <w:tcW w:w="5276"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   </w:t>
            </w:r>
          </w:p>
        </w:tc>
        <w:tc>
          <w:tcPr>
            <w:tcW w:w="372" w:type="dxa"/>
            <w:tcBorders/>
            <w:vAlign w:val="bottom"/>
          </w:tcPr>
          <w:p>
            <w:pPr>
              <w:pStyle w:val="TableContents"/>
              <w:bidi w:val="0"/>
              <w:spacing w:before="0" w:after="283"/>
              <w:jc w:val="left"/>
              <w:rPr/>
            </w:pPr>
            <w:r>
              <w:rPr/>
              <w:t>(2) </w:t>
            </w:r>
          </w:p>
        </w:tc>
      </w:tr>
      <w:tr>
        <w:trPr/>
        <w:tc>
          <w:tcPr>
            <w:tcW w:w="5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5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   </w:t>
            </w:r>
          </w:p>
        </w:tc>
        <w:tc>
          <w:tcPr>
            <w:tcW w:w="372" w:type="dxa"/>
            <w:tcBorders/>
            <w:shd w:fill="CCEEFF" w:val="clear"/>
            <w:vAlign w:val="bottom"/>
          </w:tcPr>
          <w:p>
            <w:pPr>
              <w:pStyle w:val="TableContents"/>
              <w:bidi w:val="0"/>
              <w:spacing w:before="0" w:after="283"/>
              <w:jc w:val="left"/>
              <w:rPr/>
            </w:pPr>
            <w:r>
              <w:rPr/>
              <w:t>(2) </w:t>
            </w:r>
          </w:p>
        </w:tc>
      </w:tr>
      <w:tr>
        <w:trPr/>
        <w:tc>
          <w:tcPr>
            <w:tcW w:w="5276"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   </w:t>
            </w:r>
          </w:p>
        </w:tc>
        <w:tc>
          <w:tcPr>
            <w:tcW w:w="372" w:type="dxa"/>
            <w:tcBorders/>
            <w:vAlign w:val="bottom"/>
          </w:tcPr>
          <w:p>
            <w:pPr>
              <w:pStyle w:val="TableContents"/>
              <w:bidi w:val="0"/>
              <w:spacing w:before="0" w:after="283"/>
              <w:jc w:val="left"/>
              <w:rPr/>
            </w:pPr>
            <w:r>
              <w:rPr/>
              <w:t>(2) </w:t>
            </w:r>
          </w:p>
        </w:tc>
      </w:tr>
      <w:tr>
        <w:trPr/>
        <w:tc>
          <w:tcPr>
            <w:tcW w:w="5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5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   </w:t>
            </w:r>
          </w:p>
        </w:tc>
        <w:tc>
          <w:tcPr>
            <w:tcW w:w="372" w:type="dxa"/>
            <w:tcBorders/>
            <w:shd w:fill="CCEEFF" w:val="clear"/>
            <w:vAlign w:val="bottom"/>
          </w:tcPr>
          <w:p>
            <w:pPr>
              <w:pStyle w:val="TableContents"/>
              <w:bidi w:val="0"/>
              <w:spacing w:before="0" w:after="283"/>
              <w:jc w:val="left"/>
              <w:rPr/>
            </w:pPr>
            <w:r>
              <w:rPr/>
              <w:t>(2) </w:t>
            </w:r>
          </w:p>
        </w:tc>
      </w:tr>
      <w:tr>
        <w:trPr/>
        <w:tc>
          <w:tcPr>
            <w:tcW w:w="5276" w:type="dxa"/>
            <w:tcBorders/>
          </w:tcPr>
          <w:p>
            <w:pPr>
              <w:pStyle w:val="TableContents"/>
              <w:bidi w:val="0"/>
              <w:spacing w:before="0" w:after="0"/>
              <w:jc w:val="left"/>
              <w:rPr>
                <w:rFonts w:ascii="Times New Roman" w:hAnsi="Times New Roman"/>
                <w:sz w:val="20"/>
              </w:rPr>
            </w:pPr>
            <w:r>
              <w:rPr>
                <w:rFonts w:ascii="Times New Roman" w:hAnsi="Times New Roman"/>
                <w:sz w:val="20"/>
              </w:rPr>
              <w:t>Blue Sky, qualification fees and expenses</w:t>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   </w:t>
            </w:r>
          </w:p>
        </w:tc>
        <w:tc>
          <w:tcPr>
            <w:tcW w:w="372" w:type="dxa"/>
            <w:tcBorders/>
            <w:vAlign w:val="bottom"/>
          </w:tcPr>
          <w:p>
            <w:pPr>
              <w:pStyle w:val="TableContents"/>
              <w:bidi w:val="0"/>
              <w:spacing w:before="0" w:after="283"/>
              <w:jc w:val="left"/>
              <w:rPr/>
            </w:pPr>
            <w:r>
              <w:rPr/>
              <w:t>(2) </w:t>
            </w:r>
          </w:p>
        </w:tc>
      </w:tr>
      <w:tr>
        <w:trPr/>
        <w:tc>
          <w:tcPr>
            <w:tcW w:w="5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fees and expenses</w:t>
            </w:r>
          </w:p>
        </w:tc>
        <w:tc>
          <w:tcPr>
            <w:tcW w:w="5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   </w:t>
            </w:r>
          </w:p>
        </w:tc>
        <w:tc>
          <w:tcPr>
            <w:tcW w:w="372" w:type="dxa"/>
            <w:tcBorders/>
            <w:shd w:fill="CCEEFF" w:val="clear"/>
            <w:vAlign w:val="bottom"/>
          </w:tcPr>
          <w:p>
            <w:pPr>
              <w:pStyle w:val="TableContents"/>
              <w:bidi w:val="0"/>
              <w:spacing w:before="0" w:after="283"/>
              <w:jc w:val="left"/>
              <w:rPr/>
            </w:pPr>
            <w:r>
              <w:rPr/>
              <w:t>(2) </w:t>
            </w:r>
          </w:p>
        </w:tc>
      </w:tr>
      <w:tr>
        <w:trPr/>
        <w:tc>
          <w:tcPr>
            <w:tcW w:w="5276" w:type="dxa"/>
            <w:tcBorders/>
          </w:tcPr>
          <w:p>
            <w:pPr>
              <w:pStyle w:val="TableContents"/>
              <w:bidi w:val="0"/>
              <w:spacing w:before="0" w:after="0"/>
              <w:jc w:val="left"/>
              <w:rPr>
                <w:rFonts w:ascii="Times New Roman" w:hAnsi="Times New Roman"/>
                <w:sz w:val="20"/>
              </w:rPr>
            </w:pPr>
            <w:r>
              <w:rPr>
                <w:rFonts w:ascii="Times New Roman" w:hAnsi="Times New Roman"/>
                <w:sz w:val="20"/>
              </w:rPr>
              <w:t>Trustee fees and expenses</w:t>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   </w:t>
            </w:r>
          </w:p>
        </w:tc>
        <w:tc>
          <w:tcPr>
            <w:tcW w:w="372" w:type="dxa"/>
            <w:tcBorders/>
            <w:vAlign w:val="bottom"/>
          </w:tcPr>
          <w:p>
            <w:pPr>
              <w:pStyle w:val="TableContents"/>
              <w:bidi w:val="0"/>
              <w:spacing w:before="0" w:after="283"/>
              <w:jc w:val="left"/>
              <w:rPr/>
            </w:pPr>
            <w:r>
              <w:rPr/>
              <w:t>(2) </w:t>
            </w:r>
          </w:p>
        </w:tc>
      </w:tr>
      <w:tr>
        <w:trPr/>
        <w:tc>
          <w:tcPr>
            <w:tcW w:w="5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Depositary fees and expenses</w:t>
            </w:r>
          </w:p>
        </w:tc>
        <w:tc>
          <w:tcPr>
            <w:tcW w:w="5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   </w:t>
            </w:r>
          </w:p>
        </w:tc>
        <w:tc>
          <w:tcPr>
            <w:tcW w:w="372" w:type="dxa"/>
            <w:tcBorders/>
            <w:shd w:fill="CCEEFF" w:val="clear"/>
            <w:vAlign w:val="bottom"/>
          </w:tcPr>
          <w:p>
            <w:pPr>
              <w:pStyle w:val="TableContents"/>
              <w:bidi w:val="0"/>
              <w:spacing w:before="0" w:after="283"/>
              <w:jc w:val="left"/>
              <w:rPr/>
            </w:pPr>
            <w:r>
              <w:rPr/>
              <w:t>(2) </w:t>
            </w:r>
          </w:p>
        </w:tc>
      </w:tr>
      <w:tr>
        <w:trPr/>
        <w:tc>
          <w:tcPr>
            <w:tcW w:w="5276" w:type="dxa"/>
            <w:tcBorders/>
          </w:tcPr>
          <w:p>
            <w:pPr>
              <w:pStyle w:val="TableContents"/>
              <w:bidi w:val="0"/>
              <w:spacing w:before="0" w:after="0"/>
              <w:jc w:val="left"/>
              <w:rPr>
                <w:rFonts w:ascii="Times New Roman" w:hAnsi="Times New Roman"/>
                <w:sz w:val="20"/>
              </w:rPr>
            </w:pPr>
            <w:r>
              <w:rPr>
                <w:rFonts w:ascii="Times New Roman" w:hAnsi="Times New Roman"/>
                <w:sz w:val="20"/>
              </w:rPr>
              <w:t>Warrant agent fees and expenses</w:t>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   </w:t>
            </w:r>
          </w:p>
        </w:tc>
        <w:tc>
          <w:tcPr>
            <w:tcW w:w="372" w:type="dxa"/>
            <w:tcBorders/>
            <w:vAlign w:val="bottom"/>
          </w:tcPr>
          <w:p>
            <w:pPr>
              <w:pStyle w:val="TableContents"/>
              <w:bidi w:val="0"/>
              <w:spacing w:before="0" w:after="283"/>
              <w:jc w:val="left"/>
              <w:rPr/>
            </w:pPr>
            <w:r>
              <w:rPr/>
              <w:t>(2) </w:t>
            </w:r>
          </w:p>
        </w:tc>
      </w:tr>
      <w:tr>
        <w:trPr/>
        <w:tc>
          <w:tcPr>
            <w:tcW w:w="5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5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   </w:t>
            </w:r>
          </w:p>
        </w:tc>
        <w:tc>
          <w:tcPr>
            <w:tcW w:w="372" w:type="dxa"/>
            <w:tcBorders/>
            <w:shd w:fill="CCEEFF" w:val="clear"/>
            <w:vAlign w:val="bottom"/>
          </w:tcPr>
          <w:p>
            <w:pPr>
              <w:pStyle w:val="TableContents"/>
              <w:bidi w:val="0"/>
              <w:spacing w:before="0" w:after="283"/>
              <w:jc w:val="left"/>
              <w:rPr/>
            </w:pPr>
            <w:r>
              <w:rPr/>
              <w:t>(2) </w:t>
            </w:r>
          </w:p>
        </w:tc>
      </w:tr>
      <w:tr>
        <w:trPr/>
        <w:tc>
          <w:tcPr>
            <w:tcW w:w="5276" w:type="dxa"/>
            <w:tcBorders/>
            <w:vAlign w:val="bottom"/>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372" w:type="dxa"/>
            <w:tcBorders/>
            <w:vAlign w:val="center"/>
          </w:tcPr>
          <w:p>
            <w:pPr>
              <w:pStyle w:val="TableContents"/>
              <w:bidi w:val="0"/>
              <w:spacing w:before="0" w:after="283"/>
              <w:jc w:val="left"/>
              <w:rPr/>
            </w:pPr>
            <w:r>
              <w:rPr/>
              <w:t> </w:t>
            </w:r>
          </w:p>
        </w:tc>
      </w:tr>
      <w:tr>
        <w:trPr/>
        <w:tc>
          <w:tcPr>
            <w:tcW w:w="527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   </w:t>
            </w:r>
          </w:p>
        </w:tc>
        <w:tc>
          <w:tcPr>
            <w:tcW w:w="372" w:type="dxa"/>
            <w:tcBorders/>
            <w:vAlign w:val="bottom"/>
          </w:tcPr>
          <w:p>
            <w:pPr>
              <w:pStyle w:val="TableContents"/>
              <w:bidi w:val="0"/>
              <w:spacing w:before="0" w:after="283"/>
              <w:jc w:val="left"/>
              <w:rPr/>
            </w:pPr>
            <w:r>
              <w:rPr/>
              <w:t>(2) </w:t>
            </w:r>
          </w:p>
        </w:tc>
      </w:tr>
      <w:tr>
        <w:trPr/>
        <w:tc>
          <w:tcPr>
            <w:tcW w:w="5276" w:type="dxa"/>
            <w:tcBorders/>
            <w:vAlign w:val="bottom"/>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37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Rules 456(b) and 457(r) under the Securities Act of 1933, as amended, the SEC registration fee will be paid at the time of any particular offering of securities under the registration statement, and is therefore not currently determinable.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Any underwriting agreement or sales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Certificate of Incorporation limits the liability of our directors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against all direct and indirect costs, fees and expenses of any type or nature whatsoever, including all other disbursements, obligations or expenses of the types customarily incurred in connection with prosecuting, defending, preparing to prosecute or defend, investigating, being or preparing to be witness in, settlement or appeal of, or otherwise participating in any threatened, pending or completed action, suit, claim, counterclaim, cross claim, arbitration, mediation, alternate dispute resolution mechanism, investigation, inquiry, administrative hearing or any other actual, threatened or completed proceeding. The indemnification agreements also require us to advance, to the extent not prohibited by law, all direct and indirect costs, fees and expenses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0"/>
        <w:gridCol w:w="509"/>
        <w:gridCol w:w="8816"/>
      </w:tblGrid>
      <w:tr>
        <w:trPr/>
        <w:tc>
          <w:tcPr>
            <w:tcW w:w="880"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8816" w:type="dxa"/>
            <w:tcBorders/>
            <w:vAlign w:val="center"/>
          </w:tcPr>
          <w:p>
            <w:pPr>
              <w:pStyle w:val="TableContents"/>
              <w:bidi w:val="0"/>
              <w:spacing w:before="0" w:after="283"/>
              <w:jc w:val="left"/>
              <w:rPr>
                <w:sz w:val="4"/>
                <w:szCs w:val="4"/>
              </w:rPr>
            </w:pPr>
            <w:r>
              <w:rPr>
                <w:sz w:val="4"/>
                <w:szCs w:val="4"/>
              </w:rPr>
            </w:r>
          </w:p>
        </w:tc>
      </w:tr>
      <w:tr>
        <w:trPr/>
        <w:tc>
          <w:tcPr>
            <w:tcW w:w="880"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509" w:type="dxa"/>
            <w:tcBorders/>
            <w:vAlign w:val="bottom"/>
          </w:tcPr>
          <w:p>
            <w:pPr>
              <w:pStyle w:val="TableContents"/>
              <w:bidi w:val="0"/>
              <w:spacing w:before="0" w:after="283"/>
              <w:jc w:val="left"/>
              <w:rPr/>
            </w:pPr>
            <w:r>
              <w:rPr/>
              <w:t> </w:t>
            </w:r>
          </w:p>
        </w:tc>
        <w:tc>
          <w:tcPr>
            <w:tcW w:w="881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  </w:t>
            </w:r>
            <w:r>
              <w:rPr/>
              <w:t>1.1*</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r>
              <w:rPr/>
              <w:t>Form of Underwriting Agreement.</w:t>
            </w:r>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  </w:t>
            </w:r>
            <w:r>
              <w:rPr/>
              <w:t>3.1</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hyperlink r:id="rId9">
              <w:r>
                <w:rPr>
                  <w:rStyle w:val="InternetLink"/>
                </w:rPr>
                <w:t xml:space="preserve">Certificate of Incorporation of Ouster, Inc. (incorporated by reference to Exhibit 3.1 to the Registration Statement on Form S-4 (File No. 333-251611) filed on March 10, 2021). </w:t>
              </w:r>
            </w:hyperlink>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  </w:t>
            </w:r>
            <w:r>
              <w:rPr/>
              <w:t>3.1(a)</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hyperlink r:id="rId10">
              <w:r>
                <w:rPr>
                  <w:rStyle w:val="InternetLink"/>
                </w:rPr>
                <w:t xml:space="preserve">Certificate of Amendment to Certificate of Incorporation of Ouster, Inc. (incorporated by reference to Exhibit 3.1 to the Current Report on Form 8-K filed on April 20, 2023). </w:t>
              </w:r>
            </w:hyperlink>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  </w:t>
            </w:r>
            <w:r>
              <w:rPr/>
              <w:t>3.1(b)</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hyperlink r:id="rId11">
              <w:r>
                <w:rPr>
                  <w:rStyle w:val="InternetLink"/>
                </w:rPr>
                <w:t xml:space="preserve">Certificate of Amendment to Certificate of Incorporation of Ouster, Inc. (incorporated by reference to Exhibit 3.1 to the Current Report on Form 8-K filed on June 18, 2026). </w:t>
              </w:r>
            </w:hyperlink>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  </w:t>
            </w:r>
            <w:r>
              <w:rPr/>
              <w:t>3.2</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hyperlink r:id="rId12">
              <w:r>
                <w:rPr>
                  <w:rStyle w:val="InternetLink"/>
                </w:rPr>
                <w:t xml:space="preserve">Second Amended and Restated Bylaws of Ouster, Inc. (incorporated by reference to Exhibit 3.1 to the Current Report on Form 8-K filed on April 22, 2024). </w:t>
              </w:r>
            </w:hyperlink>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  </w:t>
            </w:r>
            <w:r>
              <w:rPr/>
              <w:t>4.1*</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r>
              <w:rPr/>
              <w:t>Form of Specimen Certificate Representing Preferred Stock.</w:t>
            </w:r>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  </w:t>
            </w:r>
            <w:r>
              <w:rPr/>
              <w:t>4.2</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hyperlink w:anchor="d160029dex42.htm">
              <w:r>
                <w:rPr>
                  <w:rStyle w:val="InternetLink"/>
                </w:rPr>
                <w:t xml:space="preserve">Form of Indenture. </w:t>
              </w:r>
            </w:hyperlink>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  </w:t>
            </w:r>
            <w:r>
              <w:rPr/>
              <w:t>4.3*</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r>
              <w:rPr/>
              <w:t>Form of Debt Security.</w:t>
            </w:r>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  </w:t>
            </w:r>
            <w:r>
              <w:rPr/>
              <w:t>4.4*</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r>
              <w:rPr/>
              <w:t>Form of Deposit Agreement.</w:t>
            </w:r>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  </w:t>
            </w:r>
            <w:r>
              <w:rPr/>
              <w:t>4.5*</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r>
              <w:rPr/>
              <w:t>Form of Warrant.</w:t>
            </w:r>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  </w:t>
            </w:r>
            <w:r>
              <w:rPr/>
              <w:t>4.6*</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r>
              <w:rPr/>
              <w:t>Form of Warrant Agreement.</w:t>
            </w:r>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  </w:t>
            </w:r>
            <w:r>
              <w:rPr/>
              <w:t>4.7*</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r>
              <w:rPr/>
              <w:t>Form of Purchase Contract Agreement.</w:t>
            </w:r>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  </w:t>
            </w:r>
            <w:r>
              <w:rPr/>
              <w:t>4.8*</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r>
              <w:rPr/>
              <w:t>Form of Unit Agreement.</w:t>
            </w:r>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  </w:t>
            </w:r>
            <w:r>
              <w:rPr/>
              <w:t>5.1</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hyperlink w:anchor="d160029dex51.htm">
              <w:r>
                <w:rPr>
                  <w:rStyle w:val="InternetLink"/>
                </w:rPr>
                <w:t xml:space="preserve">Opinion of Latham &amp; Watkins LLP. </w:t>
              </w:r>
            </w:hyperlink>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 </w:t>
            </w:r>
            <w:r>
              <w:rPr/>
              <w:t>23.1</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hyperlink w:anchor="d160029dex51.htm">
              <w:r>
                <w:rPr>
                  <w:rStyle w:val="InternetLink"/>
                </w:rPr>
                <w:t xml:space="preserve">Consent of Latham &amp; Watkins LLP (included in Exhibit 5.1). </w:t>
              </w:r>
            </w:hyperlink>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 </w:t>
            </w:r>
            <w:r>
              <w:rPr/>
              <w:t>23.2</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hyperlink w:anchor="d160029dex232.htm">
              <w:r>
                <w:rPr>
                  <w:rStyle w:val="InternetLink"/>
                </w:rPr>
                <w:t xml:space="preserve">Consent of PricewaterhouseCoopers LLP, independent registered public accounting firm. </w:t>
              </w:r>
            </w:hyperlink>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 </w:t>
            </w:r>
            <w:r>
              <w:rPr/>
              <w:t>24.1</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hyperlink w:anchor="sig">
              <w:r>
                <w:rPr>
                  <w:rStyle w:val="InternetLink"/>
                </w:rPr>
                <w:t xml:space="preserve">Powers of Attorney (incorporated by reference to the signature page hereto). </w:t>
              </w:r>
            </w:hyperlink>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9325"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107.1</w:t>
            </w:r>
          </w:p>
        </w:tc>
        <w:tc>
          <w:tcPr>
            <w:tcW w:w="509" w:type="dxa"/>
            <w:tcBorders/>
            <w:vAlign w:val="bottom"/>
          </w:tcPr>
          <w:p>
            <w:pPr>
              <w:pStyle w:val="TableContents"/>
              <w:bidi w:val="0"/>
              <w:spacing w:before="0" w:after="283"/>
              <w:jc w:val="left"/>
              <w:rPr/>
            </w:pPr>
            <w:r>
              <w:rPr/>
              <w:t> </w:t>
            </w:r>
          </w:p>
        </w:tc>
        <w:tc>
          <w:tcPr>
            <w:tcW w:w="8816" w:type="dxa"/>
            <w:tcBorders/>
          </w:tcPr>
          <w:p>
            <w:pPr>
              <w:pStyle w:val="TableContents"/>
              <w:bidi w:val="0"/>
              <w:spacing w:before="0" w:after="283"/>
              <w:jc w:val="left"/>
              <w:rPr/>
            </w:pPr>
            <w:hyperlink w:anchor="d160029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or incorporated by reference in connection with the offering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(5) That, for the purpose of determining liability under the Securities Act of 1933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(6) That, for the purpose of determining liability of the registrant under the Securities Act of 1933 to any purchaser in the initial distribution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(j) 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ig"/>
      <w:bookmarkEnd w:id="1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San Francisco, California, on July 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OUSTER,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center"/>
              <w:rPr/>
            </w:pPr>
            <w:r>
              <w:rPr/>
              <w:t>/s/ Kenneth P. Gianella</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center"/>
              <w:rPr/>
            </w:pPr>
            <w:r>
              <w:rPr/>
              <w:t>Kenneth P. Gianella</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center"/>
              <w:rPr/>
            </w:pPr>
            <w:r>
              <w:rPr/>
              <w:t>Chief Financial Officer (principal financial officer and principal accounting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of the undersigned officers and directors of the registrant hereby severally constitutes and appoints Angus Pacala, Kenneth P. Gianella and Megan Chung,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below by the following persons on behalf of the registrant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8"/>
        <w:gridCol w:w="122"/>
        <w:gridCol w:w="3526"/>
        <w:gridCol w:w="201"/>
        <w:gridCol w:w="1888"/>
      </w:tblGrid>
      <w:tr>
        <w:trPr/>
        <w:tc>
          <w:tcPr>
            <w:tcW w:w="446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r>
      <w:tr>
        <w:trPr/>
        <w:tc>
          <w:tcPr>
            <w:tcW w:w="446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2" w:type="dxa"/>
            <w:tcBorders/>
            <w:vAlign w:val="bottom"/>
          </w:tcPr>
          <w:p>
            <w:pPr>
              <w:pStyle w:val="TableContents"/>
              <w:bidi w:val="0"/>
              <w:spacing w:before="0" w:after="283"/>
              <w:jc w:val="left"/>
              <w:rPr/>
            </w:pPr>
            <w:r>
              <w:rPr/>
              <w:t>  </w:t>
            </w:r>
          </w:p>
        </w:tc>
        <w:tc>
          <w:tcPr>
            <w:tcW w:w="352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201" w:type="dxa"/>
            <w:tcBorders/>
            <w:vAlign w:val="bottom"/>
          </w:tcPr>
          <w:p>
            <w:pPr>
              <w:pStyle w:val="TableContents"/>
              <w:bidi w:val="0"/>
              <w:spacing w:before="0" w:after="283"/>
              <w:jc w:val="left"/>
              <w:rPr/>
            </w:pPr>
            <w:r>
              <w:rPr/>
              <w:t> </w:t>
            </w:r>
          </w:p>
        </w:tc>
        <w:tc>
          <w:tcPr>
            <w:tcW w:w="188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4468" w:type="dxa"/>
            <w:tcBorders/>
            <w:vAlign w:val="center"/>
          </w:tcPr>
          <w:p>
            <w:pPr>
              <w:pStyle w:val="TableContents"/>
              <w:bidi w:val="0"/>
              <w:spacing w:before="0" w:after="283"/>
              <w:jc w:val="left"/>
              <w:rPr>
                <w:sz w:val="4"/>
                <w:szCs w:val="4"/>
              </w:rPr>
            </w:pPr>
            <w:r>
              <w:rPr>
                <w:sz w:val="4"/>
                <w:szCs w:val="4"/>
              </w:rPr>
            </w:r>
          </w:p>
        </w:tc>
        <w:tc>
          <w:tcPr>
            <w:tcW w:w="3648"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6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Angus Pacala</w:t>
            </w:r>
          </w:p>
          <w:p>
            <w:pPr>
              <w:pStyle w:val="TableContents"/>
              <w:bidi w:val="0"/>
              <w:spacing w:before="0" w:after="20"/>
              <w:jc w:val="center"/>
              <w:rPr>
                <w:rFonts w:ascii="Times New Roman" w:hAnsi="Times New Roman"/>
                <w:sz w:val="20"/>
              </w:rPr>
            </w:pPr>
            <w:r>
              <w:rPr>
                <w:rFonts w:ascii="Times New Roman" w:hAnsi="Times New Roman"/>
                <w:sz w:val="20"/>
              </w:rPr>
              <w:t>Angus Pacala</w:t>
            </w:r>
          </w:p>
        </w:tc>
        <w:tc>
          <w:tcPr>
            <w:tcW w:w="122" w:type="dxa"/>
            <w:tcBorders/>
            <w:vAlign w:val="bottom"/>
          </w:tcPr>
          <w:p>
            <w:pPr>
              <w:pStyle w:val="TableContents"/>
              <w:bidi w:val="0"/>
              <w:spacing w:before="0" w:after="283"/>
              <w:jc w:val="left"/>
              <w:rPr/>
            </w:pPr>
            <w:r>
              <w:rPr/>
              <w:t>  </w:t>
            </w:r>
          </w:p>
        </w:tc>
        <w:tc>
          <w:tcPr>
            <w:tcW w:w="3526" w:type="dxa"/>
            <w:tcBorders/>
          </w:tcPr>
          <w:p>
            <w:pPr>
              <w:pStyle w:val="TableContents"/>
              <w:bidi w:val="0"/>
              <w:spacing w:before="0" w:after="0"/>
              <w:jc w:val="center"/>
              <w:rPr>
                <w:rFonts w:ascii="Times New Roman" w:hAnsi="Times New Roman"/>
                <w:sz w:val="20"/>
              </w:rPr>
            </w:pPr>
            <w:r>
              <w:rPr>
                <w:rFonts w:ascii="Times New Roman" w:hAnsi="Times New Roman"/>
                <w:sz w:val="20"/>
              </w:rPr>
              <w:t>Director, Co-Founder and Chief Executive Officer (Principal Executive Officer)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July 1, 2026</w:t>
            </w:r>
          </w:p>
        </w:tc>
      </w:tr>
      <w:tr>
        <w:trPr>
          <w:trHeight w:val="240" w:hRule="atLeast"/>
        </w:trPr>
        <w:tc>
          <w:tcPr>
            <w:tcW w:w="4468" w:type="dxa"/>
            <w:tcBorders/>
            <w:vAlign w:val="center"/>
          </w:tcPr>
          <w:p>
            <w:pPr>
              <w:pStyle w:val="TableContents"/>
              <w:bidi w:val="0"/>
              <w:spacing w:before="0" w:after="283"/>
              <w:jc w:val="left"/>
              <w:rPr>
                <w:sz w:val="4"/>
                <w:szCs w:val="4"/>
              </w:rPr>
            </w:pPr>
            <w:r>
              <w:rPr>
                <w:sz w:val="4"/>
                <w:szCs w:val="4"/>
              </w:rPr>
            </w:r>
          </w:p>
        </w:tc>
        <w:tc>
          <w:tcPr>
            <w:tcW w:w="3648"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6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Kenneth P. Gianella</w:t>
            </w:r>
          </w:p>
          <w:p>
            <w:pPr>
              <w:pStyle w:val="TableContents"/>
              <w:bidi w:val="0"/>
              <w:spacing w:before="0" w:after="20"/>
              <w:jc w:val="center"/>
              <w:rPr>
                <w:rFonts w:ascii="Times New Roman" w:hAnsi="Times New Roman"/>
                <w:sz w:val="20"/>
              </w:rPr>
            </w:pPr>
            <w:r>
              <w:rPr>
                <w:rFonts w:ascii="Times New Roman" w:hAnsi="Times New Roman"/>
                <w:sz w:val="20"/>
              </w:rPr>
              <w:t>Kenneth P. Gianella</w:t>
            </w:r>
          </w:p>
        </w:tc>
        <w:tc>
          <w:tcPr>
            <w:tcW w:w="122" w:type="dxa"/>
            <w:tcBorders/>
            <w:vAlign w:val="bottom"/>
          </w:tcPr>
          <w:p>
            <w:pPr>
              <w:pStyle w:val="TableContents"/>
              <w:bidi w:val="0"/>
              <w:spacing w:before="0" w:after="283"/>
              <w:jc w:val="left"/>
              <w:rPr/>
            </w:pPr>
            <w:r>
              <w:rPr/>
              <w:t>  </w:t>
            </w:r>
          </w:p>
        </w:tc>
        <w:tc>
          <w:tcPr>
            <w:tcW w:w="3526"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 (Principal Financial Officer and Principal Accounting Officer)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July 1, 2026</w:t>
            </w:r>
          </w:p>
        </w:tc>
      </w:tr>
      <w:tr>
        <w:trPr>
          <w:trHeight w:val="240" w:hRule="atLeast"/>
        </w:trPr>
        <w:tc>
          <w:tcPr>
            <w:tcW w:w="4468" w:type="dxa"/>
            <w:tcBorders/>
            <w:vAlign w:val="center"/>
          </w:tcPr>
          <w:p>
            <w:pPr>
              <w:pStyle w:val="TableContents"/>
              <w:bidi w:val="0"/>
              <w:spacing w:before="0" w:after="283"/>
              <w:jc w:val="left"/>
              <w:rPr>
                <w:sz w:val="4"/>
                <w:szCs w:val="4"/>
              </w:rPr>
            </w:pPr>
            <w:r>
              <w:rPr>
                <w:sz w:val="4"/>
                <w:szCs w:val="4"/>
              </w:rPr>
            </w:r>
          </w:p>
        </w:tc>
        <w:tc>
          <w:tcPr>
            <w:tcW w:w="3648"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6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Theodore L. Tewksbury, Ph.D.</w:t>
            </w:r>
          </w:p>
          <w:p>
            <w:pPr>
              <w:pStyle w:val="TableContents"/>
              <w:bidi w:val="0"/>
              <w:spacing w:before="0" w:after="20"/>
              <w:jc w:val="center"/>
              <w:rPr>
                <w:rFonts w:ascii="Times New Roman" w:hAnsi="Times New Roman"/>
                <w:sz w:val="20"/>
              </w:rPr>
            </w:pPr>
            <w:r>
              <w:rPr>
                <w:rFonts w:ascii="Times New Roman" w:hAnsi="Times New Roman"/>
                <w:sz w:val="20"/>
              </w:rPr>
              <w:t>Theodore L. Tewksbury, Ph.D.</w:t>
            </w:r>
          </w:p>
        </w:tc>
        <w:tc>
          <w:tcPr>
            <w:tcW w:w="122" w:type="dxa"/>
            <w:tcBorders/>
            <w:vAlign w:val="bottom"/>
          </w:tcPr>
          <w:p>
            <w:pPr>
              <w:pStyle w:val="TableContents"/>
              <w:bidi w:val="0"/>
              <w:spacing w:before="0" w:after="283"/>
              <w:jc w:val="left"/>
              <w:rPr/>
            </w:pPr>
            <w:r>
              <w:rPr/>
              <w:t>  </w:t>
            </w:r>
          </w:p>
        </w:tc>
        <w:tc>
          <w:tcPr>
            <w:tcW w:w="3526" w:type="dxa"/>
            <w:tcBorders/>
          </w:tcPr>
          <w:p>
            <w:pPr>
              <w:pStyle w:val="TableContents"/>
              <w:bidi w:val="0"/>
              <w:spacing w:before="0" w:after="0"/>
              <w:jc w:val="center"/>
              <w:rPr>
                <w:rFonts w:ascii="Times New Roman" w:hAnsi="Times New Roman"/>
                <w:sz w:val="20"/>
              </w:rPr>
            </w:pPr>
            <w:r>
              <w:rPr>
                <w:rFonts w:ascii="Times New Roman" w:hAnsi="Times New Roman"/>
                <w:sz w:val="20"/>
              </w:rPr>
              <w:t>Chair of the Board of Directors</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July 1, 2026</w:t>
            </w:r>
          </w:p>
        </w:tc>
      </w:tr>
      <w:tr>
        <w:trPr>
          <w:trHeight w:val="240" w:hRule="atLeast"/>
        </w:trPr>
        <w:tc>
          <w:tcPr>
            <w:tcW w:w="4468" w:type="dxa"/>
            <w:tcBorders/>
            <w:vAlign w:val="center"/>
          </w:tcPr>
          <w:p>
            <w:pPr>
              <w:pStyle w:val="TableContents"/>
              <w:bidi w:val="0"/>
              <w:spacing w:before="0" w:after="283"/>
              <w:jc w:val="left"/>
              <w:rPr>
                <w:sz w:val="4"/>
                <w:szCs w:val="4"/>
              </w:rPr>
            </w:pPr>
            <w:r>
              <w:rPr>
                <w:sz w:val="4"/>
                <w:szCs w:val="4"/>
              </w:rPr>
            </w:r>
          </w:p>
        </w:tc>
        <w:tc>
          <w:tcPr>
            <w:tcW w:w="3648"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6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Phillip M. Eyler</w:t>
            </w:r>
          </w:p>
          <w:p>
            <w:pPr>
              <w:pStyle w:val="TableContents"/>
              <w:bidi w:val="0"/>
              <w:spacing w:before="0" w:after="20"/>
              <w:jc w:val="center"/>
              <w:rPr>
                <w:rFonts w:ascii="Times New Roman" w:hAnsi="Times New Roman"/>
                <w:sz w:val="20"/>
              </w:rPr>
            </w:pPr>
            <w:r>
              <w:rPr>
                <w:rFonts w:ascii="Times New Roman" w:hAnsi="Times New Roman"/>
                <w:sz w:val="20"/>
              </w:rPr>
              <w:t>Phillip M. Eyler</w:t>
            </w:r>
          </w:p>
        </w:tc>
        <w:tc>
          <w:tcPr>
            <w:tcW w:w="122" w:type="dxa"/>
            <w:tcBorders/>
            <w:vAlign w:val="bottom"/>
          </w:tcPr>
          <w:p>
            <w:pPr>
              <w:pStyle w:val="TableContents"/>
              <w:bidi w:val="0"/>
              <w:spacing w:before="0" w:after="283"/>
              <w:jc w:val="left"/>
              <w:rPr/>
            </w:pPr>
            <w:r>
              <w:rPr/>
              <w:t>  </w:t>
            </w:r>
          </w:p>
        </w:tc>
        <w:tc>
          <w:tcPr>
            <w:tcW w:w="3526"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July 1, 2026</w:t>
            </w:r>
          </w:p>
        </w:tc>
      </w:tr>
      <w:tr>
        <w:trPr>
          <w:trHeight w:val="240" w:hRule="atLeast"/>
        </w:trPr>
        <w:tc>
          <w:tcPr>
            <w:tcW w:w="4468" w:type="dxa"/>
            <w:tcBorders/>
            <w:vAlign w:val="center"/>
          </w:tcPr>
          <w:p>
            <w:pPr>
              <w:pStyle w:val="TableContents"/>
              <w:bidi w:val="0"/>
              <w:spacing w:before="0" w:after="283"/>
              <w:jc w:val="left"/>
              <w:rPr>
                <w:sz w:val="4"/>
                <w:szCs w:val="4"/>
              </w:rPr>
            </w:pPr>
            <w:r>
              <w:rPr>
                <w:sz w:val="4"/>
                <w:szCs w:val="4"/>
              </w:rPr>
            </w:r>
          </w:p>
        </w:tc>
        <w:tc>
          <w:tcPr>
            <w:tcW w:w="3648"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6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Ernest Maddock</w:t>
            </w:r>
          </w:p>
          <w:p>
            <w:pPr>
              <w:pStyle w:val="TableContents"/>
              <w:bidi w:val="0"/>
              <w:spacing w:before="0" w:after="20"/>
              <w:jc w:val="center"/>
              <w:rPr>
                <w:rFonts w:ascii="Times New Roman" w:hAnsi="Times New Roman"/>
                <w:sz w:val="20"/>
              </w:rPr>
            </w:pPr>
            <w:r>
              <w:rPr>
                <w:rFonts w:ascii="Times New Roman" w:hAnsi="Times New Roman"/>
                <w:sz w:val="20"/>
              </w:rPr>
              <w:t>Ernest Maddock</w:t>
            </w:r>
          </w:p>
        </w:tc>
        <w:tc>
          <w:tcPr>
            <w:tcW w:w="122" w:type="dxa"/>
            <w:tcBorders/>
            <w:vAlign w:val="bottom"/>
          </w:tcPr>
          <w:p>
            <w:pPr>
              <w:pStyle w:val="TableContents"/>
              <w:bidi w:val="0"/>
              <w:spacing w:before="0" w:after="283"/>
              <w:jc w:val="left"/>
              <w:rPr/>
            </w:pPr>
            <w:r>
              <w:rPr/>
              <w:t>  </w:t>
            </w:r>
          </w:p>
        </w:tc>
        <w:tc>
          <w:tcPr>
            <w:tcW w:w="3526"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July 1, 2026</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483"/>
        <w:gridCol w:w="121"/>
        <w:gridCol w:w="3505"/>
        <w:gridCol w:w="204"/>
        <w:gridCol w:w="1892"/>
      </w:tblGrid>
      <w:tr>
        <w:trPr/>
        <w:tc>
          <w:tcPr>
            <w:tcW w:w="448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448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Stephen A. Skaggs</w:t>
            </w:r>
          </w:p>
          <w:p>
            <w:pPr>
              <w:pStyle w:val="TableContents"/>
              <w:bidi w:val="0"/>
              <w:spacing w:before="0" w:after="20"/>
              <w:jc w:val="center"/>
              <w:rPr>
                <w:rFonts w:ascii="Times New Roman" w:hAnsi="Times New Roman"/>
                <w:sz w:val="20"/>
              </w:rPr>
            </w:pPr>
            <w:r>
              <w:rPr>
                <w:rFonts w:ascii="Times New Roman" w:hAnsi="Times New Roman"/>
                <w:sz w:val="20"/>
              </w:rPr>
              <w:t>Stephen A. Skaggs</w:t>
            </w:r>
          </w:p>
        </w:tc>
        <w:tc>
          <w:tcPr>
            <w:tcW w:w="121" w:type="dxa"/>
            <w:tcBorders/>
            <w:vAlign w:val="bottom"/>
          </w:tcPr>
          <w:p>
            <w:pPr>
              <w:pStyle w:val="TableContents"/>
              <w:bidi w:val="0"/>
              <w:spacing w:before="0" w:after="283"/>
              <w:jc w:val="left"/>
              <w:rPr/>
            </w:pPr>
            <w:r>
              <w:rPr/>
              <w:t>  </w:t>
            </w:r>
          </w:p>
        </w:tc>
        <w:tc>
          <w:tcPr>
            <w:tcW w:w="3505"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1892" w:type="dxa"/>
            <w:tcBorders/>
          </w:tcPr>
          <w:p>
            <w:pPr>
              <w:pStyle w:val="TableContents"/>
              <w:bidi w:val="0"/>
              <w:spacing w:before="0" w:after="283"/>
              <w:jc w:val="center"/>
              <w:rPr/>
            </w:pPr>
            <w:r>
              <w:rPr/>
              <w:t>July 1, 2026</w:t>
            </w:r>
          </w:p>
        </w:tc>
      </w:tr>
      <w:tr>
        <w:trPr>
          <w:trHeight w:val="240" w:hRule="atLeast"/>
        </w:trPr>
        <w:tc>
          <w:tcPr>
            <w:tcW w:w="4483" w:type="dxa"/>
            <w:tcBorders/>
            <w:vAlign w:val="center"/>
          </w:tcPr>
          <w:p>
            <w:pPr>
              <w:pStyle w:val="TableContents"/>
              <w:bidi w:val="0"/>
              <w:spacing w:before="0" w:after="283"/>
              <w:jc w:val="left"/>
              <w:rPr>
                <w:sz w:val="4"/>
                <w:szCs w:val="4"/>
              </w:rPr>
            </w:pPr>
            <w:r>
              <w:rPr>
                <w:sz w:val="4"/>
                <w:szCs w:val="4"/>
              </w:rPr>
            </w:r>
          </w:p>
        </w:tc>
        <w:tc>
          <w:tcPr>
            <w:tcW w:w="3626" w:type="dxa"/>
            <w:gridSpan w:val="2"/>
            <w:tcBorders/>
            <w:vAlign w:val="center"/>
          </w:tcPr>
          <w:p>
            <w:pPr>
              <w:pStyle w:val="TableContents"/>
              <w:bidi w:val="0"/>
              <w:spacing w:before="0" w:after="283"/>
              <w:jc w:val="left"/>
              <w:rPr>
                <w:sz w:val="4"/>
                <w:szCs w:val="4"/>
              </w:rPr>
            </w:pPr>
            <w:r>
              <w:rPr>
                <w:sz w:val="4"/>
                <w:szCs w:val="4"/>
              </w:rPr>
            </w:r>
          </w:p>
        </w:tc>
        <w:tc>
          <w:tcPr>
            <w:tcW w:w="2096" w:type="dxa"/>
            <w:gridSpan w:val="2"/>
            <w:tcBorders/>
            <w:vAlign w:val="center"/>
          </w:tcPr>
          <w:p>
            <w:pPr>
              <w:pStyle w:val="TableContents"/>
              <w:bidi w:val="0"/>
              <w:spacing w:before="0" w:after="283"/>
              <w:jc w:val="left"/>
              <w:rPr>
                <w:sz w:val="4"/>
                <w:szCs w:val="4"/>
              </w:rPr>
            </w:pPr>
            <w:r>
              <w:rPr>
                <w:sz w:val="4"/>
                <w:szCs w:val="4"/>
              </w:rPr>
            </w:r>
          </w:p>
        </w:tc>
      </w:tr>
      <w:tr>
        <w:trPr/>
        <w:tc>
          <w:tcPr>
            <w:tcW w:w="448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Christina C. Correia</w:t>
            </w:r>
          </w:p>
          <w:p>
            <w:pPr>
              <w:pStyle w:val="TableContents"/>
              <w:bidi w:val="0"/>
              <w:spacing w:before="0" w:after="20"/>
              <w:jc w:val="center"/>
              <w:rPr>
                <w:rFonts w:ascii="Times New Roman" w:hAnsi="Times New Roman"/>
                <w:sz w:val="20"/>
              </w:rPr>
            </w:pPr>
            <w:r>
              <w:rPr>
                <w:rFonts w:ascii="Times New Roman" w:hAnsi="Times New Roman"/>
                <w:sz w:val="20"/>
              </w:rPr>
              <w:t>Christina C. Correia</w:t>
            </w:r>
          </w:p>
        </w:tc>
        <w:tc>
          <w:tcPr>
            <w:tcW w:w="121" w:type="dxa"/>
            <w:tcBorders/>
            <w:vAlign w:val="bottom"/>
          </w:tcPr>
          <w:p>
            <w:pPr>
              <w:pStyle w:val="TableContents"/>
              <w:bidi w:val="0"/>
              <w:spacing w:before="0" w:after="283"/>
              <w:jc w:val="left"/>
              <w:rPr/>
            </w:pPr>
            <w:r>
              <w:rPr/>
              <w:t>  </w:t>
            </w:r>
          </w:p>
        </w:tc>
        <w:tc>
          <w:tcPr>
            <w:tcW w:w="3505"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1892" w:type="dxa"/>
            <w:tcBorders/>
          </w:tcPr>
          <w:p>
            <w:pPr>
              <w:pStyle w:val="TableContents"/>
              <w:bidi w:val="0"/>
              <w:spacing w:before="0" w:after="283"/>
              <w:jc w:val="center"/>
              <w:rPr/>
            </w:pPr>
            <w:r>
              <w:rPr/>
              <w:t>July 1, 2026</w:t>
            </w:r>
          </w:p>
        </w:tc>
      </w:tr>
    </w:tbl>
    <w:p>
      <w:pPr>
        <w:pStyle w:val="TextBody"/>
        <w:bidi w:val="0"/>
        <w:spacing w:before="0" w:after="0"/>
        <w:jc w:val="right"/>
        <w:rPr>
          <w:rFonts w:ascii="Times New Roman" w:hAnsi="Times New Roman"/>
          <w:b/>
          <w:sz w:val="20"/>
        </w:rPr>
      </w:pPr>
      <w:bookmarkStart w:id="17" w:name="d160029dex42.htm"/>
      <w:bookmarkStart w:id="18" w:name="ksd160029dex42"/>
      <w:bookmarkEnd w:id="17"/>
      <w:bookmarkEnd w:id="18"/>
      <w:r>
        <w:rPr>
          <w:rFonts w:ascii="Times New Roman" w:hAnsi="Times New Roman"/>
          <w:b/>
          <w:sz w:val="20"/>
        </w:rPr>
        <w:t xml:space="preserve">Exhibit 4.2 </w:t>
      </w:r>
      <w:r>
        <w:br w:type="page"/>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OUSTER,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___________, 20___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b/>
          <w:sz w:val="20"/>
        </w:rPr>
        <w:t>[ </w:t>
      </w:r>
      <w:r>
        <w:rPr>
          <w:rFonts w:ascii="Times New Roman" w:hAnsi="Times New Roman"/>
          <w:sz w:val="20"/>
        </w:rPr>
        <w:t>● </w:t>
      </w:r>
      <w:r>
        <w:rPr>
          <w:rFonts w:ascii="Times New Roman" w:hAnsi="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Trustee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5"/>
        <w:gridCol w:w="97"/>
        <w:gridCol w:w="7883"/>
        <w:gridCol w:w="151"/>
        <w:gridCol w:w="96"/>
        <w:gridCol w:w="420"/>
        <w:gridCol w:w="63"/>
      </w:tblGrid>
      <w:tr>
        <w:trPr/>
        <w:tc>
          <w:tcPr>
            <w:tcW w:w="149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7883"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9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 AND INCORPORATION BY REFERENCE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Definitions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Other Definitions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Incorporation by Reference of Trust Indenture Act</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Rules of Construction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SECURITIES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Issuable in Series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Establishment of Terms of Series of Securities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Execution and Authentication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Registrar, Paying Agent and Notice Agent</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Paying Agent to Hold Money in Trust</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Holder Lists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Transfer and Exchange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Mutilated, Destroyed, Lost and Stolen Securities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Outstanding Securities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Treasury Securities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Temporary Securities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Cancellation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Defaulted Interest</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Global Securities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CUSIP Numbers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REDEMPTION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Notice to Trustee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Selection of Securities to be Redeemed</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Notice of Redemption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Effect of Notice of Redemption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Deposit of Redemption Price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Securities Redeemed in Part</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COVENANTS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Payment of Principal and Interest</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SEC Reports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Compliance Certificate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Stay, Extension and Usury Laws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SUCCESSORS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When Company May Merge, Etc.</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Successor Corporation Substituted</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DEFAULTS AND REMEDIES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495"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97"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283"/>
              <w:jc w:val="left"/>
              <w:rPr/>
            </w:pPr>
            <w:r>
              <w:rPr/>
              <w:t>Events of Default</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57"/>
        <w:gridCol w:w="87"/>
        <w:gridCol w:w="8239"/>
        <w:gridCol w:w="139"/>
        <w:gridCol w:w="60"/>
        <w:gridCol w:w="260"/>
        <w:gridCol w:w="63"/>
      </w:tblGrid>
      <w:tr>
        <w:trPr/>
        <w:tc>
          <w:tcPr>
            <w:tcW w:w="1357"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8239"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Acceleration of Maturity; Rescission and Annulment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Collection of Indebtedness and Suits for Enforcement by Trustee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Trustee May File Proofs of Claim</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Trustee May Enforce Claims Without Possession of Securities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Application of Money Collected</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Limitation on Suits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Unconditional Right of Holders to Receive Principal and Interest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Restoration of Rights and Remedies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Rights and Remedies Cumulative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Delay or Omission Not Waiver</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Control by Holders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Waiver of Past Defaults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Undertaking for Costs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683" w:type="dxa"/>
            <w:gridSpan w:val="3"/>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968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TRUSTEE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Duties of Trustee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Rights of Trustee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Individual Rights of Trustee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Trustee’s Disclaimer</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Notice of Defaults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Reports by Trustee to Holders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Compensation and Indemnity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Replacement of Trustee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Successor Trustee by Merger, Etc.</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Eligibility; Disqualification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Preferential Collection of Claims Against Company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683" w:type="dxa"/>
            <w:gridSpan w:val="3"/>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968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SATISFACTION AND DISCHARGE; DEFEASANCE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Satisfaction and Discharge of Indenture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Application of Trust Funds; Indemnification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Legal Defeasance of Securities of any Series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Covenant Defeasance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Repayment to Company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Reinstatement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9683" w:type="dxa"/>
            <w:gridSpan w:val="3"/>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968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AMENDMENTS AND WAIVERS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Without Consent of Holders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With Consent of Holders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Limitations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Compliance with Trust Indenture Act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Revocation and Effect of Consents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Notation on or Exchange of Securities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Trustee Protected</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9683" w:type="dxa"/>
            <w:gridSpan w:val="3"/>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968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MISCELLANEOUS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Trust Indenture Act Controls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87" w:type="dxa"/>
            <w:tcBorders/>
            <w:vAlign w:val="bottom"/>
          </w:tcPr>
          <w:p>
            <w:pPr>
              <w:pStyle w:val="TableContents"/>
              <w:bidi w:val="0"/>
              <w:spacing w:before="0" w:after="283"/>
              <w:jc w:val="left"/>
              <w:rPr/>
            </w:pPr>
            <w:r>
              <w:rPr/>
              <w:t> </w:t>
            </w:r>
          </w:p>
        </w:tc>
        <w:tc>
          <w:tcPr>
            <w:tcW w:w="8239" w:type="dxa"/>
            <w:tcBorders/>
            <w:vAlign w:val="bottom"/>
          </w:tcPr>
          <w:p>
            <w:pPr>
              <w:pStyle w:val="TableContents"/>
              <w:bidi w:val="0"/>
              <w:spacing w:before="0" w:after="283"/>
              <w:jc w:val="left"/>
              <w:rPr/>
            </w:pPr>
            <w:r>
              <w:rPr/>
              <w:t>Notices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67"/>
        <w:gridCol w:w="88"/>
        <w:gridCol w:w="8127"/>
        <w:gridCol w:w="140"/>
        <w:gridCol w:w="60"/>
        <w:gridCol w:w="260"/>
        <w:gridCol w:w="63"/>
      </w:tblGrid>
      <w:tr>
        <w:trPr/>
        <w:tc>
          <w:tcPr>
            <w:tcW w:w="1467"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8127"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Communication by Holders with Other Holders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Certificate and Opinion as to Conditions Precedent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Statements Required in Certificate or Opinion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Rules by Trustee and Agents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Legal Holidays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No Recourse Against Others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Counterparts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Governing Law; Waiver of Jury Trial; Consent to Jurisdiction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No Adverse Interpretation of Other Agreements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Successors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Severability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Table of Contents, Headings, Etc.</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Securities in a Foreign Currency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Judgment Currency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10.17.</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Force Majeure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10.18.</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U.S.A. Patriot Act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9682" w:type="dxa"/>
            <w:gridSpan w:val="3"/>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96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SINKING FUNDS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Applicability of Article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Satisfaction of Sinking Fund Payments with Securities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88" w:type="dxa"/>
            <w:tcBorders/>
            <w:vAlign w:val="bottom"/>
          </w:tcPr>
          <w:p>
            <w:pPr>
              <w:pStyle w:val="TableContents"/>
              <w:bidi w:val="0"/>
              <w:spacing w:before="0" w:after="283"/>
              <w:jc w:val="left"/>
              <w:rPr/>
            </w:pPr>
            <w:r>
              <w:rPr/>
              <w:t> </w:t>
            </w:r>
          </w:p>
        </w:tc>
        <w:tc>
          <w:tcPr>
            <w:tcW w:w="8127" w:type="dxa"/>
            <w:tcBorders/>
            <w:vAlign w:val="bottom"/>
          </w:tcPr>
          <w:p>
            <w:pPr>
              <w:pStyle w:val="TableContents"/>
              <w:bidi w:val="0"/>
              <w:spacing w:before="0" w:after="283"/>
              <w:jc w:val="left"/>
              <w:rPr/>
            </w:pPr>
            <w:r>
              <w:rPr/>
              <w:t>Redemption of Securities for Sinking Fund</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OUSTER, INC. </w:t>
      </w:r>
    </w:p>
    <w:p>
      <w:pPr>
        <w:pStyle w:val="TextBody"/>
        <w:bidi w:val="0"/>
        <w:spacing w:before="240" w:after="0"/>
        <w:jc w:val="center"/>
        <w:rPr>
          <w:rFonts w:ascii="Times New Roman" w:hAnsi="Times New Roman"/>
          <w:sz w:val="20"/>
        </w:rPr>
      </w:pPr>
      <w:r>
        <w:rPr>
          <w:rFonts w:ascii="Times New Roman" w:hAnsi="Times New Roman"/>
          <w:sz w:val="20"/>
        </w:rPr>
        <w:t xml:space="preserve">Reconciliation and tie between Trust Indenture Act of 1939 and </w:t>
      </w:r>
    </w:p>
    <w:p>
      <w:pPr>
        <w:pStyle w:val="TextBody"/>
        <w:bidi w:val="0"/>
        <w:spacing w:before="0" w:after="0"/>
        <w:jc w:val="center"/>
        <w:rPr>
          <w:rFonts w:ascii="Times New Roman" w:hAnsi="Times New Roman"/>
          <w:sz w:val="20"/>
        </w:rPr>
      </w:pPr>
      <w:r>
        <w:rPr>
          <w:rFonts w:ascii="Times New Roman" w:hAnsi="Times New Roman"/>
          <w:sz w:val="20"/>
        </w:rPr>
        <w:t xml:space="preserve">Indenture, dated as of ____________, 20__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95"/>
        <w:gridCol w:w="120"/>
        <w:gridCol w:w="6806"/>
        <w:gridCol w:w="120"/>
        <w:gridCol w:w="1564"/>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right"/>
              <w:rPr/>
            </w:pPr>
            <w:r>
              <w:rPr/>
              <w:t>§ 310(a)(1)  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7.10</w:t>
            </w:r>
          </w:p>
        </w:tc>
      </w:tr>
      <w:tr>
        <w:trPr/>
        <w:tc>
          <w:tcPr>
            <w:tcW w:w="1595" w:type="dxa"/>
            <w:tcBorders/>
          </w:tcPr>
          <w:p>
            <w:pPr>
              <w:pStyle w:val="TableContents"/>
              <w:bidi w:val="0"/>
              <w:spacing w:before="0" w:after="283"/>
              <w:jc w:val="right"/>
              <w:rPr/>
            </w:pPr>
            <w:r>
              <w:rPr/>
              <w:t>(a)(2)  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7.10</w:t>
            </w:r>
          </w:p>
        </w:tc>
      </w:tr>
      <w:tr>
        <w:trPr/>
        <w:tc>
          <w:tcPr>
            <w:tcW w:w="1595" w:type="dxa"/>
            <w:tcBorders/>
          </w:tcPr>
          <w:p>
            <w:pPr>
              <w:pStyle w:val="TableContents"/>
              <w:bidi w:val="0"/>
              <w:spacing w:before="0" w:after="283"/>
              <w:jc w:val="right"/>
              <w:rPr/>
            </w:pPr>
            <w:r>
              <w:rPr/>
              <w:t>(a)(3)  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Not Applicable</w:t>
            </w:r>
          </w:p>
        </w:tc>
      </w:tr>
      <w:tr>
        <w:trPr/>
        <w:tc>
          <w:tcPr>
            <w:tcW w:w="1595" w:type="dxa"/>
            <w:tcBorders/>
          </w:tcPr>
          <w:p>
            <w:pPr>
              <w:pStyle w:val="TableContents"/>
              <w:bidi w:val="0"/>
              <w:spacing w:before="0" w:after="283"/>
              <w:jc w:val="right"/>
              <w:rPr/>
            </w:pPr>
            <w:r>
              <w:rPr/>
              <w:t>(a)(4)  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Not Applicable</w:t>
            </w:r>
          </w:p>
        </w:tc>
      </w:tr>
      <w:tr>
        <w:trPr/>
        <w:tc>
          <w:tcPr>
            <w:tcW w:w="1595" w:type="dxa"/>
            <w:tcBorders/>
          </w:tcPr>
          <w:p>
            <w:pPr>
              <w:pStyle w:val="TableContents"/>
              <w:bidi w:val="0"/>
              <w:spacing w:before="0" w:after="283"/>
              <w:jc w:val="right"/>
              <w:rPr/>
            </w:pPr>
            <w:r>
              <w:rPr/>
              <w:t>(a)(5)  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7.10</w:t>
            </w:r>
          </w:p>
        </w:tc>
      </w:tr>
      <w:tr>
        <w:trPr/>
        <w:tc>
          <w:tcPr>
            <w:tcW w:w="1595" w:type="dxa"/>
            <w:tcBorders/>
          </w:tcPr>
          <w:p>
            <w:pPr>
              <w:pStyle w:val="TableContents"/>
              <w:bidi w:val="0"/>
              <w:spacing w:before="0" w:after="283"/>
              <w:jc w:val="right"/>
              <w:rPr/>
            </w:pPr>
            <w:r>
              <w:rPr/>
              <w:t>(b)   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7.10</w:t>
            </w:r>
          </w:p>
        </w:tc>
      </w:tr>
      <w:tr>
        <w:trPr/>
        <w:tc>
          <w:tcPr>
            <w:tcW w:w="1595" w:type="dxa"/>
            <w:tcBorders/>
          </w:tcPr>
          <w:p>
            <w:pPr>
              <w:pStyle w:val="TableContents"/>
              <w:bidi w:val="0"/>
              <w:spacing w:before="0" w:after="283"/>
              <w:jc w:val="right"/>
              <w:rPr/>
            </w:pPr>
            <w:r>
              <w:rPr/>
              <w:t>§ 311(a)   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7.11</w:t>
            </w:r>
          </w:p>
        </w:tc>
      </w:tr>
      <w:tr>
        <w:trPr/>
        <w:tc>
          <w:tcPr>
            <w:tcW w:w="1595" w:type="dxa"/>
            <w:tcBorders/>
          </w:tcPr>
          <w:p>
            <w:pPr>
              <w:pStyle w:val="TableContents"/>
              <w:bidi w:val="0"/>
              <w:spacing w:before="0" w:after="283"/>
              <w:jc w:val="right"/>
              <w:rPr/>
            </w:pPr>
            <w:r>
              <w:rPr/>
              <w:t>(b)   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7.11</w:t>
            </w:r>
          </w:p>
        </w:tc>
      </w:tr>
      <w:tr>
        <w:trPr/>
        <w:tc>
          <w:tcPr>
            <w:tcW w:w="1595" w:type="dxa"/>
            <w:tcBorders/>
          </w:tcPr>
          <w:p>
            <w:pPr>
              <w:pStyle w:val="TableContents"/>
              <w:bidi w:val="0"/>
              <w:spacing w:before="0" w:after="283"/>
              <w:jc w:val="right"/>
              <w:rPr/>
            </w:pPr>
            <w:r>
              <w:rPr/>
              <w:t>(c)   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Not Applicable</w:t>
            </w:r>
          </w:p>
        </w:tc>
      </w:tr>
      <w:tr>
        <w:trPr/>
        <w:tc>
          <w:tcPr>
            <w:tcW w:w="1595" w:type="dxa"/>
            <w:tcBorders/>
          </w:tcPr>
          <w:p>
            <w:pPr>
              <w:pStyle w:val="TableContents"/>
              <w:bidi w:val="0"/>
              <w:spacing w:before="0" w:after="283"/>
              <w:jc w:val="right"/>
              <w:rPr/>
            </w:pPr>
            <w:r>
              <w:rPr/>
              <w:t>§ 312(a)   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2.6</w:t>
            </w:r>
          </w:p>
        </w:tc>
      </w:tr>
      <w:tr>
        <w:trPr/>
        <w:tc>
          <w:tcPr>
            <w:tcW w:w="1595" w:type="dxa"/>
            <w:tcBorders/>
          </w:tcPr>
          <w:p>
            <w:pPr>
              <w:pStyle w:val="TableContents"/>
              <w:bidi w:val="0"/>
              <w:spacing w:before="0" w:after="283"/>
              <w:jc w:val="right"/>
              <w:rPr/>
            </w:pPr>
            <w:r>
              <w:rPr/>
              <w:t>(b)   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10.3</w:t>
            </w:r>
          </w:p>
        </w:tc>
      </w:tr>
      <w:tr>
        <w:trPr/>
        <w:tc>
          <w:tcPr>
            <w:tcW w:w="1595" w:type="dxa"/>
            <w:tcBorders/>
          </w:tcPr>
          <w:p>
            <w:pPr>
              <w:pStyle w:val="TableContents"/>
              <w:bidi w:val="0"/>
              <w:spacing w:before="0" w:after="283"/>
              <w:jc w:val="right"/>
              <w:rPr/>
            </w:pPr>
            <w:r>
              <w:rPr/>
              <w:t>(c)   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10.3</w:t>
            </w:r>
          </w:p>
        </w:tc>
      </w:tr>
      <w:tr>
        <w:trPr/>
        <w:tc>
          <w:tcPr>
            <w:tcW w:w="1595" w:type="dxa"/>
            <w:tcBorders/>
          </w:tcPr>
          <w:p>
            <w:pPr>
              <w:pStyle w:val="TableContents"/>
              <w:bidi w:val="0"/>
              <w:spacing w:before="0" w:after="283"/>
              <w:jc w:val="right"/>
              <w:rPr/>
            </w:pPr>
            <w:r>
              <w:rPr/>
              <w:t>§ 313(a)   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7.6</w:t>
            </w:r>
          </w:p>
        </w:tc>
      </w:tr>
      <w:tr>
        <w:trPr/>
        <w:tc>
          <w:tcPr>
            <w:tcW w:w="1595" w:type="dxa"/>
            <w:tcBorders/>
          </w:tcPr>
          <w:p>
            <w:pPr>
              <w:pStyle w:val="TableContents"/>
              <w:bidi w:val="0"/>
              <w:spacing w:before="0" w:after="283"/>
              <w:jc w:val="right"/>
              <w:rPr/>
            </w:pPr>
            <w:r>
              <w:rPr/>
              <w:t>(b)(1)  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7.6</w:t>
            </w:r>
          </w:p>
        </w:tc>
      </w:tr>
      <w:tr>
        <w:trPr/>
        <w:tc>
          <w:tcPr>
            <w:tcW w:w="1595" w:type="dxa"/>
            <w:tcBorders/>
          </w:tcPr>
          <w:p>
            <w:pPr>
              <w:pStyle w:val="TableContents"/>
              <w:bidi w:val="0"/>
              <w:spacing w:before="0" w:after="283"/>
              <w:jc w:val="right"/>
              <w:rPr/>
            </w:pPr>
            <w:r>
              <w:rPr/>
              <w:t>(b)(2)  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7.6</w:t>
            </w:r>
          </w:p>
        </w:tc>
      </w:tr>
      <w:tr>
        <w:trPr/>
        <w:tc>
          <w:tcPr>
            <w:tcW w:w="1595" w:type="dxa"/>
            <w:tcBorders/>
          </w:tcPr>
          <w:p>
            <w:pPr>
              <w:pStyle w:val="TableContents"/>
              <w:bidi w:val="0"/>
              <w:spacing w:before="0" w:after="283"/>
              <w:jc w:val="right"/>
              <w:rPr/>
            </w:pPr>
            <w:r>
              <w:rPr/>
              <w:t>(c)(1)  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7.6</w:t>
            </w:r>
          </w:p>
        </w:tc>
      </w:tr>
      <w:tr>
        <w:trPr/>
        <w:tc>
          <w:tcPr>
            <w:tcW w:w="1595" w:type="dxa"/>
            <w:tcBorders/>
          </w:tcPr>
          <w:p>
            <w:pPr>
              <w:pStyle w:val="TableContents"/>
              <w:bidi w:val="0"/>
              <w:spacing w:before="0" w:after="283"/>
              <w:jc w:val="right"/>
              <w:rPr/>
            </w:pPr>
            <w:r>
              <w:rPr/>
              <w:t>(d)   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7.6</w:t>
            </w:r>
          </w:p>
        </w:tc>
      </w:tr>
      <w:tr>
        <w:trPr/>
        <w:tc>
          <w:tcPr>
            <w:tcW w:w="1595" w:type="dxa"/>
            <w:tcBorders/>
          </w:tcPr>
          <w:p>
            <w:pPr>
              <w:pStyle w:val="TableContents"/>
              <w:bidi w:val="0"/>
              <w:spacing w:before="0" w:after="283"/>
              <w:jc w:val="right"/>
              <w:rPr/>
            </w:pPr>
            <w:r>
              <w:rPr/>
              <w:t>§ 314(a)   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4.2, 10.5</w:t>
            </w:r>
          </w:p>
        </w:tc>
      </w:tr>
      <w:tr>
        <w:trPr/>
        <w:tc>
          <w:tcPr>
            <w:tcW w:w="1595" w:type="dxa"/>
            <w:tcBorders/>
          </w:tcPr>
          <w:p>
            <w:pPr>
              <w:pStyle w:val="TableContents"/>
              <w:bidi w:val="0"/>
              <w:spacing w:before="0" w:after="283"/>
              <w:jc w:val="right"/>
              <w:rPr/>
            </w:pPr>
            <w:r>
              <w:rPr/>
              <w:t>(b)   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Not Applicable</w:t>
            </w:r>
          </w:p>
        </w:tc>
      </w:tr>
      <w:tr>
        <w:trPr/>
        <w:tc>
          <w:tcPr>
            <w:tcW w:w="1595" w:type="dxa"/>
            <w:tcBorders/>
          </w:tcPr>
          <w:p>
            <w:pPr>
              <w:pStyle w:val="TableContents"/>
              <w:bidi w:val="0"/>
              <w:spacing w:before="0" w:after="283"/>
              <w:jc w:val="right"/>
              <w:rPr/>
            </w:pPr>
            <w:r>
              <w:rPr/>
              <w:t>(c)(1)  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10.4</w:t>
            </w:r>
          </w:p>
        </w:tc>
      </w:tr>
      <w:tr>
        <w:trPr/>
        <w:tc>
          <w:tcPr>
            <w:tcW w:w="1595" w:type="dxa"/>
            <w:tcBorders/>
          </w:tcPr>
          <w:p>
            <w:pPr>
              <w:pStyle w:val="TableContents"/>
              <w:bidi w:val="0"/>
              <w:spacing w:before="0" w:after="283"/>
              <w:jc w:val="right"/>
              <w:rPr/>
            </w:pPr>
            <w:r>
              <w:rPr/>
              <w:t>(c)(2)  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10.4</w:t>
            </w:r>
          </w:p>
        </w:tc>
      </w:tr>
      <w:tr>
        <w:trPr/>
        <w:tc>
          <w:tcPr>
            <w:tcW w:w="1595" w:type="dxa"/>
            <w:tcBorders/>
          </w:tcPr>
          <w:p>
            <w:pPr>
              <w:pStyle w:val="TableContents"/>
              <w:bidi w:val="0"/>
              <w:spacing w:before="0" w:after="283"/>
              <w:jc w:val="right"/>
              <w:rPr/>
            </w:pPr>
            <w:r>
              <w:rPr/>
              <w:t>(c)(3)  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Not Applicable</w:t>
            </w:r>
          </w:p>
        </w:tc>
      </w:tr>
      <w:tr>
        <w:trPr/>
        <w:tc>
          <w:tcPr>
            <w:tcW w:w="1595" w:type="dxa"/>
            <w:tcBorders/>
          </w:tcPr>
          <w:p>
            <w:pPr>
              <w:pStyle w:val="TableContents"/>
              <w:bidi w:val="0"/>
              <w:spacing w:before="0" w:after="283"/>
              <w:jc w:val="right"/>
              <w:rPr/>
            </w:pPr>
            <w:r>
              <w:rPr/>
              <w:t>(d)   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Not Applicable</w:t>
            </w:r>
          </w:p>
        </w:tc>
      </w:tr>
      <w:tr>
        <w:trPr/>
        <w:tc>
          <w:tcPr>
            <w:tcW w:w="1595" w:type="dxa"/>
            <w:tcBorders/>
          </w:tcPr>
          <w:p>
            <w:pPr>
              <w:pStyle w:val="TableContents"/>
              <w:bidi w:val="0"/>
              <w:spacing w:before="0" w:after="283"/>
              <w:jc w:val="right"/>
              <w:rPr/>
            </w:pPr>
            <w:r>
              <w:rPr/>
              <w:t>(e)   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10.5</w:t>
            </w:r>
          </w:p>
        </w:tc>
      </w:tr>
      <w:tr>
        <w:trPr/>
        <w:tc>
          <w:tcPr>
            <w:tcW w:w="1595" w:type="dxa"/>
            <w:tcBorders/>
          </w:tcPr>
          <w:p>
            <w:pPr>
              <w:pStyle w:val="TableContents"/>
              <w:bidi w:val="0"/>
              <w:spacing w:before="0" w:after="283"/>
              <w:jc w:val="right"/>
              <w:rPr/>
            </w:pPr>
            <w:r>
              <w:rPr/>
              <w:t>(f)   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Not Applicable</w:t>
            </w:r>
          </w:p>
        </w:tc>
      </w:tr>
      <w:tr>
        <w:trPr/>
        <w:tc>
          <w:tcPr>
            <w:tcW w:w="1595" w:type="dxa"/>
            <w:tcBorders/>
          </w:tcPr>
          <w:p>
            <w:pPr>
              <w:pStyle w:val="TableContents"/>
              <w:bidi w:val="0"/>
              <w:spacing w:before="0" w:after="283"/>
              <w:jc w:val="right"/>
              <w:rPr/>
            </w:pPr>
            <w:r>
              <w:rPr/>
              <w:t>§ 315(a)   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7.1</w:t>
            </w:r>
          </w:p>
        </w:tc>
      </w:tr>
      <w:tr>
        <w:trPr/>
        <w:tc>
          <w:tcPr>
            <w:tcW w:w="1595" w:type="dxa"/>
            <w:tcBorders/>
          </w:tcPr>
          <w:p>
            <w:pPr>
              <w:pStyle w:val="TableContents"/>
              <w:bidi w:val="0"/>
              <w:spacing w:before="0" w:after="283"/>
              <w:jc w:val="right"/>
              <w:rPr/>
            </w:pPr>
            <w:r>
              <w:rPr/>
              <w:t>(b)   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7.5</w:t>
            </w:r>
          </w:p>
        </w:tc>
      </w:tr>
      <w:tr>
        <w:trPr/>
        <w:tc>
          <w:tcPr>
            <w:tcW w:w="1595" w:type="dxa"/>
            <w:tcBorders/>
          </w:tcPr>
          <w:p>
            <w:pPr>
              <w:pStyle w:val="TableContents"/>
              <w:bidi w:val="0"/>
              <w:spacing w:before="0" w:after="283"/>
              <w:jc w:val="right"/>
              <w:rPr/>
            </w:pPr>
            <w:r>
              <w:rPr/>
              <w:t>(c)   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7.1</w:t>
            </w:r>
          </w:p>
        </w:tc>
      </w:tr>
      <w:tr>
        <w:trPr/>
        <w:tc>
          <w:tcPr>
            <w:tcW w:w="1595" w:type="dxa"/>
            <w:tcBorders/>
          </w:tcPr>
          <w:p>
            <w:pPr>
              <w:pStyle w:val="TableContents"/>
              <w:bidi w:val="0"/>
              <w:spacing w:before="0" w:after="283"/>
              <w:jc w:val="right"/>
              <w:rPr/>
            </w:pPr>
            <w:r>
              <w:rPr/>
              <w:t>(d)   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7.1</w:t>
            </w:r>
          </w:p>
        </w:tc>
      </w:tr>
      <w:tr>
        <w:trPr/>
        <w:tc>
          <w:tcPr>
            <w:tcW w:w="1595" w:type="dxa"/>
            <w:tcBorders/>
          </w:tcPr>
          <w:p>
            <w:pPr>
              <w:pStyle w:val="TableContents"/>
              <w:bidi w:val="0"/>
              <w:spacing w:before="0" w:after="283"/>
              <w:jc w:val="right"/>
              <w:rPr/>
            </w:pPr>
            <w:r>
              <w:rPr/>
              <w:t>(e)   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6.14</w:t>
            </w:r>
          </w:p>
        </w:tc>
      </w:tr>
      <w:tr>
        <w:trPr/>
        <w:tc>
          <w:tcPr>
            <w:tcW w:w="1595" w:type="dxa"/>
            <w:tcBorders/>
          </w:tcPr>
          <w:p>
            <w:pPr>
              <w:pStyle w:val="TableContents"/>
              <w:bidi w:val="0"/>
              <w:spacing w:before="0" w:after="283"/>
              <w:jc w:val="right"/>
              <w:rPr/>
            </w:pPr>
            <w:r>
              <w:rPr/>
              <w:t>§ 316(a) 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2.10</w:t>
            </w:r>
          </w:p>
        </w:tc>
      </w:tr>
      <w:tr>
        <w:trPr/>
        <w:tc>
          <w:tcPr>
            <w:tcW w:w="1595" w:type="dxa"/>
            <w:tcBorders/>
          </w:tcPr>
          <w:p>
            <w:pPr>
              <w:pStyle w:val="TableContents"/>
              <w:bidi w:val="0"/>
              <w:spacing w:before="0" w:after="283"/>
              <w:jc w:val="right"/>
              <w:rPr/>
            </w:pPr>
            <w:r>
              <w:rPr/>
              <w:t>(a)(1)(A)</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6.12</w:t>
            </w:r>
          </w:p>
        </w:tc>
      </w:tr>
      <w:tr>
        <w:trPr/>
        <w:tc>
          <w:tcPr>
            <w:tcW w:w="1595" w:type="dxa"/>
            <w:tcBorders/>
          </w:tcPr>
          <w:p>
            <w:pPr>
              <w:pStyle w:val="TableContents"/>
              <w:bidi w:val="0"/>
              <w:spacing w:before="0" w:after="283"/>
              <w:jc w:val="right"/>
              <w:rPr/>
            </w:pPr>
            <w:r>
              <w:rPr/>
              <w:t>(a)(1)(B)</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6.13</w:t>
            </w:r>
          </w:p>
        </w:tc>
      </w:tr>
      <w:tr>
        <w:trPr/>
        <w:tc>
          <w:tcPr>
            <w:tcW w:w="1595" w:type="dxa"/>
            <w:tcBorders/>
          </w:tcPr>
          <w:p>
            <w:pPr>
              <w:pStyle w:val="TableContents"/>
              <w:bidi w:val="0"/>
              <w:spacing w:before="0" w:after="283"/>
              <w:jc w:val="right"/>
              <w:rPr/>
            </w:pPr>
            <w:r>
              <w:rPr/>
              <w:t>(b) 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6.8</w:t>
            </w:r>
          </w:p>
        </w:tc>
      </w:tr>
      <w:tr>
        <w:trPr/>
        <w:tc>
          <w:tcPr>
            <w:tcW w:w="1595" w:type="dxa"/>
            <w:tcBorders/>
          </w:tcPr>
          <w:p>
            <w:pPr>
              <w:pStyle w:val="TableContents"/>
              <w:bidi w:val="0"/>
              <w:spacing w:before="0" w:after="283"/>
              <w:jc w:val="right"/>
              <w:rPr/>
            </w:pPr>
            <w:r>
              <w:rPr/>
              <w:t>§ 317(a)(1)  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6.3</w:t>
            </w:r>
          </w:p>
        </w:tc>
      </w:tr>
      <w:tr>
        <w:trPr/>
        <w:tc>
          <w:tcPr>
            <w:tcW w:w="1595" w:type="dxa"/>
            <w:tcBorders/>
          </w:tcPr>
          <w:p>
            <w:pPr>
              <w:pStyle w:val="TableContents"/>
              <w:bidi w:val="0"/>
              <w:spacing w:before="0" w:after="283"/>
              <w:jc w:val="right"/>
              <w:rPr/>
            </w:pPr>
            <w:r>
              <w:rPr/>
              <w:t>(a)(2)  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6.4</w:t>
            </w:r>
          </w:p>
        </w:tc>
      </w:tr>
      <w:tr>
        <w:trPr/>
        <w:tc>
          <w:tcPr>
            <w:tcW w:w="1595" w:type="dxa"/>
            <w:tcBorders/>
          </w:tcPr>
          <w:p>
            <w:pPr>
              <w:pStyle w:val="TableContents"/>
              <w:bidi w:val="0"/>
              <w:spacing w:before="0" w:after="283"/>
              <w:jc w:val="right"/>
              <w:rPr/>
            </w:pPr>
            <w:r>
              <w:rPr/>
              <w:t>(b)   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2.5</w:t>
            </w:r>
          </w:p>
        </w:tc>
      </w:tr>
      <w:tr>
        <w:trPr/>
        <w:tc>
          <w:tcPr>
            <w:tcW w:w="1595" w:type="dxa"/>
            <w:tcBorders/>
          </w:tcPr>
          <w:p>
            <w:pPr>
              <w:pStyle w:val="TableContents"/>
              <w:bidi w:val="0"/>
              <w:spacing w:before="0" w:after="283"/>
              <w:jc w:val="right"/>
              <w:rPr/>
            </w:pPr>
            <w:r>
              <w:rPr/>
              <w:t>§ 318(a)    </w:t>
            </w:r>
          </w:p>
        </w:tc>
        <w:tc>
          <w:tcPr>
            <w:tcW w:w="120" w:type="dxa"/>
            <w:tcBorders/>
            <w:vAlign w:val="bottom"/>
          </w:tcPr>
          <w:p>
            <w:pPr>
              <w:pStyle w:val="TableContents"/>
              <w:bidi w:val="0"/>
              <w:spacing w:before="0" w:after="283"/>
              <w:jc w:val="left"/>
              <w:rPr/>
            </w:pPr>
            <w:r>
              <w:rPr/>
              <w:t>  </w:t>
            </w:r>
          </w:p>
        </w:tc>
        <w:tc>
          <w:tcPr>
            <w:tcW w:w="68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10.1</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Note: This reconciliation and tie shall not, for any purpose, be deemed to be part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__________, 20__ between Ouster, Inc., a company incorporated under the laws of Delaware (“</w:t>
      </w:r>
      <w:r>
        <w:rPr>
          <w:rFonts w:ascii="Times New Roman" w:hAnsi="Times New Roman"/>
          <w:i/>
          <w:sz w:val="20"/>
        </w:rPr>
        <w:t>Company</w:t>
      </w:r>
      <w:r>
        <w:rPr>
          <w:rFonts w:ascii="Times New Roman" w:hAnsi="Times New Roman"/>
          <w:sz w:val="20"/>
        </w:rPr>
        <w:t>”), and [ ⚫ ], not in its individual capacity but solely as trustee (“</w:t>
      </w:r>
      <w:r>
        <w:rPr>
          <w:rFonts w:ascii="Times New Roman" w:hAnsi="Times New Roman"/>
          <w:i/>
          <w:sz w:val="20"/>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party agrees as follows for the benefit of the other party and for the equal and ratable benefit of the Holders of the Securities issued under this Indenture. </w:t>
      </w:r>
    </w:p>
    <w:p>
      <w:pPr>
        <w:pStyle w:val="TextBody"/>
        <w:bidi w:val="0"/>
        <w:spacing w:before="24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Section 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 </w:t>
      </w:r>
    </w:p>
    <w:p>
      <w:pPr>
        <w:pStyle w:val="TextBody"/>
        <w:bidi w:val="0"/>
        <w:spacing w:before="240" w:after="0"/>
        <w:jc w:val="left"/>
        <w:rPr/>
      </w:pPr>
      <w:r>
        <w:rPr/>
        <w:t>“</w:t>
      </w:r>
      <w:r>
        <w:rPr>
          <w:rFonts w:ascii="Times New Roman" w:hAnsi="Times New Roman"/>
          <w:i/>
          <w:sz w:val="20"/>
        </w:rPr>
        <w:t>Agent</w:t>
      </w:r>
      <w:r>
        <w:rPr>
          <w:rFonts w:ascii="Times New Roman" w:hAnsi="Times New Roman"/>
          <w:sz w:val="20"/>
        </w:rPr>
        <w:t xml:space="preserve">” means any Registrar, Paying Agent or Notice Agent.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the board of directors of the Company or any duly authorized committee thereof. </w:t>
      </w:r>
    </w:p>
    <w:p>
      <w:pPr>
        <w:pStyle w:val="TextBody"/>
        <w:bidi w:val="0"/>
        <w:spacing w:before="240" w:after="0"/>
        <w:jc w:val="left"/>
        <w:rPr/>
      </w:pPr>
      <w:r>
        <w:rPr/>
        <w:t>“</w:t>
      </w:r>
      <w:r>
        <w:rPr>
          <w:rFonts w:ascii="Times New Roman" w:hAnsi="Times New Roman"/>
          <w:i/>
          <w:sz w:val="20"/>
        </w:rPr>
        <w:t>Board Resolution</w:t>
      </w:r>
      <w:r>
        <w:rPr>
          <w:rFonts w:ascii="Times New Roman" w:hAnsi="Times New Roman"/>
          <w:sz w:val="20"/>
        </w:rPr>
        <w:t xml:space="preserve">”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any day except a Saturday, Sunday or any day which is a legal or federal holiday in the City of New York, New York (or in connection with any payment, the place of payment) or any other day on which banking institutions or trust companies are authorized or required by law, regulation or executive order to close or remain closed.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means any and all shares, interests, participations, rights or other equivalents (however designated) of corporate stock. </w:t>
      </w:r>
    </w:p>
    <w:p>
      <w:pPr>
        <w:pStyle w:val="TextBody"/>
        <w:bidi w:val="0"/>
        <w:spacing w:before="240" w:after="0"/>
        <w:jc w:val="left"/>
        <w:rPr/>
      </w:pPr>
      <w:r>
        <w:rPr/>
        <w:t>“</w:t>
      </w:r>
      <w:r>
        <w:rPr>
          <w:rFonts w:ascii="Times New Roman" w:hAnsi="Times New Roman"/>
          <w:i/>
          <w:sz w:val="20"/>
        </w:rPr>
        <w:t>Company</w:t>
      </w:r>
      <w:r>
        <w:rPr>
          <w:rFonts w:ascii="Times New Roman" w:hAnsi="Times New Roman"/>
          <w:sz w:val="20"/>
        </w:rPr>
        <w:t xml:space="preserve">” means the party named as such above until a successor replaces it and thereafter means the successor. </w:t>
      </w:r>
    </w:p>
    <w:p>
      <w:pPr>
        <w:pStyle w:val="TextBody"/>
        <w:bidi w:val="0"/>
        <w:spacing w:before="240" w:after="0"/>
        <w:jc w:val="left"/>
        <w:rPr/>
      </w:pPr>
      <w:r>
        <w:rPr/>
        <w:t>“</w:t>
      </w:r>
      <w:r>
        <w:rPr>
          <w:rFonts w:ascii="Times New Roman" w:hAnsi="Times New Roman"/>
          <w:i/>
          <w:sz w:val="20"/>
        </w:rPr>
        <w:t>Company Order</w:t>
      </w:r>
      <w:r>
        <w:rPr>
          <w:rFonts w:ascii="Times New Roman" w:hAnsi="Times New Roman"/>
          <w:sz w:val="20"/>
        </w:rPr>
        <w:t xml:space="preserve">” means a written order signed in the name of the Company by an Officer and delivered to the Trustee. </w:t>
      </w:r>
    </w:p>
    <w:p>
      <w:pPr>
        <w:pStyle w:val="TextBody"/>
        <w:bidi w:val="0"/>
        <w:spacing w:before="240" w:after="0"/>
        <w:jc w:val="left"/>
        <w:rPr/>
      </w:pPr>
      <w:r>
        <w:rPr/>
        <w:t>“</w:t>
      </w:r>
      <w:r>
        <w:rPr>
          <w:rFonts w:ascii="Times New Roman" w:hAnsi="Times New Roman"/>
          <w:i/>
          <w:sz w:val="20"/>
        </w:rPr>
        <w:t>Corporate Trust Office</w:t>
      </w:r>
      <w:r>
        <w:rPr>
          <w:rFonts w:ascii="Times New Roman" w:hAnsi="Times New Roman"/>
          <w:sz w:val="20"/>
        </w:rPr>
        <w:t xml:space="preserve">” means the office of the Trustee at which at any particular time its corporate trust business related to this Indenture shall be principally administered, which office at the date hereof is located at [ ⚫ ], Attention: Ouster, Inc. Administrator,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Default</w:t>
      </w:r>
      <w:r>
        <w:rPr>
          <w:rFonts w:ascii="Times New Roman" w:hAnsi="Times New Roman"/>
          <w:sz w:val="20"/>
        </w:rPr>
        <w:t xml:space="preserve">” means any event which is, or after notice, passage of time or both would be, an Event of Default. </w:t>
      </w:r>
    </w:p>
    <w:p>
      <w:pPr>
        <w:pStyle w:val="TextBody"/>
        <w:bidi w:val="0"/>
        <w:spacing w:before="240" w:after="0"/>
        <w:jc w:val="left"/>
        <w:rPr/>
      </w:pPr>
      <w:r>
        <w:rPr/>
        <w:t>“</w:t>
      </w:r>
      <w:r>
        <w:rPr>
          <w:rFonts w:ascii="Times New Roman" w:hAnsi="Times New Roman"/>
          <w:i/>
          <w:sz w:val="20"/>
        </w:rPr>
        <w:t>Depositary</w:t>
      </w:r>
      <w:r>
        <w:rPr>
          <w:rFonts w:ascii="Times New Roman" w:hAnsi="Times New Roman"/>
          <w:sz w:val="20"/>
        </w:rPr>
        <w:t xml:space="preserve">”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 </w:t>
      </w:r>
    </w:p>
    <w:p>
      <w:pPr>
        <w:pStyle w:val="TextBody"/>
        <w:bidi w:val="0"/>
        <w:spacing w:before="240" w:after="0"/>
        <w:jc w:val="left"/>
        <w:rPr/>
      </w:pPr>
      <w:r>
        <w:rPr/>
        <w:t>“</w:t>
      </w:r>
      <w:r>
        <w:rPr>
          <w:rFonts w:ascii="Times New Roman" w:hAnsi="Times New Roman"/>
          <w:i/>
          <w:sz w:val="20"/>
        </w:rPr>
        <w:t>Discount Security</w:t>
      </w:r>
      <w:r>
        <w:rPr>
          <w:rFonts w:ascii="Times New Roman" w:hAnsi="Times New Roman"/>
          <w:sz w:val="20"/>
        </w:rPr>
        <w:t xml:space="preserve">” means any Security that provides for an amount less than the stated principal amount thereof to be due and payable upon declaration of acceleration of the maturity thereof pursuant to Section 6.2. </w:t>
      </w:r>
    </w:p>
    <w:p>
      <w:pPr>
        <w:pStyle w:val="TextBody"/>
        <w:bidi w:val="0"/>
        <w:spacing w:before="240" w:after="0"/>
        <w:jc w:val="left"/>
        <w:rPr/>
      </w:pPr>
      <w:r>
        <w:rPr/>
        <w:t>“</w:t>
      </w:r>
      <w:r>
        <w:rPr>
          <w:rFonts w:ascii="Times New Roman" w:hAnsi="Times New Roman"/>
          <w:i/>
          <w:sz w:val="20"/>
        </w:rPr>
        <w:t>Dollars</w:t>
      </w:r>
      <w:r>
        <w:rPr>
          <w:rFonts w:ascii="Times New Roman" w:hAnsi="Times New Roman"/>
          <w:sz w:val="20"/>
        </w:rPr>
        <w:t>” and “</w:t>
      </w:r>
      <w:r>
        <w:rPr>
          <w:rFonts w:ascii="Times New Roman" w:hAnsi="Times New Roman"/>
          <w:i/>
          <w:sz w:val="20"/>
        </w:rPr>
        <w:t>$</w:t>
      </w:r>
      <w:r>
        <w:rPr>
          <w:rFonts w:ascii="Times New Roman" w:hAnsi="Times New Roman"/>
          <w:sz w:val="20"/>
        </w:rPr>
        <w:t xml:space="preserve">” means the currency of the United States of America.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i/>
          <w:sz w:val="20"/>
        </w:rPr>
        <w:t>Foreign Currency</w:t>
      </w:r>
      <w:r>
        <w:rPr>
          <w:rFonts w:ascii="Times New Roman" w:hAnsi="Times New Roman"/>
          <w:sz w:val="20"/>
        </w:rPr>
        <w:t xml:space="preserve">” means any currency or currency unit issued by a government other than the government of the United States of America. </w:t>
      </w:r>
    </w:p>
    <w:p>
      <w:pPr>
        <w:pStyle w:val="TextBody"/>
        <w:bidi w:val="0"/>
        <w:spacing w:before="240" w:after="0"/>
        <w:jc w:val="left"/>
        <w:rPr/>
      </w:pPr>
      <w:r>
        <w:rPr/>
        <w:t>“</w:t>
      </w:r>
      <w:r>
        <w:rPr>
          <w:rFonts w:ascii="Times New Roman" w:hAnsi="Times New Roman"/>
          <w:i/>
          <w:sz w:val="20"/>
        </w:rPr>
        <w:t>Foreign Government Obligations</w:t>
      </w:r>
      <w:r>
        <w:rPr>
          <w:rFonts w:ascii="Times New Roman" w:hAnsi="Times New Roman"/>
          <w:sz w:val="20"/>
        </w:rPr>
        <w:t xml:space="preserve">”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 </w:t>
      </w:r>
    </w:p>
    <w:p>
      <w:pPr>
        <w:pStyle w:val="TextBody"/>
        <w:bidi w:val="0"/>
        <w:spacing w:before="240" w:after="0"/>
        <w:jc w:val="left"/>
        <w:rPr/>
      </w:pPr>
      <w:r>
        <w:rPr/>
        <w:t>“</w:t>
      </w:r>
      <w:r>
        <w:rPr>
          <w:rFonts w:ascii="Times New Roman" w:hAnsi="Times New Roman"/>
          <w:i/>
          <w:sz w:val="20"/>
        </w:rPr>
        <w:t>Global Security</w:t>
      </w:r>
      <w:r>
        <w:rPr>
          <w:rFonts w:ascii="Times New Roman" w:hAnsi="Times New Roman"/>
          <w:sz w:val="20"/>
        </w:rPr>
        <w:t>” or “</w:t>
      </w:r>
      <w:r>
        <w:rPr>
          <w:rFonts w:ascii="Times New Roman" w:hAnsi="Times New Roman"/>
          <w:i/>
          <w:sz w:val="20"/>
        </w:rPr>
        <w:t>Global Securities</w:t>
      </w:r>
      <w:r>
        <w:rPr>
          <w:rFonts w:ascii="Times New Roman" w:hAnsi="Times New Roman"/>
          <w:sz w:val="20"/>
        </w:rPr>
        <w:t xml:space="preserve">” means a Security or Securities, as the case may be, in the form established pursuant to Section 2.2 evidencing all or part of a Series of Securities, issued to the Depositary for such Series or its nominee, and registered in the name of such Depositary or nominee.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xml:space="preserve">” means a person in whose name a Security is registered on the Registrar’s books. </w:t>
      </w:r>
    </w:p>
    <w:p>
      <w:pPr>
        <w:pStyle w:val="TextBody"/>
        <w:bidi w:val="0"/>
        <w:spacing w:before="240" w:after="0"/>
        <w:jc w:val="left"/>
        <w:rPr/>
      </w:pPr>
      <w:r>
        <w:rPr/>
        <w:t>“</w:t>
      </w:r>
      <w:r>
        <w:rPr>
          <w:rFonts w:ascii="Times New Roman" w:hAnsi="Times New Roman"/>
          <w:i/>
          <w:sz w:val="20"/>
        </w:rPr>
        <w:t>Indenture</w:t>
      </w:r>
      <w:r>
        <w:rPr>
          <w:rFonts w:ascii="Times New Roman" w:hAnsi="Times New Roman"/>
          <w:sz w:val="20"/>
        </w:rPr>
        <w:t xml:space="preserve">” means this Indenture as amended or supplemented from time to time and shall include the form and terms of particular Series of Securities established as contemplated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interest</w:t>
      </w:r>
      <w:r>
        <w:rPr>
          <w:rFonts w:ascii="Times New Roman" w:hAnsi="Times New Roman"/>
          <w:sz w:val="20"/>
        </w:rPr>
        <w:t xml:space="preserve">” with respect to any Discount Security which by its terms bears interest only after Maturity, means interest payable after Maturity. </w:t>
      </w:r>
    </w:p>
    <w:p>
      <w:pPr>
        <w:pStyle w:val="TextBody"/>
        <w:bidi w:val="0"/>
        <w:spacing w:before="240" w:after="0"/>
        <w:jc w:val="left"/>
        <w:rPr/>
      </w:pPr>
      <w:r>
        <w:rPr/>
        <w:t>“</w:t>
      </w:r>
      <w:r>
        <w:rPr>
          <w:rFonts w:ascii="Times New Roman" w:hAnsi="Times New Roman"/>
          <w:i/>
          <w:sz w:val="20"/>
        </w:rPr>
        <w:t>Maturity</w:t>
      </w:r>
      <w:r>
        <w:rPr>
          <w:rFonts w:ascii="Times New Roman" w:hAnsi="Times New Roman"/>
          <w:sz w:val="20"/>
        </w:rPr>
        <w:t xml:space="preserve">” when used with respect to any Security, means the date on which the principal of such Security becomes due and payable as therein or herein provided, whether at the Stated Maturity or by declaration of acceleration, call for redemption or otherwise.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the Chief Executive Officer, President, the Chief Financial Officer, the Treasurer or any Assistant Treasurer, the Secretary or any Assistant Secretary and any Vice President of the Company.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a certificate signed by any Officer that meets the requirements of this Indenture. </w:t>
      </w:r>
    </w:p>
    <w:p>
      <w:pPr>
        <w:pStyle w:val="TextBody"/>
        <w:bidi w:val="0"/>
        <w:spacing w:before="240" w:after="0"/>
        <w:jc w:val="left"/>
        <w:rPr/>
      </w:pPr>
      <w:r>
        <w:rPr/>
        <w:t>“</w:t>
      </w:r>
      <w:r>
        <w:rPr>
          <w:rFonts w:ascii="Times New Roman" w:hAnsi="Times New Roman"/>
          <w:i/>
          <w:sz w:val="20"/>
        </w:rPr>
        <w:t>Opinion of Counsel</w:t>
      </w:r>
      <w:r>
        <w:rPr>
          <w:rFonts w:ascii="Times New Roman" w:hAnsi="Times New Roman"/>
          <w:sz w:val="20"/>
        </w:rPr>
        <w:t xml:space="preserve">” means a written opinion of legal counsel who is acceptable to the Trustee. The counsel may be an employee of or counsel to the Company. The opinion may contain customary limitations, conditions and exceptions.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joint venture, association, limited liability company, joint-stock company, trust, unincorporated organization or government or any agency or political subdivision thereof. </w:t>
      </w:r>
    </w:p>
    <w:p>
      <w:pPr>
        <w:pStyle w:val="TextBody"/>
        <w:bidi w:val="0"/>
        <w:spacing w:before="240" w:after="0"/>
        <w:jc w:val="left"/>
        <w:rPr/>
      </w:pPr>
      <w:r>
        <w:rPr/>
        <w:t>“</w:t>
      </w:r>
      <w:r>
        <w:rPr>
          <w:rFonts w:ascii="Times New Roman" w:hAnsi="Times New Roman"/>
          <w:i/>
          <w:sz w:val="20"/>
        </w:rPr>
        <w:t>principal</w:t>
      </w:r>
      <w:r>
        <w:rPr>
          <w:rFonts w:ascii="Times New Roman" w:hAnsi="Times New Roman"/>
          <w:sz w:val="20"/>
        </w:rPr>
        <w:t xml:space="preserve">” of a Security means the principal of the Security plus, when appropriate, the premium, if any, on the Security. </w:t>
      </w:r>
    </w:p>
    <w:p>
      <w:pPr>
        <w:pStyle w:val="TextBody"/>
        <w:bidi w:val="0"/>
        <w:spacing w:before="240" w:after="0"/>
        <w:jc w:val="left"/>
        <w:rPr/>
      </w:pPr>
      <w:r>
        <w:rPr/>
        <w:t>“</w:t>
      </w:r>
      <w:r>
        <w:rPr>
          <w:rFonts w:ascii="Times New Roman" w:hAnsi="Times New Roman"/>
          <w:i/>
          <w:sz w:val="20"/>
        </w:rPr>
        <w:t>Responsible Officer</w:t>
      </w:r>
      <w:r>
        <w:rPr>
          <w:rFonts w:ascii="Times New Roman" w:hAnsi="Times New Roman"/>
          <w:sz w:val="20"/>
        </w:rPr>
        <w:t xml:space="preserve">” means any officer of the Trustee in its corporate trust department (or any successor group of the Trustee) and also means, with respect to a particular corporate trust matter, any other officer to whom any corporate trust matter is referred because of his or her knowledge of and familiarity with a particular subject and, in each case, who shall have direct responsibility for the administration of this Indenture.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i/>
          <w:sz w:val="20"/>
        </w:rPr>
        <w:t>Security</w:t>
      </w:r>
      <w:r>
        <w:rPr>
          <w:rFonts w:ascii="Times New Roman" w:hAnsi="Times New Roman"/>
          <w:sz w:val="20"/>
        </w:rPr>
        <w:t>” or “</w:t>
      </w:r>
      <w:r>
        <w:rPr>
          <w:rFonts w:ascii="Times New Roman" w:hAnsi="Times New Roman"/>
          <w:i/>
          <w:sz w:val="20"/>
        </w:rPr>
        <w:t>Securities</w:t>
      </w:r>
      <w:r>
        <w:rPr>
          <w:rFonts w:ascii="Times New Roman" w:hAnsi="Times New Roman"/>
          <w:sz w:val="20"/>
        </w:rPr>
        <w:t xml:space="preserve">” means the debentures, notes or other debt instruments of the Company of any Series authenticated and delivered under this Indenture. </w:t>
      </w:r>
    </w:p>
    <w:p>
      <w:pPr>
        <w:pStyle w:val="TextBody"/>
        <w:bidi w:val="0"/>
        <w:spacing w:before="240" w:after="0"/>
        <w:jc w:val="left"/>
        <w:rPr/>
      </w:pPr>
      <w:r>
        <w:rPr/>
        <w:t>“</w:t>
      </w:r>
      <w:r>
        <w:rPr>
          <w:rFonts w:ascii="Times New Roman" w:hAnsi="Times New Roman"/>
          <w:i/>
          <w:sz w:val="20"/>
        </w:rPr>
        <w:t>Series</w:t>
      </w:r>
      <w:r>
        <w:rPr>
          <w:rFonts w:ascii="Times New Roman" w:hAnsi="Times New Roman"/>
          <w:sz w:val="20"/>
        </w:rPr>
        <w:t>” or “</w:t>
      </w:r>
      <w:r>
        <w:rPr>
          <w:rFonts w:ascii="Times New Roman" w:hAnsi="Times New Roman"/>
          <w:i/>
          <w:sz w:val="20"/>
        </w:rPr>
        <w:t>Series of Securities</w:t>
      </w:r>
      <w:r>
        <w:rPr>
          <w:rFonts w:ascii="Times New Roman" w:hAnsi="Times New Roman"/>
          <w:sz w:val="20"/>
        </w:rPr>
        <w:t xml:space="preserve">” means each series of debentures, notes or other debt instruments of the Company created pursuant to Sections 2.1 and 2.2 hereof. </w:t>
      </w:r>
    </w:p>
    <w:p>
      <w:pPr>
        <w:pStyle w:val="TextBody"/>
        <w:bidi w:val="0"/>
        <w:spacing w:before="240" w:after="0"/>
        <w:jc w:val="left"/>
        <w:rPr/>
      </w:pPr>
      <w:r>
        <w:rPr/>
        <w:t>“</w:t>
      </w:r>
      <w:r>
        <w:rPr>
          <w:rFonts w:ascii="Times New Roman" w:hAnsi="Times New Roman"/>
          <w:i/>
          <w:sz w:val="20"/>
        </w:rPr>
        <w:t>Stated Maturity</w:t>
      </w:r>
      <w:r>
        <w:rPr>
          <w:rFonts w:ascii="Times New Roman" w:hAnsi="Times New Roman"/>
          <w:sz w:val="20"/>
        </w:rPr>
        <w:t xml:space="preserve">” when used with respect to any Security, means the date specified in such Security as the fixed date on which the principal of such Security or interest is due and payable.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TIA</w:t>
      </w:r>
      <w:r>
        <w:rPr>
          <w:rFonts w:ascii="Times New Roman" w:hAnsi="Times New Roman"/>
          <w:sz w:val="20"/>
        </w:rPr>
        <w:t xml:space="preserve">” means the Trust Indenture Act of 1939 (15 U.S. Code §§ 77aaa-77bbbb) as in effect on the date of this Indenture;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the Trust Indenture Act of 1939 is amended after such date, “TIA” means, to the extent required by any such amendment, the Trust Indenture Act as so amended. </w:t>
      </w:r>
    </w:p>
    <w:p>
      <w:pPr>
        <w:pStyle w:val="TextBody"/>
        <w:bidi w:val="0"/>
        <w:spacing w:before="240" w:after="0"/>
        <w:jc w:val="left"/>
        <w:rPr/>
      </w:pPr>
      <w:r>
        <w:rPr/>
        <w:t>“</w:t>
      </w:r>
      <w:r>
        <w:rPr>
          <w:rFonts w:ascii="Times New Roman" w:hAnsi="Times New Roman"/>
          <w:i/>
          <w:sz w:val="20"/>
        </w:rPr>
        <w:t>Trustee</w:t>
      </w:r>
      <w:r>
        <w:rPr>
          <w:rFonts w:ascii="Times New Roman" w:hAnsi="Times New Roman"/>
          <w:sz w:val="20"/>
        </w:rPr>
        <w:t xml:space="preserv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 </w:t>
      </w:r>
    </w:p>
    <w:p>
      <w:pPr>
        <w:pStyle w:val="TextBody"/>
        <w:bidi w:val="0"/>
        <w:spacing w:before="240" w:after="0"/>
        <w:jc w:val="left"/>
        <w:rPr/>
      </w:pPr>
      <w:r>
        <w:rPr/>
        <w:t>“</w:t>
      </w:r>
      <w:r>
        <w:rPr>
          <w:rFonts w:ascii="Times New Roman" w:hAnsi="Times New Roman"/>
          <w:i/>
          <w:sz w:val="20"/>
        </w:rPr>
        <w:t>U.S. Government Obligations</w:t>
      </w:r>
      <w:r>
        <w:rPr>
          <w:rFonts w:ascii="Times New Roman" w:hAnsi="Times New Roman"/>
          <w:sz w:val="20"/>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hAnsi="Times New Roman"/>
          <w:i/>
          <w:sz w:val="20"/>
        </w:rPr>
        <w:t>provided</w:t>
      </w:r>
      <w:r>
        <w:rPr>
          <w:rFonts w:ascii="Times New Roman" w:hAnsi="Times New Roman"/>
          <w:sz w:val="20"/>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 </w:t>
      </w:r>
    </w:p>
    <w:p>
      <w:pPr>
        <w:pStyle w:val="TextBody"/>
        <w:bidi w:val="0"/>
        <w:spacing w:before="240" w:after="0"/>
        <w:jc w:val="left"/>
        <w:rPr>
          <w:rFonts w:ascii="Times New Roman" w:hAnsi="Times New Roman"/>
          <w:sz w:val="20"/>
        </w:rPr>
      </w:pPr>
      <w:r>
        <w:rPr>
          <w:rFonts w:ascii="Times New Roman" w:hAnsi="Times New Roman"/>
          <w:sz w:val="20"/>
        </w:rPr>
        <w:t>Section 1.2. </w:t>
      </w:r>
      <w:r>
        <w:rPr>
          <w:rFonts w:ascii="Times New Roman" w:hAnsi="Times New Roman"/>
          <w:sz w:val="20"/>
          <w:u w:val="single"/>
        </w:rPr>
        <w:t>Other Definitions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6"/>
        <w:gridCol w:w="121"/>
        <w:gridCol w:w="4968"/>
      </w:tblGrid>
      <w:tr>
        <w:trPr/>
        <w:tc>
          <w:tcPr>
            <w:tcW w:w="511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68" w:type="dxa"/>
            <w:tcBorders/>
            <w:vAlign w:val="center"/>
          </w:tcPr>
          <w:p>
            <w:pPr>
              <w:pStyle w:val="TableContents"/>
              <w:bidi w:val="0"/>
              <w:spacing w:before="0" w:after="283"/>
              <w:jc w:val="left"/>
              <w:rPr>
                <w:sz w:val="4"/>
                <w:szCs w:val="4"/>
              </w:rPr>
            </w:pPr>
            <w:r>
              <w:rPr>
                <w:sz w:val="4"/>
                <w:szCs w:val="4"/>
              </w:rPr>
            </w:r>
          </w:p>
        </w:tc>
      </w:tr>
      <w:tr>
        <w:trPr/>
        <w:tc>
          <w:tcPr>
            <w:tcW w:w="511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TERM</w:t>
            </w:r>
          </w:p>
        </w:tc>
        <w:tc>
          <w:tcPr>
            <w:tcW w:w="121" w:type="dxa"/>
            <w:tcBorders/>
            <w:vAlign w:val="bottom"/>
          </w:tcPr>
          <w:p>
            <w:pPr>
              <w:pStyle w:val="TableContents"/>
              <w:bidi w:val="0"/>
              <w:spacing w:before="0" w:after="283"/>
              <w:jc w:val="left"/>
              <w:rPr/>
            </w:pPr>
            <w:r>
              <w:rPr/>
              <w:t>  </w:t>
            </w:r>
          </w:p>
        </w:tc>
        <w:tc>
          <w:tcPr>
            <w:tcW w:w="496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DEFINED IN SECTION</w:t>
            </w:r>
          </w:p>
        </w:tc>
      </w:tr>
      <w:tr>
        <w:trPr/>
        <w:tc>
          <w:tcPr>
            <w:tcW w:w="5116" w:type="dxa"/>
            <w:tcBorders/>
          </w:tcPr>
          <w:p>
            <w:pPr>
              <w:pStyle w:val="TableContents"/>
              <w:bidi w:val="0"/>
              <w:spacing w:before="0" w:after="283"/>
              <w:jc w:val="left"/>
              <w:rPr/>
            </w:pPr>
            <w:r>
              <w:rPr/>
              <w:t>“</w:t>
            </w:r>
            <w:r>
              <w:rPr>
                <w:i/>
              </w:rPr>
              <w:t>Agent Member</w:t>
            </w:r>
            <w:r>
              <w:rPr/>
              <w:t>”</w:t>
            </w:r>
          </w:p>
        </w:tc>
        <w:tc>
          <w:tcPr>
            <w:tcW w:w="121" w:type="dxa"/>
            <w:tcBorders/>
            <w:vAlign w:val="bottom"/>
          </w:tcPr>
          <w:p>
            <w:pPr>
              <w:pStyle w:val="TableContents"/>
              <w:bidi w:val="0"/>
              <w:spacing w:before="0" w:after="283"/>
              <w:jc w:val="left"/>
              <w:rPr/>
            </w:pPr>
            <w:r>
              <w:rPr/>
              <w:t>  </w:t>
            </w:r>
          </w:p>
        </w:tc>
        <w:tc>
          <w:tcPr>
            <w:tcW w:w="4968" w:type="dxa"/>
            <w:tcBorders/>
          </w:tcPr>
          <w:p>
            <w:pPr>
              <w:pStyle w:val="TableContents"/>
              <w:bidi w:val="0"/>
              <w:spacing w:before="0" w:after="283"/>
              <w:jc w:val="left"/>
              <w:rPr/>
            </w:pPr>
            <w:r>
              <w:rPr/>
              <w:t>2.14.6</w:t>
            </w:r>
          </w:p>
        </w:tc>
      </w:tr>
      <w:tr>
        <w:trPr/>
        <w:tc>
          <w:tcPr>
            <w:tcW w:w="5116" w:type="dxa"/>
            <w:tcBorders/>
          </w:tcPr>
          <w:p>
            <w:pPr>
              <w:pStyle w:val="TableContents"/>
              <w:bidi w:val="0"/>
              <w:spacing w:before="0" w:after="283"/>
              <w:jc w:val="left"/>
              <w:rPr/>
            </w:pPr>
            <w:r>
              <w:rPr/>
              <w:t>“</w:t>
            </w:r>
            <w:r>
              <w:rPr>
                <w:i/>
              </w:rPr>
              <w:t>Bankruptcy Law</w:t>
            </w:r>
            <w:r>
              <w:rPr/>
              <w:t>”</w:t>
            </w:r>
          </w:p>
        </w:tc>
        <w:tc>
          <w:tcPr>
            <w:tcW w:w="121" w:type="dxa"/>
            <w:tcBorders/>
            <w:vAlign w:val="bottom"/>
          </w:tcPr>
          <w:p>
            <w:pPr>
              <w:pStyle w:val="TableContents"/>
              <w:bidi w:val="0"/>
              <w:spacing w:before="0" w:after="283"/>
              <w:jc w:val="left"/>
              <w:rPr/>
            </w:pPr>
            <w:r>
              <w:rPr/>
              <w:t>  </w:t>
            </w:r>
          </w:p>
        </w:tc>
        <w:tc>
          <w:tcPr>
            <w:tcW w:w="4968" w:type="dxa"/>
            <w:tcBorders/>
          </w:tcPr>
          <w:p>
            <w:pPr>
              <w:pStyle w:val="TableContents"/>
              <w:bidi w:val="0"/>
              <w:spacing w:before="0" w:after="283"/>
              <w:jc w:val="left"/>
              <w:rPr/>
            </w:pPr>
            <w:r>
              <w:rPr/>
              <w:t>6.1</w:t>
            </w:r>
          </w:p>
        </w:tc>
      </w:tr>
      <w:tr>
        <w:trPr/>
        <w:tc>
          <w:tcPr>
            <w:tcW w:w="5116" w:type="dxa"/>
            <w:tcBorders/>
          </w:tcPr>
          <w:p>
            <w:pPr>
              <w:pStyle w:val="TableContents"/>
              <w:bidi w:val="0"/>
              <w:spacing w:before="0" w:after="283"/>
              <w:jc w:val="left"/>
              <w:rPr/>
            </w:pPr>
            <w:r>
              <w:rPr/>
              <w:t>“</w:t>
            </w:r>
            <w:r>
              <w:rPr>
                <w:i/>
              </w:rPr>
              <w:t>Custodian</w:t>
            </w:r>
            <w:r>
              <w:rPr/>
              <w:t>”</w:t>
            </w:r>
          </w:p>
        </w:tc>
        <w:tc>
          <w:tcPr>
            <w:tcW w:w="121" w:type="dxa"/>
            <w:tcBorders/>
            <w:vAlign w:val="bottom"/>
          </w:tcPr>
          <w:p>
            <w:pPr>
              <w:pStyle w:val="TableContents"/>
              <w:bidi w:val="0"/>
              <w:spacing w:before="0" w:after="283"/>
              <w:jc w:val="left"/>
              <w:rPr/>
            </w:pPr>
            <w:r>
              <w:rPr/>
              <w:t>  </w:t>
            </w:r>
          </w:p>
        </w:tc>
        <w:tc>
          <w:tcPr>
            <w:tcW w:w="4968" w:type="dxa"/>
            <w:tcBorders/>
          </w:tcPr>
          <w:p>
            <w:pPr>
              <w:pStyle w:val="TableContents"/>
              <w:bidi w:val="0"/>
              <w:spacing w:before="0" w:after="283"/>
              <w:jc w:val="left"/>
              <w:rPr/>
            </w:pPr>
            <w:r>
              <w:rPr/>
              <w:t>6.1</w:t>
            </w:r>
          </w:p>
        </w:tc>
      </w:tr>
      <w:tr>
        <w:trPr/>
        <w:tc>
          <w:tcPr>
            <w:tcW w:w="5116" w:type="dxa"/>
            <w:tcBorders/>
          </w:tcPr>
          <w:p>
            <w:pPr>
              <w:pStyle w:val="TableContents"/>
              <w:bidi w:val="0"/>
              <w:spacing w:before="0" w:after="283"/>
              <w:jc w:val="left"/>
              <w:rPr/>
            </w:pPr>
            <w:r>
              <w:rPr/>
              <w:t>“</w:t>
            </w:r>
            <w:r>
              <w:rPr>
                <w:i/>
              </w:rPr>
              <w:t>Event of Default</w:t>
            </w:r>
            <w:r>
              <w:rPr/>
              <w:t>”</w:t>
            </w:r>
          </w:p>
        </w:tc>
        <w:tc>
          <w:tcPr>
            <w:tcW w:w="121" w:type="dxa"/>
            <w:tcBorders/>
            <w:vAlign w:val="bottom"/>
          </w:tcPr>
          <w:p>
            <w:pPr>
              <w:pStyle w:val="TableContents"/>
              <w:bidi w:val="0"/>
              <w:spacing w:before="0" w:after="283"/>
              <w:jc w:val="left"/>
              <w:rPr/>
            </w:pPr>
            <w:r>
              <w:rPr/>
              <w:t>  </w:t>
            </w:r>
          </w:p>
        </w:tc>
        <w:tc>
          <w:tcPr>
            <w:tcW w:w="4968" w:type="dxa"/>
            <w:tcBorders/>
          </w:tcPr>
          <w:p>
            <w:pPr>
              <w:pStyle w:val="TableContents"/>
              <w:bidi w:val="0"/>
              <w:spacing w:before="0" w:after="283"/>
              <w:jc w:val="left"/>
              <w:rPr/>
            </w:pPr>
            <w:r>
              <w:rPr/>
              <w:t>6.1</w:t>
            </w:r>
          </w:p>
        </w:tc>
      </w:tr>
      <w:tr>
        <w:trPr/>
        <w:tc>
          <w:tcPr>
            <w:tcW w:w="5116" w:type="dxa"/>
            <w:tcBorders/>
          </w:tcPr>
          <w:p>
            <w:pPr>
              <w:pStyle w:val="TableContents"/>
              <w:bidi w:val="0"/>
              <w:spacing w:before="0" w:after="283"/>
              <w:jc w:val="left"/>
              <w:rPr/>
            </w:pPr>
            <w:r>
              <w:rPr/>
              <w:t>“</w:t>
            </w:r>
            <w:r>
              <w:rPr>
                <w:i/>
              </w:rPr>
              <w:t>Judgment Currency</w:t>
            </w:r>
            <w:r>
              <w:rPr/>
              <w:t>”</w:t>
            </w:r>
          </w:p>
        </w:tc>
        <w:tc>
          <w:tcPr>
            <w:tcW w:w="121" w:type="dxa"/>
            <w:tcBorders/>
            <w:vAlign w:val="bottom"/>
          </w:tcPr>
          <w:p>
            <w:pPr>
              <w:pStyle w:val="TableContents"/>
              <w:bidi w:val="0"/>
              <w:spacing w:before="0" w:after="283"/>
              <w:jc w:val="left"/>
              <w:rPr/>
            </w:pPr>
            <w:r>
              <w:rPr/>
              <w:t>  </w:t>
            </w:r>
          </w:p>
        </w:tc>
        <w:tc>
          <w:tcPr>
            <w:tcW w:w="4968" w:type="dxa"/>
            <w:tcBorders/>
          </w:tcPr>
          <w:p>
            <w:pPr>
              <w:pStyle w:val="TableContents"/>
              <w:bidi w:val="0"/>
              <w:spacing w:before="0" w:after="283"/>
              <w:jc w:val="left"/>
              <w:rPr/>
            </w:pPr>
            <w:r>
              <w:rPr/>
              <w:t>10.16</w:t>
            </w:r>
          </w:p>
        </w:tc>
      </w:tr>
      <w:tr>
        <w:trPr/>
        <w:tc>
          <w:tcPr>
            <w:tcW w:w="5116" w:type="dxa"/>
            <w:tcBorders/>
          </w:tcPr>
          <w:p>
            <w:pPr>
              <w:pStyle w:val="TableContents"/>
              <w:bidi w:val="0"/>
              <w:spacing w:before="0" w:after="283"/>
              <w:jc w:val="left"/>
              <w:rPr/>
            </w:pPr>
            <w:r>
              <w:rPr/>
              <w:t>“</w:t>
            </w:r>
            <w:r>
              <w:rPr>
                <w:i/>
              </w:rPr>
              <w:t>mandatory sinking fund payment</w:t>
            </w:r>
            <w:r>
              <w:rPr/>
              <w:t>”</w:t>
            </w:r>
          </w:p>
        </w:tc>
        <w:tc>
          <w:tcPr>
            <w:tcW w:w="121" w:type="dxa"/>
            <w:tcBorders/>
            <w:vAlign w:val="bottom"/>
          </w:tcPr>
          <w:p>
            <w:pPr>
              <w:pStyle w:val="TableContents"/>
              <w:bidi w:val="0"/>
              <w:spacing w:before="0" w:after="283"/>
              <w:jc w:val="left"/>
              <w:rPr/>
            </w:pPr>
            <w:r>
              <w:rPr/>
              <w:t>  </w:t>
            </w:r>
          </w:p>
        </w:tc>
        <w:tc>
          <w:tcPr>
            <w:tcW w:w="4968" w:type="dxa"/>
            <w:tcBorders/>
          </w:tcPr>
          <w:p>
            <w:pPr>
              <w:pStyle w:val="TableContents"/>
              <w:bidi w:val="0"/>
              <w:spacing w:before="0" w:after="283"/>
              <w:jc w:val="left"/>
              <w:rPr/>
            </w:pPr>
            <w:r>
              <w:rPr/>
              <w:t>11.1</w:t>
            </w:r>
          </w:p>
        </w:tc>
      </w:tr>
      <w:tr>
        <w:trPr/>
        <w:tc>
          <w:tcPr>
            <w:tcW w:w="5116" w:type="dxa"/>
            <w:tcBorders/>
          </w:tcPr>
          <w:p>
            <w:pPr>
              <w:pStyle w:val="TableContents"/>
              <w:bidi w:val="0"/>
              <w:spacing w:before="0" w:after="283"/>
              <w:jc w:val="left"/>
              <w:rPr/>
            </w:pPr>
            <w:r>
              <w:rPr/>
              <w:t>“</w:t>
            </w:r>
            <w:r>
              <w:rPr>
                <w:i/>
              </w:rPr>
              <w:t>New York Banking Day</w:t>
            </w:r>
            <w:r>
              <w:rPr/>
              <w:t>”</w:t>
            </w:r>
          </w:p>
        </w:tc>
        <w:tc>
          <w:tcPr>
            <w:tcW w:w="121" w:type="dxa"/>
            <w:tcBorders/>
            <w:vAlign w:val="bottom"/>
          </w:tcPr>
          <w:p>
            <w:pPr>
              <w:pStyle w:val="TableContents"/>
              <w:bidi w:val="0"/>
              <w:spacing w:before="0" w:after="283"/>
              <w:jc w:val="left"/>
              <w:rPr/>
            </w:pPr>
            <w:r>
              <w:rPr/>
              <w:t>  </w:t>
            </w:r>
          </w:p>
        </w:tc>
        <w:tc>
          <w:tcPr>
            <w:tcW w:w="4968" w:type="dxa"/>
            <w:tcBorders/>
          </w:tcPr>
          <w:p>
            <w:pPr>
              <w:pStyle w:val="TableContents"/>
              <w:bidi w:val="0"/>
              <w:spacing w:before="0" w:after="283"/>
              <w:jc w:val="left"/>
              <w:rPr/>
            </w:pPr>
            <w:r>
              <w:rPr/>
              <w:t>10.16</w:t>
            </w:r>
          </w:p>
        </w:tc>
      </w:tr>
      <w:tr>
        <w:trPr/>
        <w:tc>
          <w:tcPr>
            <w:tcW w:w="5116" w:type="dxa"/>
            <w:tcBorders/>
          </w:tcPr>
          <w:p>
            <w:pPr>
              <w:pStyle w:val="TableContents"/>
              <w:bidi w:val="0"/>
              <w:spacing w:before="0" w:after="283"/>
              <w:jc w:val="left"/>
              <w:rPr/>
            </w:pPr>
            <w:r>
              <w:rPr/>
              <w:t>“</w:t>
            </w:r>
            <w:r>
              <w:rPr>
                <w:i/>
              </w:rPr>
              <w:t>Notice Agent</w:t>
            </w:r>
            <w:r>
              <w:rPr/>
              <w:t>”</w:t>
            </w:r>
          </w:p>
        </w:tc>
        <w:tc>
          <w:tcPr>
            <w:tcW w:w="121" w:type="dxa"/>
            <w:tcBorders/>
            <w:vAlign w:val="bottom"/>
          </w:tcPr>
          <w:p>
            <w:pPr>
              <w:pStyle w:val="TableContents"/>
              <w:bidi w:val="0"/>
              <w:spacing w:before="0" w:after="283"/>
              <w:jc w:val="left"/>
              <w:rPr/>
            </w:pPr>
            <w:r>
              <w:rPr/>
              <w:t>  </w:t>
            </w:r>
          </w:p>
        </w:tc>
        <w:tc>
          <w:tcPr>
            <w:tcW w:w="4968" w:type="dxa"/>
            <w:tcBorders/>
          </w:tcPr>
          <w:p>
            <w:pPr>
              <w:pStyle w:val="TableContents"/>
              <w:bidi w:val="0"/>
              <w:spacing w:before="0" w:after="283"/>
              <w:jc w:val="left"/>
              <w:rPr/>
            </w:pPr>
            <w:r>
              <w:rPr/>
              <w:t>2.4</w:t>
            </w:r>
          </w:p>
        </w:tc>
      </w:tr>
      <w:tr>
        <w:trPr/>
        <w:tc>
          <w:tcPr>
            <w:tcW w:w="5116" w:type="dxa"/>
            <w:tcBorders/>
          </w:tcPr>
          <w:p>
            <w:pPr>
              <w:pStyle w:val="TableContents"/>
              <w:bidi w:val="0"/>
              <w:spacing w:before="0" w:after="283"/>
              <w:jc w:val="left"/>
              <w:rPr/>
            </w:pPr>
            <w:r>
              <w:rPr/>
              <w:t>“</w:t>
            </w:r>
            <w:r>
              <w:rPr>
                <w:i/>
              </w:rPr>
              <w:t>optional sinking fund payment</w:t>
            </w:r>
            <w:r>
              <w:rPr/>
              <w:t>”</w:t>
            </w:r>
          </w:p>
        </w:tc>
        <w:tc>
          <w:tcPr>
            <w:tcW w:w="121" w:type="dxa"/>
            <w:tcBorders/>
            <w:vAlign w:val="bottom"/>
          </w:tcPr>
          <w:p>
            <w:pPr>
              <w:pStyle w:val="TableContents"/>
              <w:bidi w:val="0"/>
              <w:spacing w:before="0" w:after="283"/>
              <w:jc w:val="left"/>
              <w:rPr/>
            </w:pPr>
            <w:r>
              <w:rPr/>
              <w:t>  </w:t>
            </w:r>
          </w:p>
        </w:tc>
        <w:tc>
          <w:tcPr>
            <w:tcW w:w="4968" w:type="dxa"/>
            <w:tcBorders/>
          </w:tcPr>
          <w:p>
            <w:pPr>
              <w:pStyle w:val="TableContents"/>
              <w:bidi w:val="0"/>
              <w:spacing w:before="0" w:after="283"/>
              <w:jc w:val="left"/>
              <w:rPr/>
            </w:pPr>
            <w:r>
              <w:rPr/>
              <w:t>11.1</w:t>
            </w:r>
          </w:p>
        </w:tc>
      </w:tr>
      <w:tr>
        <w:trPr/>
        <w:tc>
          <w:tcPr>
            <w:tcW w:w="5116" w:type="dxa"/>
            <w:tcBorders/>
          </w:tcPr>
          <w:p>
            <w:pPr>
              <w:pStyle w:val="TableContents"/>
              <w:bidi w:val="0"/>
              <w:spacing w:before="0" w:after="283"/>
              <w:jc w:val="left"/>
              <w:rPr/>
            </w:pPr>
            <w:r>
              <w:rPr/>
              <w:t>“</w:t>
            </w:r>
            <w:r>
              <w:rPr>
                <w:i/>
              </w:rPr>
              <w:t>Paying Agent</w:t>
            </w:r>
            <w:r>
              <w:rPr/>
              <w:t>”</w:t>
            </w:r>
          </w:p>
        </w:tc>
        <w:tc>
          <w:tcPr>
            <w:tcW w:w="121" w:type="dxa"/>
            <w:tcBorders/>
            <w:vAlign w:val="bottom"/>
          </w:tcPr>
          <w:p>
            <w:pPr>
              <w:pStyle w:val="TableContents"/>
              <w:bidi w:val="0"/>
              <w:spacing w:before="0" w:after="283"/>
              <w:jc w:val="left"/>
              <w:rPr/>
            </w:pPr>
            <w:r>
              <w:rPr/>
              <w:t>  </w:t>
            </w:r>
          </w:p>
        </w:tc>
        <w:tc>
          <w:tcPr>
            <w:tcW w:w="4968" w:type="dxa"/>
            <w:tcBorders/>
          </w:tcPr>
          <w:p>
            <w:pPr>
              <w:pStyle w:val="TableContents"/>
              <w:bidi w:val="0"/>
              <w:spacing w:before="0" w:after="283"/>
              <w:jc w:val="left"/>
              <w:rPr/>
            </w:pPr>
            <w:r>
              <w:rPr/>
              <w:t>2.4</w:t>
            </w:r>
          </w:p>
        </w:tc>
      </w:tr>
      <w:tr>
        <w:trPr/>
        <w:tc>
          <w:tcPr>
            <w:tcW w:w="5116" w:type="dxa"/>
            <w:tcBorders/>
          </w:tcPr>
          <w:p>
            <w:pPr>
              <w:pStyle w:val="TableContents"/>
              <w:bidi w:val="0"/>
              <w:spacing w:before="0" w:after="283"/>
              <w:jc w:val="left"/>
              <w:rPr/>
            </w:pPr>
            <w:r>
              <w:rPr/>
              <w:t>“</w:t>
            </w:r>
            <w:r>
              <w:rPr>
                <w:i/>
              </w:rPr>
              <w:t>Registrar</w:t>
            </w:r>
            <w:r>
              <w:rPr/>
              <w:t>”</w:t>
            </w:r>
          </w:p>
        </w:tc>
        <w:tc>
          <w:tcPr>
            <w:tcW w:w="121" w:type="dxa"/>
            <w:tcBorders/>
            <w:vAlign w:val="bottom"/>
          </w:tcPr>
          <w:p>
            <w:pPr>
              <w:pStyle w:val="TableContents"/>
              <w:bidi w:val="0"/>
              <w:spacing w:before="0" w:after="283"/>
              <w:jc w:val="left"/>
              <w:rPr/>
            </w:pPr>
            <w:r>
              <w:rPr/>
              <w:t>  </w:t>
            </w:r>
          </w:p>
        </w:tc>
        <w:tc>
          <w:tcPr>
            <w:tcW w:w="4968" w:type="dxa"/>
            <w:tcBorders/>
          </w:tcPr>
          <w:p>
            <w:pPr>
              <w:pStyle w:val="TableContents"/>
              <w:bidi w:val="0"/>
              <w:spacing w:before="0" w:after="283"/>
              <w:jc w:val="left"/>
              <w:rPr/>
            </w:pPr>
            <w:r>
              <w:rPr/>
              <w:t>2.4</w:t>
            </w:r>
          </w:p>
        </w:tc>
      </w:tr>
      <w:tr>
        <w:trPr/>
        <w:tc>
          <w:tcPr>
            <w:tcW w:w="5116" w:type="dxa"/>
            <w:tcBorders/>
          </w:tcPr>
          <w:p>
            <w:pPr>
              <w:pStyle w:val="TableContents"/>
              <w:bidi w:val="0"/>
              <w:spacing w:before="0" w:after="283"/>
              <w:jc w:val="left"/>
              <w:rPr/>
            </w:pPr>
            <w:r>
              <w:rPr/>
              <w:t>“</w:t>
            </w:r>
            <w:r>
              <w:rPr>
                <w:i/>
              </w:rPr>
              <w:t>Required Currency</w:t>
            </w:r>
            <w:r>
              <w:rPr/>
              <w:t>”</w:t>
            </w:r>
          </w:p>
        </w:tc>
        <w:tc>
          <w:tcPr>
            <w:tcW w:w="121" w:type="dxa"/>
            <w:tcBorders/>
            <w:vAlign w:val="bottom"/>
          </w:tcPr>
          <w:p>
            <w:pPr>
              <w:pStyle w:val="TableContents"/>
              <w:bidi w:val="0"/>
              <w:spacing w:before="0" w:after="283"/>
              <w:jc w:val="left"/>
              <w:rPr/>
            </w:pPr>
            <w:r>
              <w:rPr/>
              <w:t>  </w:t>
            </w:r>
          </w:p>
        </w:tc>
        <w:tc>
          <w:tcPr>
            <w:tcW w:w="4968" w:type="dxa"/>
            <w:tcBorders/>
          </w:tcPr>
          <w:p>
            <w:pPr>
              <w:pStyle w:val="TableContents"/>
              <w:bidi w:val="0"/>
              <w:spacing w:before="0" w:after="283"/>
              <w:jc w:val="left"/>
              <w:rPr/>
            </w:pPr>
            <w:r>
              <w:rPr/>
              <w:t>10.16</w:t>
            </w:r>
          </w:p>
        </w:tc>
      </w:tr>
      <w:tr>
        <w:trPr/>
        <w:tc>
          <w:tcPr>
            <w:tcW w:w="5116" w:type="dxa"/>
            <w:tcBorders/>
          </w:tcPr>
          <w:p>
            <w:pPr>
              <w:pStyle w:val="TableContents"/>
              <w:bidi w:val="0"/>
              <w:spacing w:before="0" w:after="283"/>
              <w:jc w:val="left"/>
              <w:rPr/>
            </w:pPr>
            <w:r>
              <w:rPr/>
              <w:t>“</w:t>
            </w:r>
            <w:r>
              <w:rPr>
                <w:i/>
              </w:rPr>
              <w:t>Specified Courts</w:t>
            </w:r>
            <w:r>
              <w:rPr/>
              <w:t>”</w:t>
            </w:r>
          </w:p>
        </w:tc>
        <w:tc>
          <w:tcPr>
            <w:tcW w:w="121" w:type="dxa"/>
            <w:tcBorders/>
            <w:vAlign w:val="bottom"/>
          </w:tcPr>
          <w:p>
            <w:pPr>
              <w:pStyle w:val="TableContents"/>
              <w:bidi w:val="0"/>
              <w:spacing w:before="0" w:after="283"/>
              <w:jc w:val="left"/>
              <w:rPr/>
            </w:pPr>
            <w:r>
              <w:rPr/>
              <w:t>  </w:t>
            </w:r>
          </w:p>
        </w:tc>
        <w:tc>
          <w:tcPr>
            <w:tcW w:w="4968" w:type="dxa"/>
            <w:tcBorders/>
          </w:tcPr>
          <w:p>
            <w:pPr>
              <w:pStyle w:val="TableContents"/>
              <w:bidi w:val="0"/>
              <w:spacing w:before="0" w:after="283"/>
              <w:jc w:val="left"/>
              <w:rPr/>
            </w:pPr>
            <w:r>
              <w:rPr/>
              <w:t>10.10</w:t>
            </w:r>
          </w:p>
        </w:tc>
      </w:tr>
      <w:tr>
        <w:trPr/>
        <w:tc>
          <w:tcPr>
            <w:tcW w:w="5116" w:type="dxa"/>
            <w:tcBorders/>
          </w:tcPr>
          <w:p>
            <w:pPr>
              <w:pStyle w:val="TableContents"/>
              <w:bidi w:val="0"/>
              <w:spacing w:before="0" w:after="283"/>
              <w:jc w:val="left"/>
              <w:rPr/>
            </w:pPr>
            <w:r>
              <w:rPr/>
              <w:t>“</w:t>
            </w:r>
            <w:r>
              <w:rPr>
                <w:i/>
              </w:rPr>
              <w:t>successor person</w:t>
            </w:r>
            <w:r>
              <w:rPr/>
              <w:t>”</w:t>
            </w:r>
          </w:p>
        </w:tc>
        <w:tc>
          <w:tcPr>
            <w:tcW w:w="121" w:type="dxa"/>
            <w:tcBorders/>
            <w:vAlign w:val="bottom"/>
          </w:tcPr>
          <w:p>
            <w:pPr>
              <w:pStyle w:val="TableContents"/>
              <w:bidi w:val="0"/>
              <w:spacing w:before="0" w:after="283"/>
              <w:jc w:val="left"/>
              <w:rPr/>
            </w:pPr>
            <w:r>
              <w:rPr/>
              <w:t>  </w:t>
            </w:r>
          </w:p>
        </w:tc>
        <w:tc>
          <w:tcPr>
            <w:tcW w:w="4968" w:type="dxa"/>
            <w:tcBorders/>
          </w:tcPr>
          <w:p>
            <w:pPr>
              <w:pStyle w:val="TableContents"/>
              <w:bidi w:val="0"/>
              <w:spacing w:before="0" w:after="283"/>
              <w:jc w:val="left"/>
              <w:rPr/>
            </w:pPr>
            <w:r>
              <w:rPr/>
              <w:t>5.1</w:t>
            </w:r>
          </w:p>
        </w:tc>
      </w:tr>
    </w:tbl>
    <w:p>
      <w:pPr>
        <w:pStyle w:val="TextBody"/>
        <w:bidi w:val="0"/>
        <w:spacing w:before="240" w:after="0"/>
        <w:jc w:val="left"/>
        <w:rPr>
          <w:rFonts w:ascii="Times New Roman" w:hAnsi="Times New Roman"/>
          <w:sz w:val="20"/>
        </w:rPr>
      </w:pPr>
      <w:r>
        <w:rPr>
          <w:rFonts w:ascii="Times New Roman" w:hAnsi="Times New Roman"/>
          <w:sz w:val="20"/>
        </w:rPr>
        <w:t>Section 1.3. </w:t>
      </w:r>
      <w:r>
        <w:rPr>
          <w:rFonts w:ascii="Times New Roman" w:hAnsi="Times New Roman"/>
          <w:sz w:val="20"/>
          <w:u w:val="single"/>
        </w:rPr>
        <w:t>Incorporation by Reference of Trust Indenture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Whenever this Indenture refers to a provision of the TIA, the provision is incorporated by reference in and made a part of this Indenture. The following TIA terms used in this Indenture have the following meanings: </w:t>
      </w:r>
    </w:p>
    <w:p>
      <w:pPr>
        <w:pStyle w:val="TextBody"/>
        <w:bidi w:val="0"/>
        <w:spacing w:before="240" w:after="0"/>
        <w:jc w:val="left"/>
        <w:rPr/>
      </w:pPr>
      <w:r>
        <w:rPr/>
        <w:t>“</w:t>
      </w:r>
      <w:r>
        <w:rPr>
          <w:rFonts w:ascii="Times New Roman" w:hAnsi="Times New Roman"/>
          <w:i/>
          <w:sz w:val="20"/>
        </w:rPr>
        <w:t>Commission</w:t>
      </w:r>
      <w:r>
        <w:rPr>
          <w:rFonts w:ascii="Times New Roman" w:hAnsi="Times New Roman"/>
          <w:sz w:val="20"/>
        </w:rPr>
        <w:t xml:space="preserve">” means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indenture securities</w:t>
      </w:r>
      <w:r>
        <w:rPr>
          <w:rFonts w:ascii="Times New Roman" w:hAnsi="Times New Roman"/>
          <w:sz w:val="20"/>
        </w:rPr>
        <w:t xml:space="preserve">” means the Securities. </w:t>
      </w:r>
    </w:p>
    <w:p>
      <w:pPr>
        <w:pStyle w:val="TextBody"/>
        <w:bidi w:val="0"/>
        <w:spacing w:before="240" w:after="0"/>
        <w:jc w:val="left"/>
        <w:rPr/>
      </w:pPr>
      <w:r>
        <w:rPr/>
        <w:t>“</w:t>
      </w:r>
      <w:r>
        <w:rPr>
          <w:rFonts w:ascii="Times New Roman" w:hAnsi="Times New Roman"/>
          <w:i/>
          <w:sz w:val="20"/>
        </w:rPr>
        <w:t>indenture security holder</w:t>
      </w:r>
      <w:r>
        <w:rPr>
          <w:rFonts w:ascii="Times New Roman" w:hAnsi="Times New Roman"/>
          <w:sz w:val="20"/>
        </w:rPr>
        <w:t xml:space="preserve">” means a Holder. </w:t>
      </w:r>
    </w:p>
    <w:p>
      <w:pPr>
        <w:pStyle w:val="TextBody"/>
        <w:bidi w:val="0"/>
        <w:spacing w:before="240" w:after="0"/>
        <w:jc w:val="left"/>
        <w:rPr/>
      </w:pPr>
      <w:r>
        <w:rPr/>
        <w:t>“</w:t>
      </w:r>
      <w:r>
        <w:rPr>
          <w:rFonts w:ascii="Times New Roman" w:hAnsi="Times New Roman"/>
          <w:i/>
          <w:sz w:val="20"/>
        </w:rPr>
        <w:t>indenture to be qualified</w:t>
      </w:r>
      <w:r>
        <w:rPr>
          <w:rFonts w:ascii="Times New Roman" w:hAnsi="Times New Roman"/>
          <w:sz w:val="20"/>
        </w:rPr>
        <w:t xml:space="preserve">” means this Indenture. </w:t>
      </w:r>
    </w:p>
    <w:p>
      <w:pPr>
        <w:pStyle w:val="TextBody"/>
        <w:bidi w:val="0"/>
        <w:spacing w:before="240" w:after="0"/>
        <w:jc w:val="left"/>
        <w:rPr/>
      </w:pPr>
      <w:r>
        <w:rPr/>
        <w:t>“</w:t>
      </w:r>
      <w:r>
        <w:rPr>
          <w:rFonts w:ascii="Times New Roman" w:hAnsi="Times New Roman"/>
          <w:i/>
          <w:sz w:val="20"/>
        </w:rPr>
        <w:t>indenture trustee</w:t>
      </w:r>
      <w:r>
        <w:rPr>
          <w:rFonts w:ascii="Times New Roman" w:hAnsi="Times New Roman"/>
          <w:sz w:val="20"/>
        </w:rPr>
        <w:t>” or “</w:t>
      </w:r>
      <w:r>
        <w:rPr>
          <w:rFonts w:ascii="Times New Roman" w:hAnsi="Times New Roman"/>
          <w:i/>
          <w:sz w:val="20"/>
        </w:rPr>
        <w:t>institutional trustee</w:t>
      </w:r>
      <w:r>
        <w:rPr>
          <w:rFonts w:ascii="Times New Roman" w:hAnsi="Times New Roman"/>
          <w:sz w:val="20"/>
        </w:rPr>
        <w:t xml:space="preserve">” means the Trustee. </w:t>
      </w:r>
    </w:p>
    <w:p>
      <w:pPr>
        <w:pStyle w:val="TextBody"/>
        <w:bidi w:val="0"/>
        <w:spacing w:before="240" w:after="0"/>
        <w:jc w:val="left"/>
        <w:rPr/>
      </w:pPr>
      <w:r>
        <w:rPr/>
        <w:t>“</w:t>
      </w:r>
      <w:r>
        <w:rPr>
          <w:rFonts w:ascii="Times New Roman" w:hAnsi="Times New Roman"/>
          <w:i/>
          <w:sz w:val="20"/>
        </w:rPr>
        <w:t>obligor</w:t>
      </w:r>
      <w:r>
        <w:rPr>
          <w:rFonts w:ascii="Times New Roman" w:hAnsi="Times New Roman"/>
          <w:sz w:val="20"/>
        </w:rPr>
        <w:t xml:space="preserve">” on the indenture securities means the Company and any successor obligor upon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used in this Indenture that are defined by the TIA, defined by TIA reference to another statute or defined by SEC rule under the TIA and not otherwise defined herein are used herein as so defined. </w:t>
      </w:r>
    </w:p>
    <w:p>
      <w:pPr>
        <w:pStyle w:val="TextBody"/>
        <w:bidi w:val="0"/>
        <w:spacing w:before="240" w:after="0"/>
        <w:jc w:val="left"/>
        <w:rPr>
          <w:rFonts w:ascii="Times New Roman" w:hAnsi="Times New Roman"/>
          <w:sz w:val="20"/>
        </w:rPr>
      </w:pPr>
      <w:r>
        <w:rPr>
          <w:rFonts w:ascii="Times New Roman" w:hAnsi="Times New Roman"/>
          <w:sz w:val="20"/>
        </w:rPr>
        <w:t>Section 1.4.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a term has the meaning assigned to it; </w:t>
      </w:r>
    </w:p>
    <w:p>
      <w:pPr>
        <w:pStyle w:val="TextBody"/>
        <w:bidi w:val="0"/>
        <w:spacing w:before="120" w:after="0"/>
        <w:jc w:val="left"/>
        <w:rPr>
          <w:rFonts w:ascii="Times New Roman" w:hAnsi="Times New Roman"/>
          <w:sz w:val="20"/>
        </w:rPr>
      </w:pPr>
      <w:r>
        <w:rPr>
          <w:rFonts w:ascii="Times New Roman" w:hAnsi="Times New Roman"/>
          <w:sz w:val="20"/>
        </w:rPr>
        <w:t xml:space="preserve">(b) an accounting term not otherwise defined has the meaning assigned to it in accordance with GAAP;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i/>
          <w:sz w:val="20"/>
        </w:rPr>
        <w:t>or</w:t>
      </w:r>
      <w:r>
        <w:rPr>
          <w:rFonts w:ascii="Times New Roman" w:hAnsi="Times New Roman"/>
          <w:sz w:val="20"/>
        </w:rPr>
        <w:t xml:space="preserve">”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(d) words in the singular include the plural, and in the plural include the singular; </w:t>
      </w:r>
    </w:p>
    <w:p>
      <w:pPr>
        <w:pStyle w:val="TextBody"/>
        <w:bidi w:val="0"/>
        <w:spacing w:before="120" w:after="0"/>
        <w:jc w:val="left"/>
        <w:rPr>
          <w:rFonts w:ascii="Times New Roman" w:hAnsi="Times New Roman"/>
          <w:sz w:val="20"/>
        </w:rPr>
      </w:pPr>
      <w:r>
        <w:rPr>
          <w:rFonts w:ascii="Times New Roman" w:hAnsi="Times New Roman"/>
          <w:sz w:val="20"/>
        </w:rPr>
        <w:t xml:space="preserve">(e) provisions apply to successive events and transactions; </w:t>
      </w:r>
    </w:p>
    <w:p>
      <w:pPr>
        <w:pStyle w:val="TextBody"/>
        <w:bidi w:val="0"/>
        <w:spacing w:before="120" w:after="0"/>
        <w:jc w:val="left"/>
        <w:rPr>
          <w:rFonts w:ascii="Times New Roman" w:hAnsi="Times New Roman"/>
          <w:sz w:val="20"/>
        </w:rPr>
      </w:pPr>
      <w:r>
        <w:rPr>
          <w:rFonts w:ascii="Times New Roman" w:hAnsi="Times New Roman"/>
          <w:sz w:val="20"/>
        </w:rPr>
        <w:t xml:space="preserve">(f) in the computation of periods of time from a specified date to a later specified date, the word “from” means “from and including,” and the words “to” and “until” each mean “to but excluding”; and </w:t>
      </w:r>
    </w:p>
    <w:p>
      <w:pPr>
        <w:pStyle w:val="TextBody"/>
        <w:bidi w:val="0"/>
        <w:spacing w:before="120" w:after="0"/>
        <w:jc w:val="left"/>
        <w:rPr>
          <w:rFonts w:ascii="Times New Roman" w:hAnsi="Times New Roman"/>
          <w:sz w:val="20"/>
        </w:rPr>
      </w:pPr>
      <w:r>
        <w:rPr>
          <w:rFonts w:ascii="Times New Roman" w:hAnsi="Times New Roman"/>
          <w:sz w:val="20"/>
        </w:rPr>
        <w:t xml:space="preserve">(g) the phrase “in writing” as used herein shall be deemed to include PDFs, e-mails and other electronic means of transmission, unless otherwise indicated. </w:t>
      </w:r>
    </w:p>
    <w:p>
      <w:pPr>
        <w:pStyle w:val="TextBody"/>
        <w:bidi w:val="0"/>
        <w:spacing w:before="24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Section 2.1. </w:t>
      </w:r>
      <w:r>
        <w:rPr>
          <w:rFonts w:ascii="Times New Roman" w:hAnsi="Times New Roman"/>
          <w:sz w:val="20"/>
          <w:u w:val="single"/>
        </w:rPr>
        <w:t>Issuable in Series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 </w:t>
      </w:r>
    </w:p>
    <w:p>
      <w:pPr>
        <w:pStyle w:val="TextBody"/>
        <w:bidi w:val="0"/>
        <w:spacing w:before="240" w:after="0"/>
        <w:jc w:val="left"/>
        <w:rPr>
          <w:rFonts w:ascii="Times New Roman" w:hAnsi="Times New Roman"/>
          <w:sz w:val="20"/>
        </w:rPr>
      </w:pPr>
      <w:r>
        <w:rPr>
          <w:rFonts w:ascii="Times New Roman" w:hAnsi="Times New Roman"/>
          <w:sz w:val="20"/>
        </w:rPr>
        <w:t>Section 2.2. </w:t>
      </w:r>
      <w:r>
        <w:rPr>
          <w:rFonts w:ascii="Times New Roman" w:hAnsi="Times New Roman"/>
          <w:sz w:val="20"/>
          <w:u w:val="single"/>
        </w:rPr>
        <w:t>Establishment of Terms of Series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2.2.1. the title (which shall distinguish the Securities of that particular Series from the Securities of any other Series) and ranking (including the terms of any subordination provisions) of the Series; </w:t>
      </w:r>
    </w:p>
    <w:p>
      <w:pPr>
        <w:pStyle w:val="TextBody"/>
        <w:bidi w:val="0"/>
        <w:spacing w:before="120" w:after="0"/>
        <w:jc w:val="left"/>
        <w:rPr>
          <w:rFonts w:ascii="Times New Roman" w:hAnsi="Times New Roman"/>
          <w:sz w:val="20"/>
        </w:rPr>
      </w:pPr>
      <w:r>
        <w:rPr>
          <w:rFonts w:ascii="Times New Roman" w:hAnsi="Times New Roman"/>
          <w:sz w:val="20"/>
        </w:rPr>
        <w:t xml:space="preserve">2.2.2. the price or prices (expressed as a percentage of the principal amount thereof) at which the Securities of the Series will be issued; </w:t>
      </w:r>
    </w:p>
    <w:p>
      <w:pPr>
        <w:pStyle w:val="TextBody"/>
        <w:bidi w:val="0"/>
        <w:spacing w:before="120" w:after="0"/>
        <w:jc w:val="left"/>
        <w:rPr>
          <w:rFonts w:ascii="Times New Roman" w:hAnsi="Times New Roman"/>
          <w:sz w:val="20"/>
        </w:rPr>
      </w:pPr>
      <w:r>
        <w:rPr>
          <w:rFonts w:ascii="Times New Roman" w:hAnsi="Times New Roman"/>
          <w:sz w:val="20"/>
        </w:rPr>
        <w:t xml:space="preserve">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 </w:t>
      </w:r>
    </w:p>
    <w:p>
      <w:pPr>
        <w:pStyle w:val="TextBody"/>
        <w:bidi w:val="0"/>
        <w:spacing w:before="120" w:after="0"/>
        <w:jc w:val="left"/>
        <w:rPr>
          <w:rFonts w:ascii="Times New Roman" w:hAnsi="Times New Roman"/>
          <w:sz w:val="20"/>
        </w:rPr>
      </w:pPr>
      <w:r>
        <w:rPr>
          <w:rFonts w:ascii="Times New Roman" w:hAnsi="Times New Roman"/>
          <w:sz w:val="20"/>
        </w:rPr>
        <w:t xml:space="preserve">2.2.4. the date or dates on which the principal of the Securities of the Series is payable; </w:t>
      </w:r>
    </w:p>
    <w:p>
      <w:pPr>
        <w:pStyle w:val="TextBody"/>
        <w:bidi w:val="0"/>
        <w:spacing w:before="120" w:after="0"/>
        <w:jc w:val="left"/>
        <w:rPr>
          <w:rFonts w:ascii="Times New Roman" w:hAnsi="Times New Roman"/>
          <w:sz w:val="20"/>
        </w:rPr>
      </w:pPr>
      <w:r>
        <w:rPr>
          <w:rFonts w:ascii="Times New Roman" w:hAnsi="Times New Roman"/>
          <w:sz w:val="20"/>
        </w:rPr>
        <w:t xml:space="preserve">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 </w:t>
      </w:r>
    </w:p>
    <w:p>
      <w:pPr>
        <w:pStyle w:val="TextBody"/>
        <w:bidi w:val="0"/>
        <w:spacing w:before="120" w:after="0"/>
        <w:jc w:val="left"/>
        <w:rPr>
          <w:rFonts w:ascii="Times New Roman" w:hAnsi="Times New Roman"/>
          <w:sz w:val="20"/>
        </w:rPr>
      </w:pPr>
      <w:r>
        <w:rPr>
          <w:rFonts w:ascii="Times New Roman" w:hAnsi="Times New Roman"/>
          <w:sz w:val="20"/>
        </w:rPr>
        <w:t xml:space="preserve">2.2.7. if applicable, the period or periods within which, the price or prices at which and the terms and conditions upon which the Securities of the Series may be redeemed, in whole or in part, at the option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 </w:t>
      </w:r>
    </w:p>
    <w:p>
      <w:pPr>
        <w:pStyle w:val="TextBody"/>
        <w:bidi w:val="0"/>
        <w:spacing w:before="120" w:after="0"/>
        <w:jc w:val="left"/>
        <w:rPr>
          <w:rFonts w:ascii="Times New Roman" w:hAnsi="Times New Roman"/>
          <w:sz w:val="20"/>
        </w:rPr>
      </w:pPr>
      <w:r>
        <w:rPr>
          <w:rFonts w:ascii="Times New Roman" w:hAnsi="Times New Roman"/>
          <w:sz w:val="20"/>
        </w:rPr>
        <w:t xml:space="preserve">2.2.9. the dates, if any, on which and the price or prices at which the Securities of the Series will be repurchased by the Company at the option of the Holders thereof and other detailed terms and provisions of such repurchase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2.2.10. if other than minimum denominations of $1,000 and any integral multiple thereof, the denominations in which the Securities of the Series shall be issuable; </w:t>
      </w:r>
    </w:p>
    <w:p>
      <w:pPr>
        <w:pStyle w:val="TextBody"/>
        <w:bidi w:val="0"/>
        <w:spacing w:before="120" w:after="0"/>
        <w:jc w:val="left"/>
        <w:rPr>
          <w:rFonts w:ascii="Times New Roman" w:hAnsi="Times New Roman"/>
          <w:sz w:val="20"/>
        </w:rPr>
      </w:pPr>
      <w:r>
        <w:rPr>
          <w:rFonts w:ascii="Times New Roman" w:hAnsi="Times New Roman"/>
          <w:sz w:val="20"/>
        </w:rPr>
        <w:t xml:space="preserve">2.2.11. the forms of the Securities of the Series and whether the Securities will be issuable as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2.2.12. if other than the principal amount thereof, the portion of the principal amount of the Securities of the Series that shall be payable upon declaration of acceleration of the maturity thereof pursuant to Section 6.2; </w:t>
      </w:r>
    </w:p>
    <w:p>
      <w:pPr>
        <w:pStyle w:val="TextBody"/>
        <w:bidi w:val="0"/>
        <w:spacing w:before="120" w:after="0"/>
        <w:jc w:val="left"/>
        <w:rPr>
          <w:rFonts w:ascii="Times New Roman" w:hAnsi="Times New Roman"/>
          <w:sz w:val="20"/>
        </w:rPr>
      </w:pPr>
      <w:r>
        <w:rPr>
          <w:rFonts w:ascii="Times New Roman" w:hAnsi="Times New Roman"/>
          <w:sz w:val="20"/>
        </w:rPr>
        <w:t xml:space="preserve">2.2.13. the currency of denomination of the Securities of the Series, which may be Dollars or any Foreign Currency, and if such currency of denomination is a composite currency, the agency or organization, if any, responsible for overseeing such composite currency; </w:t>
      </w:r>
    </w:p>
    <w:p>
      <w:pPr>
        <w:pStyle w:val="TextBody"/>
        <w:bidi w:val="0"/>
        <w:spacing w:before="120" w:after="0"/>
        <w:jc w:val="left"/>
        <w:rPr>
          <w:rFonts w:ascii="Times New Roman" w:hAnsi="Times New Roman"/>
          <w:sz w:val="20"/>
        </w:rPr>
      </w:pPr>
      <w:r>
        <w:rPr>
          <w:rFonts w:ascii="Times New Roman" w:hAnsi="Times New Roman"/>
          <w:sz w:val="20"/>
        </w:rPr>
        <w:t xml:space="preserve">2.2.14. the designation of the currency, currencies or currency units in which payment of the principal of and interest, if any, on the Securities of the Series will be made; </w:t>
      </w:r>
    </w:p>
    <w:p>
      <w:pPr>
        <w:pStyle w:val="TextBody"/>
        <w:bidi w:val="0"/>
        <w:spacing w:before="120" w:after="0"/>
        <w:jc w:val="left"/>
        <w:rPr>
          <w:rFonts w:ascii="Times New Roman" w:hAnsi="Times New Roman"/>
          <w:sz w:val="20"/>
        </w:rPr>
      </w:pPr>
      <w:r>
        <w:rPr>
          <w:rFonts w:ascii="Times New Roman" w:hAnsi="Times New Roman"/>
          <w:sz w:val="20"/>
        </w:rPr>
        <w:t xml:space="preserve">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 </w:t>
      </w:r>
    </w:p>
    <w:p>
      <w:pPr>
        <w:pStyle w:val="TextBody"/>
        <w:bidi w:val="0"/>
        <w:spacing w:before="120" w:after="0"/>
        <w:jc w:val="left"/>
        <w:rPr>
          <w:rFonts w:ascii="Times New Roman" w:hAnsi="Times New Roman"/>
          <w:sz w:val="20"/>
        </w:rPr>
      </w:pPr>
      <w:r>
        <w:rPr>
          <w:rFonts w:ascii="Times New Roman" w:hAnsi="Times New Roman"/>
          <w:sz w:val="20"/>
        </w:rPr>
        <w:t xml:space="preserve">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 </w:t>
      </w:r>
    </w:p>
    <w:p>
      <w:pPr>
        <w:pStyle w:val="TextBody"/>
        <w:bidi w:val="0"/>
        <w:spacing w:before="120" w:after="0"/>
        <w:jc w:val="left"/>
        <w:rPr>
          <w:rFonts w:ascii="Times New Roman" w:hAnsi="Times New Roman"/>
          <w:sz w:val="20"/>
        </w:rPr>
      </w:pPr>
      <w:r>
        <w:rPr>
          <w:rFonts w:ascii="Times New Roman" w:hAnsi="Times New Roman"/>
          <w:sz w:val="20"/>
        </w:rPr>
        <w:t xml:space="preserve">2.2.17. the provisions, if any, relating to any security provided for the Securities of the Series; </w:t>
      </w:r>
    </w:p>
    <w:p>
      <w:pPr>
        <w:pStyle w:val="TextBody"/>
        <w:bidi w:val="0"/>
        <w:spacing w:before="120" w:after="0"/>
        <w:jc w:val="left"/>
        <w:rPr>
          <w:rFonts w:ascii="Times New Roman" w:hAnsi="Times New Roman"/>
          <w:sz w:val="20"/>
        </w:rPr>
      </w:pPr>
      <w:r>
        <w:rPr>
          <w:rFonts w:ascii="Times New Roman" w:hAnsi="Times New Roman"/>
          <w:sz w:val="20"/>
        </w:rPr>
        <w:t xml:space="preserve">2.2.18. any addition to, deletion of or change in the Events of Default which applies to any Securities of the Series and any change in the right of the Trustee or the requisite Holders of such Securities to declare the principal amount thereof due and payable pursuant to Section 6.2; </w:t>
      </w:r>
    </w:p>
    <w:p>
      <w:pPr>
        <w:pStyle w:val="TextBody"/>
        <w:bidi w:val="0"/>
        <w:spacing w:before="120" w:after="0"/>
        <w:jc w:val="left"/>
        <w:rPr>
          <w:rFonts w:ascii="Times New Roman" w:hAnsi="Times New Roman"/>
          <w:sz w:val="20"/>
        </w:rPr>
      </w:pPr>
      <w:r>
        <w:rPr>
          <w:rFonts w:ascii="Times New Roman" w:hAnsi="Times New Roman"/>
          <w:sz w:val="20"/>
        </w:rPr>
        <w:t xml:space="preserve">2.2.19. any addition to, deletion of or change in the covenants applicable to Securities of the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2.2.20. any Depositaries, interest rate calculation agents, exchange rate calculation agents or other agents with respect to Securities of such Series if other than those appointed herein; </w:t>
      </w:r>
    </w:p>
    <w:p>
      <w:pPr>
        <w:pStyle w:val="TextBody"/>
        <w:bidi w:val="0"/>
        <w:spacing w:before="120" w:after="0"/>
        <w:jc w:val="left"/>
        <w:rPr>
          <w:rFonts w:ascii="Times New Roman" w:hAnsi="Times New Roman"/>
          <w:sz w:val="20"/>
        </w:rPr>
      </w:pPr>
      <w:r>
        <w:rPr>
          <w:rFonts w:ascii="Times New Roman" w:hAnsi="Times New Roman"/>
          <w:sz w:val="20"/>
        </w:rPr>
        <w:t xml:space="preserve">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 </w:t>
      </w:r>
    </w:p>
    <w:p>
      <w:pPr>
        <w:pStyle w:val="TextBody"/>
        <w:bidi w:val="0"/>
        <w:spacing w:before="120" w:after="0"/>
        <w:jc w:val="left"/>
        <w:rPr>
          <w:rFonts w:ascii="Times New Roman" w:hAnsi="Times New Roman"/>
          <w:sz w:val="20"/>
        </w:rPr>
      </w:pPr>
      <w:r>
        <w:rPr>
          <w:rFonts w:ascii="Times New Roman" w:hAnsi="Times New Roman"/>
          <w:sz w:val="20"/>
        </w:rPr>
        <w:t xml:space="preserve">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 </w:t>
      </w:r>
    </w:p>
    <w:p>
      <w:pPr>
        <w:pStyle w:val="TextBody"/>
        <w:bidi w:val="0"/>
        <w:spacing w:before="120" w:after="0"/>
        <w:jc w:val="left"/>
        <w:rPr>
          <w:rFonts w:ascii="Times New Roman" w:hAnsi="Times New Roman"/>
          <w:sz w:val="20"/>
        </w:rPr>
      </w:pPr>
      <w:r>
        <w:rPr>
          <w:rFonts w:ascii="Times New Roman" w:hAnsi="Times New Roman"/>
          <w:sz w:val="20"/>
        </w:rPr>
        <w:t xml:space="preserve">2.2.23. whether any of the Company’s direct or indirect Subsidiaries will guarantee the Securities of that Series, including the terms of subordination, if any, of such guarantees.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need not be issued at the same time and may be issued from time to time, consistent with the terms of this Indenture, if so provided by or pursuant to the Board Resolution, supplemental indenture hereto or Officer’s Certificate referred to above. </w:t>
      </w:r>
    </w:p>
    <w:p>
      <w:pPr>
        <w:pStyle w:val="TextBody"/>
        <w:bidi w:val="0"/>
        <w:spacing w:before="240" w:after="0"/>
        <w:jc w:val="left"/>
        <w:rPr>
          <w:rFonts w:ascii="Times New Roman" w:hAnsi="Times New Roman"/>
          <w:sz w:val="20"/>
        </w:rPr>
      </w:pPr>
      <w:r>
        <w:rPr>
          <w:rFonts w:ascii="Times New Roman" w:hAnsi="Times New Roman"/>
          <w:sz w:val="20"/>
        </w:rPr>
        <w:t>Section 2.3. </w:t>
      </w:r>
      <w:r>
        <w:rPr>
          <w:rFonts w:ascii="Times New Roman" w:hAnsi="Times New Roman"/>
          <w:sz w:val="20"/>
          <w:u w:val="single"/>
        </w:rPr>
        <w:t>Execution and Authentication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 Officer shall sign the Securities for the Company by manual, facsimile or electronic signature. </w:t>
      </w:r>
    </w:p>
    <w:p>
      <w:pPr>
        <w:pStyle w:val="TextBody"/>
        <w:bidi w:val="0"/>
        <w:spacing w:before="240" w:after="0"/>
        <w:jc w:val="left"/>
        <w:rPr>
          <w:rFonts w:ascii="Times New Roman" w:hAnsi="Times New Roman"/>
          <w:sz w:val="20"/>
        </w:rPr>
      </w:pPr>
      <w:r>
        <w:rPr>
          <w:rFonts w:ascii="Times New Roman" w:hAnsi="Times New Roman"/>
          <w:sz w:val="20"/>
        </w:rPr>
        <w:t xml:space="preserve">If an Officer whose signature is on a Security no longer holds that office at the time the Security is authenticated, the Security shall nevertheless be valid.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by the manual signature of the Trustee or an authenticating agent. The signature shall be conclusive evidence that the Security has been authenticated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Sections 10.4 and 10.5, and (c) an Opinion of Counsel complying with Sections 10.4 and 10.5.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the right to decline to authenticate and deliver any Securities of such Series: (a) if the Trustee, being advised by counsel, determines that such action may not be taken lawfully; or (b) if the Trustee in good faith determines that such action may expose the Trustee to personal liability.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 </w:t>
      </w:r>
    </w:p>
    <w:p>
      <w:pPr>
        <w:pStyle w:val="TextBody"/>
        <w:bidi w:val="0"/>
        <w:spacing w:before="240" w:after="0"/>
        <w:jc w:val="left"/>
        <w:rPr>
          <w:rFonts w:ascii="Times New Roman" w:hAnsi="Times New Roman"/>
          <w:sz w:val="20"/>
        </w:rPr>
      </w:pPr>
      <w:r>
        <w:rPr>
          <w:rFonts w:ascii="Times New Roman" w:hAnsi="Times New Roman"/>
          <w:sz w:val="20"/>
        </w:rPr>
        <w:t>Section 2.4. </w:t>
      </w:r>
      <w:r>
        <w:rPr>
          <w:rFonts w:ascii="Times New Roman" w:hAnsi="Times New Roman"/>
          <w:sz w:val="20"/>
          <w:u w:val="single"/>
        </w:rPr>
        <w:t>Registrar, Paying Agent and Notice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hAnsi="Times New Roman"/>
          <w:i/>
          <w:sz w:val="20"/>
        </w:rPr>
        <w:t>Paying Agent</w:t>
      </w:r>
      <w:r>
        <w:rPr>
          <w:rFonts w:ascii="Times New Roman" w:hAnsi="Times New Roman"/>
          <w:sz w:val="20"/>
        </w:rPr>
        <w:t>”), where Securities of such Series may be surrendered for registration of transfer or exchange (“</w:t>
      </w:r>
      <w:r>
        <w:rPr>
          <w:rFonts w:ascii="Times New Roman" w:hAnsi="Times New Roman"/>
          <w:i/>
          <w:sz w:val="20"/>
        </w:rPr>
        <w:t>Registrar</w:t>
      </w:r>
      <w:r>
        <w:rPr>
          <w:rFonts w:ascii="Times New Roman" w:hAnsi="Times New Roman"/>
          <w:sz w:val="20"/>
        </w:rPr>
        <w:t>”) and where notices and demands to or upon the Company in respect of the Securities of such Series and this Indenture may be delivered (“</w:t>
      </w:r>
      <w:r>
        <w:rPr>
          <w:rFonts w:ascii="Times New Roman" w:hAnsi="Times New Roman"/>
          <w:i/>
          <w:sz w:val="20"/>
        </w:rPr>
        <w:t>Notice Agent</w:t>
      </w:r>
      <w:r>
        <w:rPr>
          <w:rFonts w:ascii="Times New Roman" w:hAnsi="Times New Roman"/>
          <w:sz w:val="20"/>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appointment of the Trustee as the Notice Agent shall exclude the appointment of the Trustee or any office of the Trustee as an agent to receive the service of legal process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one or more co-registrars, additional paying agents or additional notice agents and may from time to time rescind such designations;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hAnsi="Times New Roman"/>
          <w:i/>
          <w:sz w:val="20"/>
        </w:rPr>
        <w:t>Registrar</w:t>
      </w:r>
      <w:r>
        <w:rPr>
          <w:rFonts w:ascii="Times New Roman" w:hAnsi="Times New Roman"/>
          <w:sz w:val="20"/>
        </w:rPr>
        <w:t>” includes any co-registrar; the term “</w:t>
      </w:r>
      <w:r>
        <w:rPr>
          <w:rFonts w:ascii="Times New Roman" w:hAnsi="Times New Roman"/>
          <w:i/>
          <w:sz w:val="20"/>
        </w:rPr>
        <w:t>Paying Agent</w:t>
      </w:r>
      <w:r>
        <w:rPr>
          <w:rFonts w:ascii="Times New Roman" w:hAnsi="Times New Roman"/>
          <w:sz w:val="20"/>
        </w:rPr>
        <w:t>” includes any additional paying agent; and the term “</w:t>
      </w:r>
      <w:r>
        <w:rPr>
          <w:rFonts w:ascii="Times New Roman" w:hAnsi="Times New Roman"/>
          <w:i/>
          <w:sz w:val="20"/>
        </w:rPr>
        <w:t>Notice Agent</w:t>
      </w:r>
      <w:r>
        <w:rPr>
          <w:rFonts w:ascii="Times New Roman" w:hAnsi="Times New Roman"/>
          <w:sz w:val="20"/>
        </w:rPr>
        <w:t xml:space="preserve">” includes any additional notice agent. The Company or any of its Affiliates may serve as Registrar or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appoints the Trustee the initial Registrar, Paying Agent and Notice Agent for each Series unless another Registrar, Paying Agent or Notice Agent, as the case may be, is appointed prior to the time Securities of that Series are first issued. The rights, powers, duties, obligations and actions of each Agent under this Indenture are several and not joint or joint and several, and the Agents shall only be obliged to perform those duties expressly set out in this Indenture and shall have no implied duties. </w:t>
      </w:r>
    </w:p>
    <w:p>
      <w:pPr>
        <w:pStyle w:val="TextBody"/>
        <w:bidi w:val="0"/>
        <w:spacing w:before="240" w:after="0"/>
        <w:jc w:val="left"/>
        <w:rPr>
          <w:rFonts w:ascii="Times New Roman" w:hAnsi="Times New Roman"/>
          <w:sz w:val="20"/>
        </w:rPr>
      </w:pPr>
      <w:r>
        <w:rPr>
          <w:rFonts w:ascii="Times New Roman" w:hAnsi="Times New Roman"/>
          <w:sz w:val="20"/>
        </w:rPr>
        <w:t>Section 2.5. </w:t>
      </w:r>
      <w:r>
        <w:rPr>
          <w:rFonts w:ascii="Times New Roman" w:hAnsi="Times New Roman"/>
          <w:sz w:val="20"/>
          <w:u w:val="single"/>
        </w:rPr>
        <w:t>Paying Agent to Hold Money in Trust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any bankruptcy, reorganization or similar proceeding with respect to the Company, the Trustee shall serve as Paying Agent for the Securities. For the avoidance of doubt, a Paying Agent and the Trustee shall be held harmless and have no liability with respect to payments or disbursements (including to the Holders) until they have confirmed receipt of funds sufficient to make the relevant payment. No money held by an Agent needs to be segregated except as is required by law. </w:t>
      </w:r>
    </w:p>
    <w:p>
      <w:pPr>
        <w:pStyle w:val="TextBody"/>
        <w:bidi w:val="0"/>
        <w:spacing w:before="240" w:after="0"/>
        <w:jc w:val="left"/>
        <w:rPr>
          <w:rFonts w:ascii="Times New Roman" w:hAnsi="Times New Roman"/>
          <w:sz w:val="20"/>
        </w:rPr>
      </w:pPr>
      <w:r>
        <w:rPr>
          <w:rFonts w:ascii="Times New Roman" w:hAnsi="Times New Roman"/>
          <w:sz w:val="20"/>
        </w:rPr>
        <w:t>Section 2.6. </w:t>
      </w:r>
      <w:r>
        <w:rPr>
          <w:rFonts w:ascii="Times New Roman" w:hAnsi="Times New Roman"/>
          <w:sz w:val="20"/>
          <w:u w:val="single"/>
        </w:rPr>
        <w:t>Holder Lists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it is serving as Registrar, the Trustee shall preserve in as current a form as is reasonably practicable the most recent list available to it of the names and addresses of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Holders of each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Every Holder, by receiving and holding Securities, agrees with the Company and the Trustee that neither the Company nor the Trustee or any agent of either of them shall be held accountable by reason of the disclosure of any such information as to the names and addresses of the Holders in accordance with TIA § 312, regardless of the source from which such information was derived, and that the Trustee shall not be held accountable by reason of mailing any material pursuant to a request made under TIA § 312(b).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2.7. </w:t>
      </w:r>
      <w:r>
        <w:rPr>
          <w:rFonts w:ascii="Times New Roman" w:hAnsi="Times New Roman"/>
          <w:sz w:val="20"/>
          <w:u w:val="single"/>
        </w:rPr>
        <w:t>Transfer and Exchange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 </w:t>
      </w:r>
    </w:p>
    <w:p>
      <w:pPr>
        <w:pStyle w:val="TextBody"/>
        <w:bidi w:val="0"/>
        <w:spacing w:before="240" w:after="0"/>
        <w:jc w:val="left"/>
        <w:rPr>
          <w:rFonts w:ascii="Times New Roman" w:hAnsi="Times New Roman"/>
          <w:sz w:val="20"/>
        </w:rPr>
      </w:pPr>
      <w:r>
        <w:rPr>
          <w:rFonts w:ascii="Times New Roman" w:hAnsi="Times New Roman"/>
          <w:sz w:val="20"/>
        </w:rPr>
        <w:t xml:space="preserve">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 </w:t>
      </w:r>
    </w:p>
    <w:p>
      <w:pPr>
        <w:pStyle w:val="TextBody"/>
        <w:bidi w:val="0"/>
        <w:spacing w:before="240" w:after="0"/>
        <w:jc w:val="left"/>
        <w:rPr>
          <w:rFonts w:ascii="Times New Roman" w:hAnsi="Times New Roman"/>
          <w:sz w:val="20"/>
        </w:rPr>
      </w:pPr>
      <w:r>
        <w:rPr>
          <w:rFonts w:ascii="Times New Roman" w:hAnsi="Times New Roman"/>
          <w:sz w:val="20"/>
        </w:rPr>
        <w:t>Section 2.8. </w:t>
      </w:r>
      <w:r>
        <w:rPr>
          <w:rFonts w:ascii="Times New Roman" w:hAnsi="Times New Roman"/>
          <w:sz w:val="20"/>
          <w:u w:val="single"/>
        </w:rPr>
        <w:t>Mutilated, Destroyed, Lost and Stolen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any mutilated Security is surrendered to the Trustee, the Company shall execute and the Trustee shall authenticate and deliver in exchange therefor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case any such mutilated, destroyed, lost or stolen Security has become or is about to become due and payable, the Company in its discretion may, instead of issuing a new Security, pay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provisions of this Section are exclusive and shall preclude (to the extent lawful) all other rights and remedies with respect to the replacement or payment of mutilated, destroyed, lost or stolen Securities. </w:t>
      </w:r>
    </w:p>
    <w:p>
      <w:pPr>
        <w:pStyle w:val="TextBody"/>
        <w:bidi w:val="0"/>
        <w:spacing w:before="240" w:after="0"/>
        <w:jc w:val="left"/>
        <w:rPr>
          <w:rFonts w:ascii="Times New Roman" w:hAnsi="Times New Roman"/>
          <w:sz w:val="20"/>
        </w:rPr>
      </w:pPr>
      <w:r>
        <w:rPr>
          <w:rFonts w:ascii="Times New Roman" w:hAnsi="Times New Roman"/>
          <w:sz w:val="20"/>
        </w:rPr>
        <w:t>Section 2.9. </w:t>
      </w:r>
      <w:r>
        <w:rPr>
          <w:rFonts w:ascii="Times New Roman" w:hAnsi="Times New Roman"/>
          <w:sz w:val="20"/>
          <w:u w:val="single"/>
        </w:rPr>
        <w:t>Outstanding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a Security is replaced pursuant to Section 2.8, it ceases to be outstanding until the Trustee receives proof satisfactory to it that the replaced Security is held by a bona fide purchaser. </w:t>
      </w:r>
    </w:p>
    <w:p>
      <w:pPr>
        <w:pStyle w:val="TextBody"/>
        <w:bidi w:val="0"/>
        <w:spacing w:before="240" w:after="0"/>
        <w:jc w:val="left"/>
        <w:rPr>
          <w:rFonts w:ascii="Times New Roman" w:hAnsi="Times New Roman"/>
          <w:sz w:val="20"/>
        </w:rPr>
      </w:pPr>
      <w:r>
        <w:rPr>
          <w:rFonts w:ascii="Times New Roman" w:hAnsi="Times New Roman"/>
          <w:sz w:val="20"/>
        </w:rPr>
        <w:t xml:space="preserve">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purchase or otherwise acquire the Securities, whether by open market purchases, negotiated transactions or otherwise. A Security does not cease to be outstanding because the Company or an Affiliate of the Company holds the Security (but see Section 2.10 below).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 </w:t>
      </w:r>
    </w:p>
    <w:p>
      <w:pPr>
        <w:pStyle w:val="TextBody"/>
        <w:bidi w:val="0"/>
        <w:spacing w:before="240" w:after="0"/>
        <w:jc w:val="left"/>
        <w:rPr>
          <w:rFonts w:ascii="Times New Roman" w:hAnsi="Times New Roman"/>
          <w:sz w:val="20"/>
        </w:rPr>
      </w:pPr>
      <w:r>
        <w:rPr>
          <w:rFonts w:ascii="Times New Roman" w:hAnsi="Times New Roman"/>
          <w:sz w:val="20"/>
        </w:rPr>
        <w:t>Section 2.10. </w:t>
      </w:r>
      <w:r>
        <w:rPr>
          <w:rFonts w:ascii="Times New Roman" w:hAnsi="Times New Roman"/>
          <w:sz w:val="20"/>
          <w:u w:val="single"/>
        </w:rPr>
        <w:t>Treasury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 </w:t>
      </w:r>
    </w:p>
    <w:p>
      <w:pPr>
        <w:pStyle w:val="TextBody"/>
        <w:bidi w:val="0"/>
        <w:spacing w:before="240" w:after="0"/>
        <w:jc w:val="left"/>
        <w:rPr>
          <w:rFonts w:ascii="Times New Roman" w:hAnsi="Times New Roman"/>
          <w:sz w:val="20"/>
        </w:rPr>
      </w:pPr>
      <w:r>
        <w:rPr>
          <w:rFonts w:ascii="Times New Roman" w:hAnsi="Times New Roman"/>
          <w:sz w:val="20"/>
        </w:rPr>
        <w:t>Section 2.11. </w:t>
      </w:r>
      <w:r>
        <w:rPr>
          <w:rFonts w:ascii="Times New Roman" w:hAnsi="Times New Roman"/>
          <w:sz w:val="20"/>
          <w:u w:val="single"/>
        </w:rPr>
        <w:t>Temporary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2.12. </w:t>
      </w:r>
      <w:r>
        <w:rPr>
          <w:rFonts w:ascii="Times New Roman" w:hAnsi="Times New Roman"/>
          <w:sz w:val="20"/>
          <w:u w:val="single"/>
        </w:rPr>
        <w:t>Cancellation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dispose of such canceled Securities in accordance with its customary procedures (subject to the record retention requirements of the Exchange Act and the Trustee) and deliver a certificate of such cancellation to the Company upon receipt of a Company Order. The Company may not issue new Securities to replace Securities that it has paid or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Section 2.13. </w:t>
      </w:r>
      <w:r>
        <w:rPr>
          <w:rFonts w:ascii="Times New Roman" w:hAnsi="Times New Roman"/>
          <w:sz w:val="20"/>
          <w:u w:val="single"/>
        </w:rPr>
        <w:t>Defaulted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defaults in a payment of interest on a Series of Securities, it shall pay the defaulted interest, plus, to the extent permitted by law, any interest payable on the defaulted interest, to the persons who are Holders of the Series on a subsequent special record date. The Company shall fix the record date and payment date. At least ten days before the special record date, the Company shall send to the Trustee and to each Holder of the Series a notice that states the special record date, the payment date and the amount of interest to be paid. The Company may pay defaulted interest in any other lawful manner. </w:t>
      </w:r>
    </w:p>
    <w:p>
      <w:pPr>
        <w:pStyle w:val="TextBody"/>
        <w:bidi w:val="0"/>
        <w:spacing w:before="240" w:after="0"/>
        <w:jc w:val="left"/>
        <w:rPr>
          <w:rFonts w:ascii="Times New Roman" w:hAnsi="Times New Roman"/>
          <w:sz w:val="20"/>
        </w:rPr>
      </w:pPr>
      <w:r>
        <w:rPr>
          <w:rFonts w:ascii="Times New Roman" w:hAnsi="Times New Roman"/>
          <w:sz w:val="20"/>
        </w:rPr>
        <w:t>Section 2.14. </w:t>
      </w:r>
      <w:r>
        <w:rPr>
          <w:rFonts w:ascii="Times New Roman" w:hAnsi="Times New Roman"/>
          <w:sz w:val="20"/>
          <w:u w:val="single"/>
        </w:rPr>
        <w:t>Global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2.14.1. </w:t>
      </w:r>
      <w:r>
        <w:rPr>
          <w:rFonts w:ascii="Times New Roman" w:hAnsi="Times New Roman"/>
          <w:sz w:val="20"/>
          <w:u w:val="single"/>
        </w:rPr>
        <w:t>Terms of Securities</w:t>
      </w:r>
      <w:r>
        <w:rPr>
          <w:rFonts w:ascii="Times New Roman" w:hAnsi="Times New Roman"/>
          <w:sz w:val="20"/>
        </w:rPr>
        <w:t xml:space="preserve">. A Board Resolution, a supplemental indenture hereto or an Officer’s Certificate shall establish whether the Securities of a Series shall be issued in whole or in part in the form of one or more Global Securities and the Depositary for such Global Security or Securities. </w:t>
      </w:r>
    </w:p>
    <w:p>
      <w:pPr>
        <w:pStyle w:val="TextBody"/>
        <w:bidi w:val="0"/>
        <w:spacing w:before="120" w:after="0"/>
        <w:jc w:val="left"/>
        <w:rPr>
          <w:rFonts w:ascii="Times New Roman" w:hAnsi="Times New Roman"/>
          <w:sz w:val="20"/>
        </w:rPr>
      </w:pPr>
      <w:r>
        <w:rPr>
          <w:rFonts w:ascii="Times New Roman" w:hAnsi="Times New Roman"/>
          <w:sz w:val="20"/>
        </w:rPr>
        <w:t xml:space="preserve">2.14.2. </w:t>
      </w:r>
      <w:r>
        <w:rPr>
          <w:rFonts w:ascii="Times New Roman" w:hAnsi="Times New Roman"/>
          <w:sz w:val="20"/>
          <w:u w:val="single"/>
        </w:rPr>
        <w:t>Transfer and Exchange</w:t>
      </w:r>
      <w:r>
        <w:rPr>
          <w:rFonts w:ascii="Times New Roman" w:hAnsi="Times New Roman"/>
          <w:sz w:val="20"/>
        </w:rPr>
        <w:t xml:space="preserve">.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None of the Trustee or any Agent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None of the Trustee or any Agent shall have any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any Security or with respect to the delivery to any participant, member, beneficial owner or other person (other than the Depositary) of any notice (including any notice of optional redemption) or the payment of any amount, under or with respect to such Security. </w:t>
      </w:r>
    </w:p>
    <w:p>
      <w:pPr>
        <w:pStyle w:val="TextBody"/>
        <w:bidi w:val="0"/>
        <w:spacing w:before="240" w:after="0"/>
        <w:jc w:val="left"/>
        <w:rPr>
          <w:rFonts w:ascii="Times New Roman" w:hAnsi="Times New Roman"/>
          <w:sz w:val="20"/>
        </w:rPr>
      </w:pPr>
      <w:r>
        <w:rPr>
          <w:rFonts w:ascii="Times New Roman" w:hAnsi="Times New Roman"/>
          <w:sz w:val="20"/>
        </w:rPr>
        <w:t xml:space="preserve">2.14.3. </w:t>
      </w:r>
      <w:r>
        <w:rPr>
          <w:rFonts w:ascii="Times New Roman" w:hAnsi="Times New Roman"/>
          <w:sz w:val="20"/>
          <w:u w:val="single"/>
        </w:rPr>
        <w:t>Legends</w:t>
      </w:r>
      <w:r>
        <w:rPr>
          <w:rFonts w:ascii="Times New Roman" w:hAnsi="Times New Roman"/>
          <w:sz w:val="20"/>
        </w:rPr>
        <w:t xml:space="preserve">. Any Global Security issued hereunder shall bear a legend in substantially the following form: </w:t>
      </w:r>
    </w:p>
    <w:p>
      <w:pPr>
        <w:pStyle w:val="TextBody"/>
        <w:bidi w:val="0"/>
        <w:spacing w:before="120" w:after="0"/>
        <w:jc w:val="left"/>
        <w:rPr/>
      </w:pPr>
      <w:r>
        <w:rPr/>
        <w:t>“</w:t>
      </w:r>
      <w:r>
        <w:rPr>
          <w:rFonts w:ascii="Times New Roman" w:hAnsi="Times New Roman"/>
          <w:sz w:val="20"/>
        </w:rPr>
        <w:t xml:space="preserve">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In addition, so long as the Depository Trust Company (“DTC”) is the Depositary, each Global Security registered in the name of DTC or its nominee shall bear a legend in substantially the following form: </w:t>
      </w:r>
    </w:p>
    <w:p>
      <w:pPr>
        <w:pStyle w:val="TextBody"/>
        <w:bidi w:val="0"/>
        <w:spacing w:before="240" w:after="0"/>
        <w:jc w:val="left"/>
        <w:rPr/>
      </w:pPr>
      <w:r>
        <w:rPr/>
        <w:t>“</w:t>
      </w:r>
      <w:r>
        <w:rPr>
          <w:rFonts w:ascii="Times New Roman" w:hAnsi="Times New Roman"/>
          <w:sz w:val="20"/>
        </w:rPr>
        <w:t xml:space="preserve">UNLESS THIS GLOBAL SECURITY IS PRESENTED BY AN AUTHORIZED REPRESENTATIVE OF THE DEPOSITORY TRUST COMPANY, A NEW YORK CORPORATION (“DTC”), TO THE COMPANY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2.14.4. </w:t>
      </w:r>
      <w:r>
        <w:rPr>
          <w:rFonts w:ascii="Times New Roman" w:hAnsi="Times New Roman"/>
          <w:sz w:val="20"/>
          <w:u w:val="single"/>
        </w:rPr>
        <w:t>Acts of Holders</w:t>
      </w:r>
      <w:r>
        <w:rPr>
          <w:rFonts w:ascii="Times New Roman" w:hAnsi="Times New Roman"/>
          <w:sz w:val="20"/>
        </w:rPr>
        <w:t xml:space="preserve">. The Depositary, as a Holder, may appoint agents and otherwise authorize participants to give or take any request, demand, authorization, direction, notice, consent, waiver or other action which a Holder is entitled to give or take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2.14.5. </w:t>
      </w:r>
      <w:r>
        <w:rPr>
          <w:rFonts w:ascii="Times New Roman" w:hAnsi="Times New Roman"/>
          <w:sz w:val="20"/>
          <w:u w:val="single"/>
        </w:rPr>
        <w:t>Payments</w:t>
      </w:r>
      <w:r>
        <w:rPr>
          <w:rFonts w:ascii="Times New Roman" w:hAnsi="Times New Roman"/>
          <w:sz w:val="20"/>
        </w:rPr>
        <w:t xml:space="preserve">. Notwithstanding the other provisions of this Indenture, unless otherwise specified as contemplated by Section 2.2, payment of the principal of and interest, if any, on any Global Security shall be made to the Holder thereof. </w:t>
      </w:r>
    </w:p>
    <w:p>
      <w:pPr>
        <w:pStyle w:val="TextBody"/>
        <w:bidi w:val="0"/>
        <w:spacing w:before="120" w:after="0"/>
        <w:jc w:val="left"/>
        <w:rPr>
          <w:rFonts w:ascii="Times New Roman" w:hAnsi="Times New Roman"/>
          <w:sz w:val="20"/>
        </w:rPr>
      </w:pPr>
      <w:r>
        <w:rPr>
          <w:rFonts w:ascii="Times New Roman" w:hAnsi="Times New Roman"/>
          <w:sz w:val="20"/>
        </w:rPr>
        <w:t xml:space="preserve">2.14.6. </w:t>
      </w:r>
      <w:r>
        <w:rPr>
          <w:rFonts w:ascii="Times New Roman" w:hAnsi="Times New Roman"/>
          <w:sz w:val="20"/>
          <w:u w:val="single"/>
        </w:rPr>
        <w:t>Agent Members</w:t>
      </w:r>
      <w:r>
        <w:rPr>
          <w:rFonts w:ascii="Times New Roman" w:hAnsi="Times New Roman"/>
          <w:sz w:val="20"/>
        </w:rPr>
        <w:t>. The registered Holder of a Security will be treated as the owner of such Security for all purposes and only registered Holders shall have rights under this Indenture and the Securities. Members of, or participants in, the Depositary (“</w:t>
      </w:r>
      <w:r>
        <w:rPr>
          <w:rFonts w:ascii="Times New Roman" w:hAnsi="Times New Roman"/>
          <w:i/>
          <w:sz w:val="20"/>
        </w:rPr>
        <w:t>Agent Members</w:t>
      </w:r>
      <w:r>
        <w:rPr>
          <w:rFonts w:ascii="Times New Roman" w:hAnsi="Times New Roman"/>
          <w:sz w:val="20"/>
        </w:rPr>
        <w:t xml:space="preserve">”) and persons who hold beneficial interests in a Global Security through an Agent Member shall have no rights under this Indenture with respect to any Global Security held on their behalf by the Depositary. The Depositary may be treated by the Company, the Trustee, the Paying Agent, the Registrar and any agent of the foregoing as the absolute owner of the Global Securities for all purposes whatsoever. Notwithstanding the foregoing, nothing herein shall prevent the Company, the Trustee, the Paying Agent, the Registrar or any agent of the foregoing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Security. </w:t>
      </w:r>
    </w:p>
    <w:p>
      <w:pPr>
        <w:pStyle w:val="TextBody"/>
        <w:bidi w:val="0"/>
        <w:spacing w:before="240" w:after="0"/>
        <w:jc w:val="left"/>
        <w:rPr>
          <w:rFonts w:ascii="Times New Roman" w:hAnsi="Times New Roman"/>
          <w:sz w:val="20"/>
        </w:rPr>
      </w:pPr>
      <w:r>
        <w:rPr>
          <w:rFonts w:ascii="Times New Roman" w:hAnsi="Times New Roman"/>
          <w:sz w:val="20"/>
        </w:rPr>
        <w:t>Section 2.15. </w:t>
      </w:r>
      <w:r>
        <w:rPr>
          <w:rFonts w:ascii="Times New Roman" w:hAnsi="Times New Roman"/>
          <w:sz w:val="20"/>
          <w:u w:val="single"/>
        </w:rPr>
        <w:t>CUSIP Numbers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notices of redemption as a convenience to Holders; </w:t>
      </w:r>
      <w:r>
        <w:rPr>
          <w:rFonts w:ascii="Times New Roman" w:hAnsi="Times New Roman"/>
          <w:sz w:val="20"/>
          <w:u w:val="single"/>
        </w:rPr>
        <w:t>provided</w:t>
      </w:r>
      <w:r>
        <w:rPr>
          <w:rFonts w:ascii="Times New Roman" w:hAnsi="Times New Roman"/>
          <w:sz w:val="20"/>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REDEMPTION </w:t>
      </w:r>
    </w:p>
    <w:p>
      <w:pPr>
        <w:pStyle w:val="TextBody"/>
        <w:bidi w:val="0"/>
        <w:spacing w:before="240" w:after="0"/>
        <w:jc w:val="left"/>
        <w:rPr>
          <w:rFonts w:ascii="Times New Roman" w:hAnsi="Times New Roman"/>
          <w:sz w:val="20"/>
        </w:rPr>
      </w:pPr>
      <w:r>
        <w:rPr>
          <w:rFonts w:ascii="Times New Roman" w:hAnsi="Times New Roman"/>
          <w:sz w:val="20"/>
        </w:rPr>
        <w:t>Section 3.1. </w:t>
      </w:r>
      <w:r>
        <w:rPr>
          <w:rFonts w:ascii="Times New Roman" w:hAnsi="Times New Roman"/>
          <w:sz w:val="20"/>
          <w:u w:val="single"/>
        </w:rPr>
        <w:t>Notice to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the Series of Securities to be redeemed. The Company shall give the notice at least 15 days before the redemption date (or such shorter period as may be acceptable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3.2. </w:t>
      </w:r>
      <w:r>
        <w:rPr>
          <w:rFonts w:ascii="Times New Roman" w:hAnsi="Times New Roman"/>
          <w:sz w:val="20"/>
          <w:u w:val="single"/>
        </w:rPr>
        <w:t>Selection of Securities to be Redeemed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 Neither the Trustee nor the Paying Agent shall be liable for any selection made by it in accordance with this paragraph (including the procedures of the Depositary). </w:t>
      </w:r>
    </w:p>
    <w:p>
      <w:pPr>
        <w:pStyle w:val="TextBody"/>
        <w:bidi w:val="0"/>
        <w:spacing w:before="240" w:after="0"/>
        <w:jc w:val="left"/>
        <w:rPr>
          <w:rFonts w:ascii="Times New Roman" w:hAnsi="Times New Roman"/>
          <w:sz w:val="20"/>
        </w:rPr>
      </w:pPr>
      <w:r>
        <w:rPr>
          <w:rFonts w:ascii="Times New Roman" w:hAnsi="Times New Roman"/>
          <w:sz w:val="20"/>
        </w:rPr>
        <w:t>Section 3.3.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The notice shall identify the Securities of the Series to be redeemed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(a)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(b)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(c) the name and address of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(d) 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that Securities of the Series called for redemption must be surrendered to the Paying Agent to collect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(f) that interest on Securities of the Series called for redemption ceases to accrue on and after the redemption date unless the Company defaults in the deposit of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(g) the “CUSIP” number, if any; and </w:t>
      </w:r>
    </w:p>
    <w:p>
      <w:pPr>
        <w:pStyle w:val="TextBody"/>
        <w:bidi w:val="0"/>
        <w:spacing w:before="120" w:after="0"/>
        <w:jc w:val="left"/>
        <w:rPr>
          <w:rFonts w:ascii="Times New Roman" w:hAnsi="Times New Roman"/>
          <w:sz w:val="20"/>
        </w:rPr>
      </w:pPr>
      <w:r>
        <w:rPr>
          <w:rFonts w:ascii="Times New Roman" w:hAnsi="Times New Roman"/>
          <w:sz w:val="20"/>
        </w:rPr>
        <w:t xml:space="preserve">(h) any other information as may be required by the terms of the particular Series or the Securities of a Series being redeemed.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 and the form of such notice. </w:t>
      </w:r>
    </w:p>
    <w:p>
      <w:pPr>
        <w:pStyle w:val="TextBody"/>
        <w:bidi w:val="0"/>
        <w:spacing w:before="240" w:after="0"/>
        <w:jc w:val="left"/>
        <w:rPr>
          <w:rFonts w:ascii="Times New Roman" w:hAnsi="Times New Roman"/>
          <w:sz w:val="20"/>
        </w:rPr>
      </w:pPr>
      <w:r>
        <w:rPr>
          <w:rFonts w:ascii="Times New Roman" w:hAnsi="Times New Roman"/>
          <w:sz w:val="20"/>
        </w:rPr>
        <w:t>Section 3.4. </w:t>
      </w:r>
      <w:r>
        <w:rPr>
          <w:rFonts w:ascii="Times New Roman" w:hAnsi="Times New Roman"/>
          <w:sz w:val="20"/>
          <w:u w:val="single"/>
        </w:rPr>
        <w:t>Effect of Notice of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 </w:t>
      </w:r>
    </w:p>
    <w:p>
      <w:pPr>
        <w:pStyle w:val="TextBody"/>
        <w:bidi w:val="0"/>
        <w:spacing w:before="240" w:after="0"/>
        <w:jc w:val="left"/>
        <w:rPr>
          <w:rFonts w:ascii="Times New Roman" w:hAnsi="Times New Roman"/>
          <w:sz w:val="20"/>
        </w:rPr>
      </w:pPr>
      <w:r>
        <w:rPr>
          <w:rFonts w:ascii="Times New Roman" w:hAnsi="Times New Roman"/>
          <w:sz w:val="20"/>
        </w:rPr>
        <w:t>Section 3.5. </w:t>
      </w:r>
      <w:r>
        <w:rPr>
          <w:rFonts w:ascii="Times New Roman" w:hAnsi="Times New Roman"/>
          <w:sz w:val="20"/>
          <w:u w:val="single"/>
        </w:rPr>
        <w:t>Deposit of Redemption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or before 11:00 a.m., New York City time, on the redemption date, the Company shall deposit with the Paying Agent money sufficient to pay the redemption price of and accrued interest, if any, on all Securities to be redeemed on that date. </w:t>
      </w:r>
    </w:p>
    <w:p>
      <w:pPr>
        <w:pStyle w:val="TextBody"/>
        <w:bidi w:val="0"/>
        <w:spacing w:before="240" w:after="0"/>
        <w:jc w:val="left"/>
        <w:rPr>
          <w:rFonts w:ascii="Times New Roman" w:hAnsi="Times New Roman"/>
          <w:sz w:val="20"/>
        </w:rPr>
      </w:pPr>
      <w:r>
        <w:rPr>
          <w:rFonts w:ascii="Times New Roman" w:hAnsi="Times New Roman"/>
          <w:sz w:val="20"/>
        </w:rPr>
        <w:t>Section 3.6. </w:t>
      </w:r>
      <w:r>
        <w:rPr>
          <w:rFonts w:ascii="Times New Roman" w:hAnsi="Times New Roman"/>
          <w:sz w:val="20"/>
          <w:u w:val="single"/>
        </w:rPr>
        <w:t>Securities Redeemed in Part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surrender of a Security that is redeemed in part, the Trustee shall authenticate for the Holder a new Security of the same Series and the same maturity equal in principal amount to the unredeemed portion of the Security surrendered.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Section 4.1. </w:t>
      </w:r>
      <w:r>
        <w:rPr>
          <w:rFonts w:ascii="Times New Roman" w:hAnsi="Times New Roman"/>
          <w:sz w:val="20"/>
          <w:u w:val="single"/>
        </w:rPr>
        <w:t>Payment of Principal and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4.2. </w:t>
      </w:r>
      <w:r>
        <w:rPr>
          <w:rFonts w:ascii="Times New Roman" w:hAnsi="Times New Roman"/>
          <w:sz w:val="20"/>
          <w:u w:val="single"/>
        </w:rPr>
        <w:t>SEC Reports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duty to review or analyze reports delivered to it. Delivery of reports, information and documents to the Trustee under this Section 4.2 is for informational purposes only and the Trustee’s receipt of the foregoing shall not constitute constructive or actual notice or knowledge of any information contained therein or determinable from information contained therein, including the Company’s compliance with any of the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 </w:t>
      </w:r>
    </w:p>
    <w:p>
      <w:pPr>
        <w:pStyle w:val="TextBody"/>
        <w:bidi w:val="0"/>
        <w:spacing w:before="240" w:after="0"/>
        <w:jc w:val="left"/>
        <w:rPr>
          <w:rFonts w:ascii="Times New Roman" w:hAnsi="Times New Roman"/>
          <w:sz w:val="20"/>
        </w:rPr>
      </w:pPr>
      <w:r>
        <w:rPr>
          <w:rFonts w:ascii="Times New Roman" w:hAnsi="Times New Roman"/>
          <w:sz w:val="20"/>
        </w:rPr>
        <w:t>Section 4.3. </w:t>
      </w:r>
      <w:r>
        <w:rPr>
          <w:rFonts w:ascii="Times New Roman" w:hAnsi="Times New Roman"/>
          <w:sz w:val="20"/>
          <w:u w:val="single"/>
        </w:rPr>
        <w:t>Compliance Certificate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 </w:t>
      </w:r>
    </w:p>
    <w:p>
      <w:pPr>
        <w:pStyle w:val="TextBody"/>
        <w:bidi w:val="0"/>
        <w:spacing w:before="240" w:after="0"/>
        <w:jc w:val="left"/>
        <w:rPr>
          <w:rFonts w:ascii="Times New Roman" w:hAnsi="Times New Roman"/>
          <w:sz w:val="20"/>
        </w:rPr>
      </w:pPr>
      <w:r>
        <w:rPr>
          <w:rFonts w:ascii="Times New Roman" w:hAnsi="Times New Roman"/>
          <w:sz w:val="20"/>
        </w:rPr>
        <w:t>Section 4.4. </w:t>
      </w:r>
      <w:r>
        <w:rPr>
          <w:rFonts w:ascii="Times New Roman" w:hAnsi="Times New Roman"/>
          <w:sz w:val="20"/>
          <w:u w:val="single"/>
        </w:rPr>
        <w:t>Stay, Extension and Usury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SUCCESSORS </w:t>
      </w:r>
    </w:p>
    <w:p>
      <w:pPr>
        <w:pStyle w:val="TextBody"/>
        <w:bidi w:val="0"/>
        <w:spacing w:before="240" w:after="0"/>
        <w:jc w:val="left"/>
        <w:rPr>
          <w:rFonts w:ascii="Times New Roman" w:hAnsi="Times New Roman"/>
          <w:sz w:val="20"/>
        </w:rPr>
      </w:pPr>
      <w:r>
        <w:rPr>
          <w:rFonts w:ascii="Times New Roman" w:hAnsi="Times New Roman"/>
          <w:sz w:val="20"/>
        </w:rPr>
        <w:t>Section 5.1. </w:t>
      </w:r>
      <w:r>
        <w:rPr>
          <w:rFonts w:ascii="Times New Roman" w:hAnsi="Times New Roman"/>
          <w:sz w:val="20"/>
          <w:u w:val="single"/>
        </w:rPr>
        <w:t>When Company May Merge,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Company shall not consolidate with or merge with or into, or convey, transfer or lease all or substantially all of its properties and assets to, any person (a “</w:t>
      </w:r>
      <w:r>
        <w:rPr>
          <w:rFonts w:ascii="Times New Roman" w:hAnsi="Times New Roman"/>
          <w:i/>
          <w:sz w:val="20"/>
        </w:rPr>
        <w:t>successor person</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 xml:space="preserve">(a) the Company is the surviving entity or the successor person (if other than the Company) is a corporation, partnership, trust or other entity organized and validly existing under the laws of any U.S. domestic jurisdiction and expressly assumes by supplemental indenture the Company’s obligations on the Securities and under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(b) immediately after giving effect to the transaction,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deliver to the Trustee prior to the consummation of the proposed transaction an Officer’s Certificate to the foregoing effect and an Opinion of Counsel stating that the proposed transaction and any supplemental indenture comply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Subsidiary of the Company may consolidate with, merge into or transfer all or part of its properties to the Company. Neither an Officer’s Certificate nor an Opinion of Counsel shall be required to be delivered in connection therewith. </w:t>
      </w:r>
    </w:p>
    <w:p>
      <w:pPr>
        <w:pStyle w:val="TextBody"/>
        <w:bidi w:val="0"/>
        <w:spacing w:before="240" w:after="0"/>
        <w:jc w:val="left"/>
        <w:rPr>
          <w:rFonts w:ascii="Times New Roman" w:hAnsi="Times New Roman"/>
          <w:sz w:val="20"/>
        </w:rPr>
      </w:pPr>
      <w:r>
        <w:rPr>
          <w:rFonts w:ascii="Times New Roman" w:hAnsi="Times New Roman"/>
          <w:sz w:val="20"/>
        </w:rPr>
        <w:t>Section 5.2. </w:t>
      </w:r>
      <w:r>
        <w:rPr>
          <w:rFonts w:ascii="Times New Roman" w:hAnsi="Times New Roman"/>
          <w:sz w:val="20"/>
          <w:u w:val="single"/>
        </w:rPr>
        <w:t>Successor Corporation Substituted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predecessor Company in the case of a sale, conveyance or other disposition (other than a lease) shall be released from all obligations and covenants under this Indenture and the Securities.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Section 6.1.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Event of Default</w:t>
      </w:r>
      <w:r>
        <w:rPr>
          <w:rFonts w:ascii="Times New Roman" w:hAnsi="Times New Roman"/>
          <w:sz w:val="20"/>
        </w:rPr>
        <w:t xml:space="preserve">,” wherever used herein with respect to Securities of any Series, means any one of the following events, unless in the establishing Board Resolution, supplemental indenture or Officer’s Certificate it is provided that such Series shall not have the benefit of said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(b) default in the payment of principal of any Security of that Series at its Maturity; </w:t>
      </w:r>
    </w:p>
    <w:p>
      <w:pPr>
        <w:pStyle w:val="TextBody"/>
        <w:bidi w:val="0"/>
        <w:spacing w:before="120" w:after="0"/>
        <w:jc w:val="left"/>
        <w:rPr>
          <w:rFonts w:ascii="Times New Roman" w:hAnsi="Times New Roman"/>
          <w:sz w:val="20"/>
        </w:rPr>
      </w:pPr>
      <w:r>
        <w:rPr>
          <w:rFonts w:ascii="Times New Roman" w:hAnsi="Times New Roman"/>
          <w:sz w:val="20"/>
        </w:rPr>
        <w:t xml:space="preserve">(c) default in the performance or breach of any covenant or warranty of the Company in this Indenture (other than defaults pursuant to paragraph (a) or (b) 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w:t>
      </w:r>
    </w:p>
    <w:p>
      <w:pPr>
        <w:pStyle w:val="TextBody"/>
        <w:bidi w:val="0"/>
        <w:spacing w:before="120" w:after="0"/>
        <w:jc w:val="left"/>
        <w:rPr>
          <w:rFonts w:ascii="Times New Roman" w:hAnsi="Times New Roman"/>
          <w:sz w:val="20"/>
        </w:rPr>
      </w:pPr>
      <w:r>
        <w:rPr>
          <w:rFonts w:ascii="Times New Roman" w:hAnsi="Times New Roman"/>
          <w:sz w:val="20"/>
        </w:rPr>
        <w:t xml:space="preserve">(d) the Company pursuant to or within the meaning of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(i) commences a 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 consents to the entry of an order for relief against it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(iii) consents to the appointment of a Custodian of it or for all or substantially all of its property, </w:t>
      </w:r>
    </w:p>
    <w:p>
      <w:pPr>
        <w:pStyle w:val="TextBody"/>
        <w:bidi w:val="0"/>
        <w:spacing w:before="120" w:after="0"/>
        <w:jc w:val="left"/>
        <w:rPr>
          <w:rFonts w:ascii="Times New Roman" w:hAnsi="Times New Roman"/>
          <w:sz w:val="20"/>
        </w:rPr>
      </w:pPr>
      <w:r>
        <w:rPr>
          <w:rFonts w:ascii="Times New Roman" w:hAnsi="Times New Roman"/>
          <w:sz w:val="20"/>
        </w:rPr>
        <w:t xml:space="preserve">(iv) makes a general assignment for the benefit of its creditors, or </w:t>
      </w:r>
    </w:p>
    <w:p>
      <w:pPr>
        <w:pStyle w:val="TextBody"/>
        <w:bidi w:val="0"/>
        <w:spacing w:before="120" w:after="0"/>
        <w:jc w:val="left"/>
        <w:rPr>
          <w:rFonts w:ascii="Times New Roman" w:hAnsi="Times New Roman"/>
          <w:sz w:val="20"/>
        </w:rPr>
      </w:pPr>
      <w:r>
        <w:rPr>
          <w:rFonts w:ascii="Times New Roman" w:hAnsi="Times New Roman"/>
          <w:sz w:val="20"/>
        </w:rPr>
        <w:t xml:space="preserve">(v) generally is unable to pay its debts as the same become due; </w:t>
      </w:r>
    </w:p>
    <w:p>
      <w:pPr>
        <w:pStyle w:val="TextBody"/>
        <w:bidi w:val="0"/>
        <w:spacing w:before="120" w:after="0"/>
        <w:jc w:val="left"/>
        <w:rPr>
          <w:rFonts w:ascii="Times New Roman" w:hAnsi="Times New Roman"/>
          <w:sz w:val="20"/>
        </w:rPr>
      </w:pPr>
      <w:r>
        <w:rPr>
          <w:rFonts w:ascii="Times New Roman" w:hAnsi="Times New Roman"/>
          <w:sz w:val="20"/>
        </w:rPr>
        <w:t xml:space="preserve">(e)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(i) is for relief against the Company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 appoints a Custodian of the Company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(iii) orders the liquidation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and the order or decree remains unstayed and in effect for 60 days; or </w:t>
      </w:r>
    </w:p>
    <w:p>
      <w:pPr>
        <w:pStyle w:val="TextBody"/>
        <w:bidi w:val="0"/>
        <w:spacing w:before="120" w:after="0"/>
        <w:jc w:val="left"/>
        <w:rPr>
          <w:rFonts w:ascii="Times New Roman" w:hAnsi="Times New Roman"/>
          <w:sz w:val="20"/>
        </w:rPr>
      </w:pPr>
      <w:r>
        <w:rPr>
          <w:rFonts w:ascii="Times New Roman" w:hAnsi="Times New Roman"/>
          <w:sz w:val="20"/>
        </w:rPr>
        <w:t xml:space="preserve">(f) any other Event of Default provided with respect to Securities of that Series, which is specified in a Board Resolution, a supplemental indenture hereto or an Officer’s Certificate, in accordance with Section 2.2.18.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term “</w:t>
      </w:r>
      <w:r>
        <w:rPr>
          <w:rFonts w:ascii="Times New Roman" w:hAnsi="Times New Roman"/>
          <w:i/>
          <w:sz w:val="20"/>
        </w:rPr>
        <w:t>Bankruptcy Law</w:t>
      </w:r>
      <w:r>
        <w:rPr>
          <w:rFonts w:ascii="Times New Roman" w:hAnsi="Times New Roman"/>
          <w:sz w:val="20"/>
        </w:rPr>
        <w:t>” means title 11, U.S. Code or any similar Federal or State law for the relief of debtors. The term “</w:t>
      </w:r>
      <w:r>
        <w:rPr>
          <w:rFonts w:ascii="Times New Roman" w:hAnsi="Times New Roman"/>
          <w:i/>
          <w:sz w:val="20"/>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w:t>
      </w:r>
    </w:p>
    <w:p>
      <w:pPr>
        <w:pStyle w:val="TextBody"/>
        <w:bidi w:val="0"/>
        <w:spacing w:before="240" w:after="0"/>
        <w:jc w:val="left"/>
        <w:rPr>
          <w:rFonts w:ascii="Times New Roman" w:hAnsi="Times New Roman"/>
          <w:sz w:val="20"/>
        </w:rPr>
      </w:pPr>
      <w:r>
        <w:rPr>
          <w:rFonts w:ascii="Times New Roman" w:hAnsi="Times New Roman"/>
          <w:sz w:val="20"/>
        </w:rPr>
        <w:t>Section 6.2. </w:t>
      </w:r>
      <w:r>
        <w:rPr>
          <w:rFonts w:ascii="Times New Roman" w:hAnsi="Times New Roman"/>
          <w:sz w:val="20"/>
          <w:u w:val="single"/>
        </w:rPr>
        <w:t>Acceleration of Maturity; Rescission and Annulment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hAnsi="Times New Roman"/>
          <w:i/>
          <w:sz w:val="20"/>
        </w:rPr>
        <w:t>ipso facto</w:t>
      </w:r>
      <w:r>
        <w:rPr>
          <w:rFonts w:ascii="Times New Roman" w:hAnsi="Times New Roman"/>
          <w:sz w:val="20"/>
        </w:rPr>
        <w:t xml:space="preserve"> become and be immediately due and payable without any declaration or other act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Section 6.3. </w:t>
      </w:r>
      <w:r>
        <w:rPr>
          <w:rFonts w:ascii="Times New Roman" w:hAnsi="Times New Roman"/>
          <w:sz w:val="20"/>
          <w:u w:val="single"/>
        </w:rPr>
        <w:t>Collection of Indebtedness and Suits for Enforcement by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that if: </w:t>
      </w:r>
    </w:p>
    <w:p>
      <w:pPr>
        <w:pStyle w:val="TextBody"/>
        <w:bidi w:val="0"/>
        <w:spacing w:before="120" w:after="0"/>
        <w:jc w:val="left"/>
        <w:rPr>
          <w:rFonts w:ascii="Times New Roman" w:hAnsi="Times New Roman"/>
          <w:sz w:val="20"/>
        </w:rPr>
      </w:pPr>
      <w:r>
        <w:rPr>
          <w:rFonts w:ascii="Times New Roman" w:hAnsi="Times New Roman"/>
          <w:sz w:val="20"/>
        </w:rPr>
        <w:t xml:space="preserve">(a) default is made in the payment of any interest on any Security when such interest becomes due and payable and such default continues for a period of 30 days, </w:t>
      </w:r>
    </w:p>
    <w:p>
      <w:pPr>
        <w:pStyle w:val="TextBody"/>
        <w:bidi w:val="0"/>
        <w:spacing w:before="120" w:after="0"/>
        <w:jc w:val="left"/>
        <w:rPr>
          <w:rFonts w:ascii="Times New Roman" w:hAnsi="Times New Roman"/>
          <w:sz w:val="20"/>
        </w:rPr>
      </w:pPr>
      <w:r>
        <w:rPr>
          <w:rFonts w:ascii="Times New Roman" w:hAnsi="Times New Roman"/>
          <w:sz w:val="20"/>
        </w:rPr>
        <w:t xml:space="preserve">(b) default is made in the payment of principal of any Security at the Maturity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default is made in the deposit of any sinking fund payment, if any, when and as due by the terms of a Security, </w:t>
      </w:r>
    </w:p>
    <w:p>
      <w:pPr>
        <w:pStyle w:val="TextBody"/>
        <w:bidi w:val="0"/>
        <w:spacing w:before="240" w:after="0"/>
        <w:jc w:val="left"/>
        <w:rPr>
          <w:rFonts w:ascii="Times New Roman" w:hAnsi="Times New Roman"/>
          <w:sz w:val="20"/>
        </w:rPr>
      </w:pPr>
      <w:r>
        <w:rPr>
          <w:rFonts w:ascii="Times New Roman" w:hAnsi="Times New Roman"/>
          <w:i/>
          <w:sz w:val="20"/>
        </w:rPr>
        <w:t>then,</w:t>
      </w:r>
      <w:r>
        <w:rPr>
          <w:rFonts w:ascii="Times New Roman" w:hAnsi="Times New Roman"/>
          <w:sz w:val="20"/>
        </w:rPr>
        <w:t xml:space="preserve">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any Securities of any Series occurs and is continuing, the Trustee, subject to Article VII hereof,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240" w:after="0"/>
        <w:jc w:val="left"/>
        <w:rPr>
          <w:rFonts w:ascii="Times New Roman" w:hAnsi="Times New Roman"/>
          <w:sz w:val="20"/>
        </w:rPr>
      </w:pPr>
      <w:r>
        <w:rPr>
          <w:rFonts w:ascii="Times New Roman" w:hAnsi="Times New Roman"/>
          <w:sz w:val="20"/>
        </w:rPr>
        <w:t>Section 6.4. </w:t>
      </w:r>
      <w:r>
        <w:rPr>
          <w:rFonts w:ascii="Times New Roman" w:hAnsi="Times New Roman"/>
          <w:sz w:val="20"/>
          <w:u w:val="single"/>
        </w:rPr>
        <w:t>Trustee May File Proofs of Claim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(b) to collect and receive any moneys or other property payable or deliverable on any such claims and to distribute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sz w:val="20"/>
        </w:rPr>
        <w:t>Section 6.5. </w:t>
      </w:r>
      <w:r>
        <w:rPr>
          <w:rFonts w:ascii="Times New Roman" w:hAnsi="Times New Roman"/>
          <w:sz w:val="20"/>
          <w:u w:val="single"/>
        </w:rPr>
        <w:t>Trustee May Enforce Claims Without Possession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 </w:t>
      </w:r>
    </w:p>
    <w:p>
      <w:pPr>
        <w:pStyle w:val="TextBody"/>
        <w:bidi w:val="0"/>
        <w:spacing w:before="240" w:after="0"/>
        <w:jc w:val="left"/>
        <w:rPr>
          <w:rFonts w:ascii="Times New Roman" w:hAnsi="Times New Roman"/>
          <w:sz w:val="20"/>
        </w:rPr>
      </w:pPr>
      <w:r>
        <w:rPr>
          <w:rFonts w:ascii="Times New Roman" w:hAnsi="Times New Roman"/>
          <w:sz w:val="20"/>
        </w:rPr>
        <w:t>Section 6.6. </w:t>
      </w:r>
      <w:r>
        <w:rPr>
          <w:rFonts w:ascii="Times New Roman" w:hAnsi="Times New Roman"/>
          <w:sz w:val="20"/>
          <w:u w:val="single"/>
        </w:rPr>
        <w:t>Application of Money Collected.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sz w:val="20"/>
        </w:rPr>
        <w:t xml:space="preserve">First: To the payment of all amounts due the Trustee under Section 7.7; and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Company. </w:t>
      </w:r>
    </w:p>
    <w:p>
      <w:pPr>
        <w:pStyle w:val="TextBody"/>
        <w:bidi w:val="0"/>
        <w:spacing w:before="240" w:after="0"/>
        <w:jc w:val="left"/>
        <w:rPr>
          <w:rFonts w:ascii="Times New Roman" w:hAnsi="Times New Roman"/>
          <w:sz w:val="20"/>
        </w:rPr>
      </w:pPr>
      <w:r>
        <w:rPr>
          <w:rFonts w:ascii="Times New Roman" w:hAnsi="Times New Roman"/>
          <w:sz w:val="20"/>
        </w:rPr>
        <w:t>Section 6.7. </w:t>
      </w:r>
      <w:r>
        <w:rPr>
          <w:rFonts w:ascii="Times New Roman" w:hAnsi="Times New Roman"/>
          <w:sz w:val="20"/>
          <w:u w:val="single"/>
        </w:rPr>
        <w:t>Limitation on Suits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Holder of any Security of any Series shall have any right to institute any proceeding, judicial or otherwise, with respect to this Indenture, or for the appointment of a receiver or trustee,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(a) such Holder has previously given written notice to the Trustee of a continuing Event of Default with respect to the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Holders of not less than 25% in principal amount of the outstanding Securities of that Series shall have made written request to the Trustee to institute proceedings in respect of such Event of Default in its own name as Trustee hereunder; </w:t>
      </w:r>
    </w:p>
    <w:p>
      <w:pPr>
        <w:pStyle w:val="TextBody"/>
        <w:bidi w:val="0"/>
        <w:spacing w:before="120" w:after="0"/>
        <w:jc w:val="left"/>
        <w:rPr>
          <w:rFonts w:ascii="Times New Roman" w:hAnsi="Times New Roman"/>
          <w:sz w:val="20"/>
        </w:rPr>
      </w:pPr>
      <w:r>
        <w:rPr>
          <w:rFonts w:ascii="Times New Roman" w:hAnsi="Times New Roman"/>
          <w:sz w:val="20"/>
        </w:rPr>
        <w:t xml:space="preserve">(c) such Holder or Holders have offered to the Trustee indemnity or security satisfactory to the Trustee against the costs, expenses and liabilities which might be incurred by the Trustee in compliance with such request; </w:t>
      </w:r>
    </w:p>
    <w:p>
      <w:pPr>
        <w:pStyle w:val="TextBody"/>
        <w:bidi w:val="0"/>
        <w:spacing w:before="120" w:after="0"/>
        <w:jc w:val="left"/>
        <w:rPr>
          <w:rFonts w:ascii="Times New Roman" w:hAnsi="Times New Roman"/>
          <w:sz w:val="20"/>
        </w:rPr>
      </w:pPr>
      <w:r>
        <w:rPr>
          <w:rFonts w:ascii="Times New Roman" w:hAnsi="Times New Roman"/>
          <w:sz w:val="20"/>
        </w:rPr>
        <w:t xml:space="preserve">(d) the Trustee for 60 days after its receipt of such notice, request and offer of indemnity has failed to institute any such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(e) no direction inconsistent with such written request has been given to the Trustee during such 60-day period by the Holders of a majority in principal amount of the outstanding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 </w:t>
      </w:r>
    </w:p>
    <w:p>
      <w:pPr>
        <w:pStyle w:val="TextBody"/>
        <w:bidi w:val="0"/>
        <w:spacing w:before="240" w:after="0"/>
        <w:jc w:val="left"/>
        <w:rPr>
          <w:rFonts w:ascii="Times New Roman" w:hAnsi="Times New Roman"/>
          <w:sz w:val="20"/>
        </w:rPr>
      </w:pPr>
      <w:r>
        <w:rPr>
          <w:rFonts w:ascii="Times New Roman" w:hAnsi="Times New Roman"/>
          <w:sz w:val="20"/>
        </w:rPr>
        <w:t>Section 6.8. </w:t>
      </w:r>
      <w:r>
        <w:rPr>
          <w:rFonts w:ascii="Times New Roman" w:hAnsi="Times New Roman"/>
          <w:sz w:val="20"/>
          <w:u w:val="single"/>
        </w:rPr>
        <w:t>Unconditional Right of Holders to Receive Principal and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Section 6.9. </w:t>
      </w:r>
      <w:r>
        <w:rPr>
          <w:rFonts w:ascii="Times New Roman" w:hAnsi="Times New Roman"/>
          <w:sz w:val="20"/>
          <w:u w:val="single"/>
        </w:rPr>
        <w:t>Restoration of Rights and 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6.10. </w:t>
      </w:r>
      <w:r>
        <w:rPr>
          <w:rFonts w:ascii="Times New Roman" w:hAnsi="Times New Roman"/>
          <w:sz w:val="20"/>
          <w:u w:val="single"/>
        </w:rPr>
        <w:t>Rights and Remedies Cumulative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sz w:val="20"/>
        </w:rPr>
        <w:t>Section 6.11. </w:t>
      </w:r>
      <w:r>
        <w:rPr>
          <w:rFonts w:ascii="Times New Roman" w:hAnsi="Times New Roman"/>
          <w:sz w:val="20"/>
          <w:u w:val="single"/>
        </w:rPr>
        <w:t>Delay or Omission Not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 </w:t>
      </w:r>
    </w:p>
    <w:p>
      <w:pPr>
        <w:pStyle w:val="TextBody"/>
        <w:bidi w:val="0"/>
        <w:spacing w:before="240" w:after="0"/>
        <w:jc w:val="left"/>
        <w:rPr>
          <w:rFonts w:ascii="Times New Roman" w:hAnsi="Times New Roman"/>
          <w:sz w:val="20"/>
        </w:rPr>
      </w:pPr>
      <w:r>
        <w:rPr>
          <w:rFonts w:ascii="Times New Roman" w:hAnsi="Times New Roman"/>
          <w:sz w:val="20"/>
        </w:rPr>
        <w:t>Section 6.12. </w:t>
      </w:r>
      <w:r>
        <w:rPr>
          <w:rFonts w:ascii="Times New Roman" w:hAnsi="Times New Roman"/>
          <w:sz w:val="20"/>
          <w:u w:val="single"/>
        </w:rPr>
        <w:t>Control by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 </w:t>
      </w:r>
    </w:p>
    <w:p>
      <w:pPr>
        <w:pStyle w:val="TextBody"/>
        <w:bidi w:val="0"/>
        <w:spacing w:before="120" w:after="0"/>
        <w:jc w:val="left"/>
        <w:rPr>
          <w:rFonts w:ascii="Times New Roman" w:hAnsi="Times New Roman"/>
          <w:sz w:val="20"/>
        </w:rPr>
      </w:pPr>
      <w:r>
        <w:rPr>
          <w:rFonts w:ascii="Times New Roman" w:hAnsi="Times New Roman"/>
          <w:sz w:val="20"/>
        </w:rPr>
        <w:t xml:space="preserve">(a) such direction shall not be in conflict with any rule of law or with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(b) the Trustee may take any other action deemed proper by the Trustee which is not inconsistent with such direction, </w:t>
      </w:r>
    </w:p>
    <w:p>
      <w:pPr>
        <w:pStyle w:val="TextBody"/>
        <w:bidi w:val="0"/>
        <w:spacing w:before="120" w:after="0"/>
        <w:jc w:val="left"/>
        <w:rPr>
          <w:rFonts w:ascii="Times New Roman" w:hAnsi="Times New Roman"/>
          <w:sz w:val="20"/>
        </w:rPr>
      </w:pPr>
      <w:r>
        <w:rPr>
          <w:rFonts w:ascii="Times New Roman" w:hAnsi="Times New Roman"/>
          <w:sz w:val="20"/>
        </w:rPr>
        <w:t xml:space="preserve">(c)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 </w:t>
      </w:r>
    </w:p>
    <w:p>
      <w:pPr>
        <w:pStyle w:val="TextBody"/>
        <w:bidi w:val="0"/>
        <w:spacing w:before="120" w:after="0"/>
        <w:jc w:val="left"/>
        <w:rPr>
          <w:rFonts w:ascii="Times New Roman" w:hAnsi="Times New Roman"/>
          <w:sz w:val="20"/>
        </w:rPr>
      </w:pPr>
      <w:r>
        <w:rPr>
          <w:rFonts w:ascii="Times New Roman" w:hAnsi="Times New Roman"/>
          <w:sz w:val="20"/>
        </w:rPr>
        <w:t xml:space="preserve">(d) prior to taking any action as directed under this Section 6.12, the Trustee shall be entitled to indemnity satisfactory to it against the costs, expenses and liabilities which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Section 6.13. </w:t>
      </w:r>
      <w:r>
        <w:rPr>
          <w:rFonts w:ascii="Times New Roman" w:hAnsi="Times New Roman"/>
          <w:sz w:val="20"/>
          <w:u w:val="single"/>
        </w:rPr>
        <w:t>Waiver of Past Defaults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6.14. </w:t>
      </w:r>
      <w:r>
        <w:rPr>
          <w:rFonts w:ascii="Times New Roman" w:hAnsi="Times New Roman"/>
          <w:sz w:val="20"/>
          <w:u w:val="single"/>
        </w:rPr>
        <w:t>Undertaking for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0" w:after="0"/>
        <w:jc w:val="center"/>
        <w:rPr>
          <w:rFonts w:ascii="Times New Roman" w:hAnsi="Times New Roman"/>
          <w:sz w:val="20"/>
        </w:rPr>
      </w:pPr>
      <w:r>
        <w:rPr>
          <w:rFonts w:ascii="Times New Roman" w:hAnsi="Times New Roman"/>
          <w:sz w:val="20"/>
        </w:rPr>
        <w:t xml:space="preserve">TRUSTEE </w:t>
      </w:r>
    </w:p>
    <w:p>
      <w:pPr>
        <w:pStyle w:val="TextBody"/>
        <w:bidi w:val="0"/>
        <w:spacing w:before="240" w:after="0"/>
        <w:jc w:val="left"/>
        <w:rPr>
          <w:rFonts w:ascii="Times New Roman" w:hAnsi="Times New Roman"/>
          <w:sz w:val="20"/>
        </w:rPr>
      </w:pPr>
      <w:r>
        <w:rPr>
          <w:rFonts w:ascii="Times New Roman" w:hAnsi="Times New Roman"/>
          <w:sz w:val="20"/>
        </w:rPr>
        <w:t>Section 7.1. </w:t>
      </w:r>
      <w:r>
        <w:rPr>
          <w:rFonts w:ascii="Times New Roman" w:hAnsi="Times New Roman"/>
          <w:sz w:val="20"/>
          <w:u w:val="single"/>
        </w:rPr>
        <w:t>Duties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 </w:t>
      </w:r>
    </w:p>
    <w:p>
      <w:pPr>
        <w:pStyle w:val="TextBody"/>
        <w:bidi w:val="0"/>
        <w:spacing w:before="12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 The Trustee need perform only those duties that are specifically set forth in this Indenture and no others, and no implied covenants or obligations will be read into this Indenture against the Trustee. </w:t>
      </w:r>
    </w:p>
    <w:p>
      <w:pPr>
        <w:pStyle w:val="TextBody"/>
        <w:bidi w:val="0"/>
        <w:spacing w:before="120" w:after="0"/>
        <w:jc w:val="left"/>
        <w:rPr>
          <w:rFonts w:ascii="Times New Roman" w:hAnsi="Times New Roman"/>
          <w:sz w:val="20"/>
        </w:rPr>
      </w:pPr>
      <w:r>
        <w:rPr>
          <w:rFonts w:ascii="Times New Roman" w:hAnsi="Times New Roman"/>
          <w:sz w:val="20"/>
        </w:rPr>
        <w:t xml:space="preserve">(ii)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hAnsi="Times New Roman"/>
          <w:sz w:val="20"/>
          <w:u w:val="single"/>
        </w:rPr>
        <w:t>however</w:t>
      </w:r>
      <w:r>
        <w:rPr>
          <w:rFonts w:ascii="Times New Roman" w:hAnsi="Times New Roman"/>
          <w:sz w:val="20"/>
        </w:rPr>
        <w:t xml:space="preserve">,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not be relieved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(i) This paragraph does not limit the effect of paragraph (b)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Trustee shall not be liable for any error of judgment made in good faith by a Responsible Officer, unless it is proved that the Trustee was negligent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 </w:t>
      </w:r>
    </w:p>
    <w:p>
      <w:pPr>
        <w:pStyle w:val="TextBody"/>
        <w:bidi w:val="0"/>
        <w:spacing w:before="120" w:after="0"/>
        <w:jc w:val="left"/>
        <w:rPr>
          <w:rFonts w:ascii="Times New Roman" w:hAnsi="Times New Roman"/>
          <w:sz w:val="20"/>
        </w:rPr>
      </w:pPr>
      <w:r>
        <w:rPr>
          <w:rFonts w:ascii="Times New Roman" w:hAnsi="Times New Roman"/>
          <w:sz w:val="20"/>
        </w:rPr>
        <w:t xml:space="preserve">(d) Every provision of this Indenture that in any way relates to the Trustee is subject to this Section and Section 7.02.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refuse to perform any duty or exercise any right or power unless it receives indemnity satisfactory to it against the costs, expenses and liabilities which might be incurred by it in performing such duty or exercising such right or power.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not be liable for interest (including, without limitation, any negative interest) on any money received by it except as the Trustee may agree in writing with the Company. Money held in trust by the Trustee need not be segregated from other funds except to the extent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(g) 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 </w:t>
      </w:r>
    </w:p>
    <w:p>
      <w:pPr>
        <w:pStyle w:val="TextBody"/>
        <w:bidi w:val="0"/>
        <w:spacing w:before="120" w:after="0"/>
        <w:jc w:val="left"/>
        <w:rPr>
          <w:rFonts w:ascii="Times New Roman" w:hAnsi="Times New Roman"/>
          <w:sz w:val="20"/>
        </w:rPr>
      </w:pPr>
      <w:r>
        <w:rPr>
          <w:rFonts w:ascii="Times New Roman" w:hAnsi="Times New Roman"/>
          <w:sz w:val="20"/>
        </w:rPr>
        <w:t xml:space="preserve">(h) The Paying Agent, the Notice Agent, the Registrar, any authenticating agent and the Trustee when acting in any other capacity hereunder shall be entitled to the protections and immunities as are set forth in this Article VII; provided, however, that upon the occurrence and during the continuance of an Event of Default, only the Trustee shall be subject to the prudent person standard of care. </w:t>
      </w:r>
    </w:p>
    <w:p>
      <w:pPr>
        <w:pStyle w:val="TextBody"/>
        <w:bidi w:val="0"/>
        <w:spacing w:before="120" w:after="0"/>
        <w:jc w:val="left"/>
        <w:rPr>
          <w:rFonts w:ascii="Times New Roman" w:hAnsi="Times New Roman"/>
          <w:sz w:val="20"/>
        </w:rPr>
      </w:pPr>
      <w:r>
        <w:rPr>
          <w:rFonts w:ascii="Times New Roman" w:hAnsi="Times New Roman"/>
          <w:sz w:val="20"/>
        </w:rPr>
        <w:t xml:space="preserve">(i) The rights, privileges, protections, immunities and benefits given to the Trustee, including its right to be indemnified, are extended to, and will be enforceable by, the Trustee in each of its capacities under this Indenture. </w:t>
      </w:r>
    </w:p>
    <w:p>
      <w:pPr>
        <w:pStyle w:val="TextBody"/>
        <w:bidi w:val="0"/>
        <w:spacing w:before="240" w:after="0"/>
        <w:jc w:val="left"/>
        <w:rPr>
          <w:rFonts w:ascii="Times New Roman" w:hAnsi="Times New Roman"/>
          <w:sz w:val="20"/>
        </w:rPr>
      </w:pPr>
      <w:r>
        <w:rPr>
          <w:rFonts w:ascii="Times New Roman" w:hAnsi="Times New Roman"/>
          <w:sz w:val="20"/>
        </w:rPr>
        <w:t>Section 7.2. </w:t>
      </w:r>
      <w:r>
        <w:rPr>
          <w:rFonts w:ascii="Times New Roman" w:hAnsi="Times New Roman"/>
          <w:sz w:val="20"/>
          <w:u w:val="single"/>
        </w:rPr>
        <w:t>Rights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rely on and shall be protected in acting or refraining from acting upon any resolution, certificate, statement, instrument, opinion, report, notice, request, direction, consent, order, judgment, approval, bond, debenture, note, coupon, other evidence of indebtedness or other paper or document (whether in its original or facsimile form) believed by it to be genuine and to have been signed or presented by the proper person. The Trustee need not investigate any fact or matter stated in the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or an Opinion of Counsel or both. The Trustee shall not be liable for any action it takes or omits to take in good faith in reliance on such Officer’s Certificate or Opinion of Counsel.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act through agents and shall not be responsible for the misconduct or negligence of any agent appointed with due care. No Depositary shall be deemed an agent of the Trustee, and the Trustee shall not be responsible for any act or omission by any Depositary. </w:t>
      </w:r>
    </w:p>
    <w:p>
      <w:pPr>
        <w:pStyle w:val="TextBody"/>
        <w:bidi w:val="0"/>
        <w:spacing w:before="120" w:after="0"/>
        <w:jc w:val="left"/>
        <w:rPr>
          <w:rFonts w:ascii="Times New Roman" w:hAnsi="Times New Roman"/>
          <w:sz w:val="20"/>
        </w:rPr>
      </w:pPr>
      <w:r>
        <w:rPr>
          <w:rFonts w:ascii="Times New Roman" w:hAnsi="Times New Roman"/>
          <w:sz w:val="20"/>
        </w:rPr>
        <w:t xml:space="preserve">(d) The Trustee shall not be liable for any action it takes or omits to take in good faith which it believes to be authorized or within its rights or powers.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consult with counsel and the advice of such counsel or any Opinion of Counsel shall be full and complete authorization and protection in respect of any action taken, suffered or omitted by it hereunder in good faith and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 </w:t>
      </w:r>
    </w:p>
    <w:p>
      <w:pPr>
        <w:pStyle w:val="TextBody"/>
        <w:bidi w:val="0"/>
        <w:spacing w:before="120" w:after="0"/>
        <w:jc w:val="left"/>
        <w:rPr>
          <w:rFonts w:ascii="Times New Roman" w:hAnsi="Times New Roman"/>
          <w:sz w:val="20"/>
        </w:rPr>
      </w:pPr>
      <w:r>
        <w:rPr>
          <w:rFonts w:ascii="Times New Roman" w:hAnsi="Times New Roman"/>
          <w:sz w:val="20"/>
        </w:rPr>
        <w:t xml:space="preserve">(g)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w:t>
      </w:r>
    </w:p>
    <w:p>
      <w:pPr>
        <w:pStyle w:val="TextBody"/>
        <w:bidi w:val="0"/>
        <w:spacing w:before="120" w:after="0"/>
        <w:jc w:val="left"/>
        <w:rPr>
          <w:rFonts w:ascii="Times New Roman" w:hAnsi="Times New Roman"/>
          <w:sz w:val="20"/>
        </w:rPr>
      </w:pPr>
      <w:r>
        <w:rPr>
          <w:rFonts w:ascii="Times New Roman" w:hAnsi="Times New Roman"/>
          <w:sz w:val="20"/>
        </w:rPr>
        <w:t xml:space="preserve">(h) The Trustee shall not be deemed to have notice of any Default or Event of Default unless a Responsible Officer of the Trustee has actual knowledge thereof or unless written notice of any event which is in fact such a default is received by a Responsible Officer at the Corporate Trust Office of the Trustee, and such notice references the Securities generally or the Securities of a particular Series and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 In no event shall the Trustee be liable to any person for special, punitive, indirect, consequential or incidental loss or damage of any kind whatsoever (including but not limited to lost profits), even if the Trustee has been advised of the likelihood of such loss or damage and regardless of the form of action. </w:t>
      </w:r>
    </w:p>
    <w:p>
      <w:pPr>
        <w:pStyle w:val="TextBody"/>
        <w:bidi w:val="0"/>
        <w:spacing w:before="120" w:after="0"/>
        <w:jc w:val="left"/>
        <w:rPr>
          <w:rFonts w:ascii="Times New Roman" w:hAnsi="Times New Roman"/>
          <w:sz w:val="20"/>
        </w:rPr>
      </w:pPr>
      <w:r>
        <w:rPr>
          <w:rFonts w:ascii="Times New Roman" w:hAnsi="Times New Roman"/>
          <w:sz w:val="20"/>
        </w:rPr>
        <w:t xml:space="preserve">(j) The permissive right of the Trustee to take the actions permitted by this Indenture shall not be construed as an obligation or duty to do so. </w:t>
      </w:r>
    </w:p>
    <w:p>
      <w:pPr>
        <w:pStyle w:val="TextBody"/>
        <w:bidi w:val="0"/>
        <w:spacing w:before="120" w:after="0"/>
        <w:jc w:val="left"/>
        <w:rPr>
          <w:rFonts w:ascii="Times New Roman" w:hAnsi="Times New Roman"/>
          <w:sz w:val="20"/>
        </w:rPr>
      </w:pPr>
      <w:r>
        <w:rPr>
          <w:rFonts w:ascii="Times New Roman" w:hAnsi="Times New Roman"/>
          <w:sz w:val="20"/>
        </w:rPr>
        <w:t xml:space="preserve">(k) The Trustee will not be required to give any bond or surety in respect of the execution of this Indenture or otherwise. </w:t>
      </w:r>
    </w:p>
    <w:p>
      <w:pPr>
        <w:pStyle w:val="TextBody"/>
        <w:bidi w:val="0"/>
        <w:spacing w:before="120" w:after="0"/>
        <w:jc w:val="left"/>
        <w:rPr>
          <w:rFonts w:ascii="Times New Roman" w:hAnsi="Times New Roman"/>
          <w:sz w:val="20"/>
        </w:rPr>
      </w:pPr>
      <w:r>
        <w:rPr>
          <w:rFonts w:ascii="Times New Roman" w:hAnsi="Times New Roman"/>
          <w:sz w:val="20"/>
        </w:rPr>
        <w:t xml:space="preserve">(l) The Trustee is not responsible for monitoring the performance of other persons or for the failure of others to perform their duties.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Any action taken, or omitted to be taken, by the Trustee in good faith pursuant to this Indenture upon the request or authority or consent of any person who, at the time of making such request or giving such authority or consent, is the holder of any Security shall be conclusive and binding upon future holders of such Security, and upon any Security executed and delivered in exchange therefor or in place thereof. </w:t>
      </w:r>
    </w:p>
    <w:p>
      <w:pPr>
        <w:pStyle w:val="TextBody"/>
        <w:bidi w:val="0"/>
        <w:spacing w:before="120" w:after="0"/>
        <w:jc w:val="left"/>
        <w:rPr>
          <w:rFonts w:ascii="Times New Roman" w:hAnsi="Times New Roman"/>
          <w:sz w:val="20"/>
        </w:rPr>
      </w:pPr>
      <w:r>
        <w:rPr>
          <w:rFonts w:ascii="Times New Roman" w:hAnsi="Times New Roman"/>
          <w:sz w:val="20"/>
        </w:rPr>
        <w:t xml:space="preserve">(n) The Trustee may request that the Company deliver an Officer’s Certificate setting forth the names of individuals or titles of officers authorized at such time to take specified actions pursuant to this Indenture, which Officer’s Certificate may be signed by any person authorized to sign an Officer’s Certificate, including any person specified as so authorized in any certificate previously delivered and not superseded. </w:t>
      </w:r>
    </w:p>
    <w:p>
      <w:pPr>
        <w:pStyle w:val="TextBody"/>
        <w:bidi w:val="0"/>
        <w:spacing w:before="240" w:after="0"/>
        <w:jc w:val="left"/>
        <w:rPr>
          <w:rFonts w:ascii="Times New Roman" w:hAnsi="Times New Roman"/>
          <w:sz w:val="20"/>
        </w:rPr>
      </w:pPr>
      <w:r>
        <w:rPr>
          <w:rFonts w:ascii="Times New Roman" w:hAnsi="Times New Roman"/>
          <w:sz w:val="20"/>
        </w:rPr>
        <w:t>Section 7.3. </w:t>
      </w:r>
      <w:r>
        <w:rPr>
          <w:rFonts w:ascii="Times New Roman" w:hAnsi="Times New Roman"/>
          <w:sz w:val="20"/>
          <w:u w:val="single"/>
        </w:rPr>
        <w:t>Individual Rights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 </w:t>
      </w:r>
    </w:p>
    <w:p>
      <w:pPr>
        <w:pStyle w:val="TextBody"/>
        <w:bidi w:val="0"/>
        <w:spacing w:before="240" w:after="0"/>
        <w:jc w:val="left"/>
        <w:rPr>
          <w:rFonts w:ascii="Times New Roman" w:hAnsi="Times New Roman"/>
          <w:sz w:val="20"/>
        </w:rPr>
      </w:pPr>
      <w:r>
        <w:rPr>
          <w:rFonts w:ascii="Times New Roman" w:hAnsi="Times New Roman"/>
          <w:sz w:val="20"/>
        </w:rPr>
        <w:t>Section 7.4. </w:t>
      </w:r>
      <w:r>
        <w:rPr>
          <w:rFonts w:ascii="Times New Roman" w:hAnsi="Times New Roman"/>
          <w:sz w:val="20"/>
          <w:u w:val="single"/>
        </w:rPr>
        <w:t>Trustee’s Disclaimer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makes no representation as to the validity or adequacy of this Indenture or the Securities. The Trustee shall not be accountable for the Company’s use of the proceeds from the Securities and shall not be responsible for any statement in the Securities other than its certificate of authentication. </w:t>
      </w:r>
    </w:p>
    <w:p>
      <w:pPr>
        <w:pStyle w:val="TextBody"/>
        <w:bidi w:val="0"/>
        <w:spacing w:before="240" w:after="0"/>
        <w:jc w:val="left"/>
        <w:rPr>
          <w:rFonts w:ascii="Times New Roman" w:hAnsi="Times New Roman"/>
          <w:sz w:val="20"/>
        </w:rPr>
      </w:pPr>
      <w:r>
        <w:rPr>
          <w:rFonts w:ascii="Times New Roman" w:hAnsi="Times New Roman"/>
          <w:sz w:val="20"/>
        </w:rPr>
        <w:t>Section 7.5. </w:t>
      </w:r>
      <w:r>
        <w:rPr>
          <w:rFonts w:ascii="Times New Roman" w:hAnsi="Times New Roman"/>
          <w:sz w:val="20"/>
          <w:u w:val="single"/>
        </w:rPr>
        <w:t>Notice of Defaults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 Default or Event of Default occurs and is continuing with respect to the Securities of any Series and if it is known to a Responsible Officer of the Trustee, the Trustee shall send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a Responsible Officer in good faith determines that withholding the notice is in the interests of Holders of that Series. The Trustee will not be deemed to have notice or be charged with knowledge of any Default or Event of Default unless written notice thereof has been received by a Responsible Officer, and such notice references the applicable Series of Securities and this Indenture and states on its face that a Default or Event of Default has occurred. </w:t>
      </w:r>
    </w:p>
    <w:p>
      <w:pPr>
        <w:pStyle w:val="TextBody"/>
        <w:bidi w:val="0"/>
        <w:spacing w:before="240" w:after="0"/>
        <w:jc w:val="left"/>
        <w:rPr>
          <w:rFonts w:ascii="Times New Roman" w:hAnsi="Times New Roman"/>
          <w:sz w:val="20"/>
        </w:rPr>
      </w:pPr>
      <w:r>
        <w:rPr>
          <w:rFonts w:ascii="Times New Roman" w:hAnsi="Times New Roman"/>
          <w:sz w:val="20"/>
        </w:rPr>
        <w:t>Section 7.6. </w:t>
      </w:r>
      <w:r>
        <w:rPr>
          <w:rFonts w:ascii="Times New Roman" w:hAnsi="Times New Roman"/>
          <w:sz w:val="20"/>
          <w:u w:val="single"/>
        </w:rPr>
        <w:t>Reports by Trustee to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Within 60 days after each anniversary of the date of this Indenture and for so long as any Securities remain outstanding, the Trustee shall transmit to all Holders, as their names and addresses appear on the register kept by the Registrar, a brief report dated as of such date, in accordance with, and to the extent required under, TIA § 313.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copy of each report at the time of its mailing to Holders of any Series shall be filed with the SEC and each national securities exchange on which the Securities of that Series are listed. The Company shall promptly notify the Trustee in writing when Securities of any Series are listed on any national securities exchange. </w:t>
      </w:r>
    </w:p>
    <w:p>
      <w:pPr>
        <w:pStyle w:val="TextBody"/>
        <w:bidi w:val="0"/>
        <w:spacing w:before="240" w:after="0"/>
        <w:jc w:val="left"/>
        <w:rPr>
          <w:rFonts w:ascii="Times New Roman" w:hAnsi="Times New Roman"/>
          <w:sz w:val="20"/>
        </w:rPr>
      </w:pPr>
      <w:r>
        <w:rPr>
          <w:rFonts w:ascii="Times New Roman" w:hAnsi="Times New Roman"/>
          <w:sz w:val="20"/>
        </w:rPr>
        <w:t>Section 7.7. </w:t>
      </w:r>
      <w:r>
        <w:rPr>
          <w:rFonts w:ascii="Times New Roman" w:hAnsi="Times New Roman"/>
          <w:sz w:val="20"/>
          <w:u w:val="single"/>
        </w:rPr>
        <w:t>Compensation and Indemnity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disbursements and advances incurred by it. Such expenses shall include the reasonable compensation and expenses of the Trustee’s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indemnify and hold harmless each of the Trustee and any predecessor Trustee (including for the cost of defending itself) against any cost, expense (including attorneys’ fees and expenses), action, damage, claim, suit or liability, including taxes (other than taxes based upon, measured by or determined by the income of the Trustee) incurred by it except as set forth in the next paragraph in the performance of its duties under this Indenture as Trustee or Agent (and including those incurred with respect to enforcement of its right to indemnity hereunder). The Trustee shall notify the Company promptly of any third party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Company need not reimburse any expense or indemnify against any loss or liability incurred by the Trustee or by any officer, director, employee, shareholder or agent of the Trustee through willful misconduct or negligence, as determined by a final decision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 incurs expenses or renders services after an Event of Default specified in Section 6.1(d) or (e) occurs, the expenses and the compensation for the services are intended to constitute expenses of administration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shall survive the termination of this Indenture and the resignation or removal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7.8. </w:t>
      </w:r>
      <w:r>
        <w:rPr>
          <w:rFonts w:ascii="Times New Roman" w:hAnsi="Times New Roman"/>
          <w:sz w:val="20"/>
          <w:u w:val="single"/>
        </w:rPr>
        <w:t>Replacement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resignation or removal of the Trustee and appointment of a successor Trustee shall become effective only upon the successor Trustee’s acceptance of appointment as provided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the requested date of removal. The Company may remove the Trustee with respect to Securities of one or more Series if: </w:t>
      </w:r>
    </w:p>
    <w:p>
      <w:pPr>
        <w:pStyle w:val="TextBody"/>
        <w:bidi w:val="0"/>
        <w:spacing w:before="120" w:after="0"/>
        <w:jc w:val="left"/>
        <w:rPr>
          <w:rFonts w:ascii="Times New Roman" w:hAnsi="Times New Roman"/>
          <w:sz w:val="20"/>
        </w:rPr>
      </w:pPr>
      <w:r>
        <w:rPr>
          <w:rFonts w:ascii="Times New Roman" w:hAnsi="Times New Roman"/>
          <w:sz w:val="20"/>
        </w:rPr>
        <w:t xml:space="preserve">(a) the Trustee fails to comply with Section 7.10; </w:t>
      </w:r>
    </w:p>
    <w:p>
      <w:pPr>
        <w:pStyle w:val="TextBody"/>
        <w:bidi w:val="0"/>
        <w:spacing w:before="120" w:after="0"/>
        <w:jc w:val="left"/>
        <w:rPr>
          <w:rFonts w:ascii="Times New Roman" w:hAnsi="Times New Roman"/>
          <w:sz w:val="20"/>
        </w:rPr>
      </w:pPr>
      <w:r>
        <w:rPr>
          <w:rFonts w:ascii="Times New Roman" w:hAnsi="Times New Roman"/>
          <w:sz w:val="20"/>
        </w:rPr>
        <w:t xml:space="preserve">(b) the Trustee is adjudged a bankrupt or an insolvent or an order for relief is entered with respect to the Trustee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(c) a Custodian or public officer takes charge of the Trustee or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(d) the Trustee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7.9. </w:t>
      </w:r>
      <w:r>
        <w:rPr>
          <w:rFonts w:ascii="Times New Roman" w:hAnsi="Times New Roman"/>
          <w:sz w:val="20"/>
          <w:u w:val="single"/>
        </w:rPr>
        <w:t>Successor Trustee by Merger,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organization or entity into which the Trustee may be merged or converted or with which it may be consolidated, or any organization or entity resulting from any merger, sale,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Section 7.10, without the execution or filing of any paper or any further act on the part of any of the parties hereto. </w:t>
      </w:r>
    </w:p>
    <w:p>
      <w:pPr>
        <w:pStyle w:val="TextBody"/>
        <w:bidi w:val="0"/>
        <w:spacing w:before="240" w:after="0"/>
        <w:jc w:val="left"/>
        <w:rPr>
          <w:rFonts w:ascii="Times New Roman" w:hAnsi="Times New Roman"/>
          <w:sz w:val="20"/>
        </w:rPr>
      </w:pPr>
      <w:r>
        <w:rPr>
          <w:rFonts w:ascii="Times New Roman" w:hAnsi="Times New Roman"/>
          <w:sz w:val="20"/>
        </w:rPr>
        <w:t>Section 7.10. </w:t>
      </w:r>
      <w:r>
        <w:rPr>
          <w:rFonts w:ascii="Times New Roman" w:hAnsi="Times New Roman"/>
          <w:sz w:val="20"/>
          <w:u w:val="single"/>
        </w:rPr>
        <w:t>Eligibility; Disqualification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 </w:t>
      </w:r>
    </w:p>
    <w:p>
      <w:pPr>
        <w:pStyle w:val="TextBody"/>
        <w:bidi w:val="0"/>
        <w:spacing w:before="240" w:after="0"/>
        <w:jc w:val="left"/>
        <w:rPr>
          <w:rFonts w:ascii="Times New Roman" w:hAnsi="Times New Roman"/>
          <w:sz w:val="20"/>
        </w:rPr>
      </w:pPr>
      <w:r>
        <w:rPr>
          <w:rFonts w:ascii="Times New Roman" w:hAnsi="Times New Roman"/>
          <w:sz w:val="20"/>
        </w:rPr>
        <w:t>Section 7.11. </w:t>
      </w:r>
      <w:r>
        <w:rPr>
          <w:rFonts w:ascii="Times New Roman" w:hAnsi="Times New Roman"/>
          <w:sz w:val="20"/>
          <w:u w:val="single"/>
        </w:rPr>
        <w:t>Preferential Collection of Claims Against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is subject to TIA § 311(a), excluding any creditor relationship listed in TIA § 311(b). A Trustee who has resigned or been removed shall be subject to TIA § 311(a) to the extent indicated.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0" w:after="0"/>
        <w:jc w:val="center"/>
        <w:rPr>
          <w:rFonts w:ascii="Times New Roman" w:hAnsi="Times New Roman"/>
          <w:sz w:val="20"/>
        </w:rPr>
      </w:pPr>
      <w:r>
        <w:rPr>
          <w:rFonts w:ascii="Times New Roman" w:hAnsi="Times New Roman"/>
          <w:sz w:val="20"/>
        </w:rPr>
        <w:t xml:space="preserve">SATISFACTION AND DISCHARGE; DEFEASANCE </w:t>
      </w:r>
    </w:p>
    <w:p>
      <w:pPr>
        <w:pStyle w:val="TextBody"/>
        <w:bidi w:val="0"/>
        <w:spacing w:before="240" w:after="0"/>
        <w:jc w:val="left"/>
        <w:rPr>
          <w:rFonts w:ascii="Times New Roman" w:hAnsi="Times New Roman"/>
          <w:sz w:val="20"/>
        </w:rPr>
      </w:pPr>
      <w:r>
        <w:rPr>
          <w:rFonts w:ascii="Times New Roman" w:hAnsi="Times New Roman"/>
          <w:sz w:val="20"/>
        </w:rPr>
        <w:t>Section 8.1. </w:t>
      </w:r>
      <w:r>
        <w:rPr>
          <w:rFonts w:ascii="Times New Roman" w:hAnsi="Times New Roman"/>
          <w:sz w:val="20"/>
          <w:u w:val="single"/>
        </w:rPr>
        <w:t>Satisfaction and Discharge of Indenture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 </w:t>
      </w:r>
    </w:p>
    <w:p>
      <w:pPr>
        <w:pStyle w:val="TextBody"/>
        <w:bidi w:val="0"/>
        <w:spacing w:before="120" w:after="0"/>
        <w:jc w:val="left"/>
        <w:rPr>
          <w:rFonts w:ascii="Times New Roman" w:hAnsi="Times New Roman"/>
          <w:sz w:val="20"/>
        </w:rPr>
      </w:pPr>
      <w:r>
        <w:rPr>
          <w:rFonts w:ascii="Times New Roman" w:hAnsi="Times New Roman"/>
          <w:sz w:val="20"/>
        </w:rPr>
        <w:t xml:space="preserve">(a) either </w:t>
      </w:r>
    </w:p>
    <w:p>
      <w:pPr>
        <w:pStyle w:val="TextBody"/>
        <w:bidi w:val="0"/>
        <w:spacing w:before="120" w:after="0"/>
        <w:jc w:val="left"/>
        <w:rPr>
          <w:rFonts w:ascii="Times New Roman" w:hAnsi="Times New Roman"/>
          <w:sz w:val="20"/>
        </w:rPr>
      </w:pPr>
      <w:r>
        <w:rPr>
          <w:rFonts w:ascii="Times New Roman" w:hAnsi="Times New Roman"/>
          <w:sz w:val="20"/>
        </w:rPr>
        <w:t xml:space="preserve">(i) all Securities of such Series theretofore authenticated and delivered (other than Securities that have been destroyed, lost or stolen and that have been replaced or paid) have been delivered to the Trustee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(ii) all such Securities of such Series not theretofore delivered to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(1) have become due and payable by reason of sending a notice of redemption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(2) will become due and payable at their Stated Maturity within one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have been called for redemption or are to be called for redemption within one year under arrangements satisfactory to the Trustee for the giving of notice of redemption by the Trustee in the name, and at the expense,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(4) are deemed paid and discharged pursuant to Section 8.3, as applicable; </w:t>
      </w:r>
    </w:p>
    <w:p>
      <w:pPr>
        <w:pStyle w:val="TextBody"/>
        <w:bidi w:val="0"/>
        <w:spacing w:before="240" w:after="0"/>
        <w:jc w:val="left"/>
        <w:rPr>
          <w:rFonts w:ascii="Times New Roman" w:hAnsi="Times New Roman"/>
          <w:sz w:val="20"/>
        </w:rPr>
      </w:pPr>
      <w:r>
        <w:rPr>
          <w:rFonts w:ascii="Times New Roman" w:hAnsi="Times New Roman"/>
          <w:sz w:val="20"/>
        </w:rPr>
        <w:t xml:space="preserve">and the Company, in the case of (1), (2) or (3) above, has irrevocably deposited or caused to be deposited with the Trustee as trust funds in trust an amount of money or U.S. Government Obligations, which amount shall be sufficient for the purpose of paying and discharging each installment of principal (including mandatory sinking fund payments or analogous payments) of and interest on all the Securities of such Series on the dates such installments of principal or interest are due;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has paid or caused to be paid all other sums payable hereunder by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all conditions precedent provided for relating to the satisfaction and discharge contemplated by this Section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(x) the obligations of the Company to the Trustee under Section 7.7, (y) if money shall have been deposited with the Trustee pursuant to clause (a) of this Section, the provisions of Sections 2.4, 2.7, 2.8, 8.2 and 8.5, and (z) the rights, powers, trusts, indemnities and immunities of the Trustee hereunder and the Company’s obligations in connection therewith shall survive. </w:t>
      </w:r>
    </w:p>
    <w:p>
      <w:pPr>
        <w:pStyle w:val="TextBody"/>
        <w:bidi w:val="0"/>
        <w:spacing w:before="240" w:after="0"/>
        <w:jc w:val="left"/>
        <w:rPr>
          <w:rFonts w:ascii="Times New Roman" w:hAnsi="Times New Roman"/>
          <w:sz w:val="20"/>
        </w:rPr>
      </w:pPr>
      <w:r>
        <w:rPr>
          <w:rFonts w:ascii="Times New Roman" w:hAnsi="Times New Roman"/>
          <w:sz w:val="20"/>
        </w:rPr>
        <w:t>Section 8.2. </w:t>
      </w:r>
      <w:r>
        <w:rPr>
          <w:rFonts w:ascii="Times New Roman" w:hAnsi="Times New Roman"/>
          <w:sz w:val="20"/>
          <w:u w:val="single"/>
        </w:rPr>
        <w:t>Application of Trust Funds;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pay and shall indemnify the Trustee (which indemnity shall survive termination of this Indenture)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 </w:t>
      </w:r>
    </w:p>
    <w:p>
      <w:pPr>
        <w:pStyle w:val="TextBody"/>
        <w:bidi w:val="0"/>
        <w:spacing w:before="240" w:after="0"/>
        <w:jc w:val="left"/>
        <w:rPr>
          <w:rFonts w:ascii="Times New Roman" w:hAnsi="Times New Roman"/>
          <w:sz w:val="20"/>
        </w:rPr>
      </w:pPr>
      <w:r>
        <w:rPr>
          <w:rFonts w:ascii="Times New Roman" w:hAnsi="Times New Roman"/>
          <w:sz w:val="20"/>
        </w:rPr>
        <w:t>Section 8.3. </w:t>
      </w:r>
      <w:r>
        <w:rPr>
          <w:rFonts w:ascii="Times New Roman" w:hAnsi="Times New Roman"/>
          <w:sz w:val="20"/>
          <w:u w:val="single"/>
        </w:rPr>
        <w:t>Legal Defeasance of Securities of any Series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 </w:t>
      </w:r>
    </w:p>
    <w:p>
      <w:pPr>
        <w:pStyle w:val="TextBody"/>
        <w:bidi w:val="0"/>
        <w:spacing w:before="120" w:after="0"/>
        <w:jc w:val="left"/>
        <w:rPr>
          <w:rFonts w:ascii="Times New Roman" w:hAnsi="Times New Roman"/>
          <w:sz w:val="20"/>
        </w:rPr>
      </w:pPr>
      <w:r>
        <w:rPr>
          <w:rFonts w:ascii="Times New Roman" w:hAnsi="Times New Roman"/>
          <w:sz w:val="20"/>
        </w:rPr>
        <w:t xml:space="preserve">(a) 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(b) the provisions of Sections 2.4, 2.5, 2.7, 2.8, 7.7, 8.2, 8.3, 8.5 and 8.6; and </w:t>
      </w:r>
    </w:p>
    <w:p>
      <w:pPr>
        <w:pStyle w:val="TextBody"/>
        <w:bidi w:val="0"/>
        <w:spacing w:before="120" w:after="0"/>
        <w:jc w:val="left"/>
        <w:rPr>
          <w:rFonts w:ascii="Times New Roman" w:hAnsi="Times New Roman"/>
          <w:sz w:val="20"/>
        </w:rPr>
      </w:pPr>
      <w:r>
        <w:rPr>
          <w:rFonts w:ascii="Times New Roman" w:hAnsi="Times New Roman"/>
          <w:sz w:val="20"/>
        </w:rPr>
        <w:t xml:space="preserve">(c) the rights, powers, trusts, indemnities and immunities of the Trustee hereunder and the Company’s obligations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provided that,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such deposit will not result in a breach or violation of, or constitute a default under, this Indenture or any other agreement or instrument to which the Company is a party or by which it is bound; </w:t>
      </w:r>
    </w:p>
    <w:p>
      <w:pPr>
        <w:pStyle w:val="TextBody"/>
        <w:bidi w:val="0"/>
        <w:spacing w:before="120" w:after="0"/>
        <w:jc w:val="left"/>
        <w:rPr>
          <w:rFonts w:ascii="Times New Roman" w:hAnsi="Times New Roman"/>
          <w:sz w:val="20"/>
        </w:rPr>
      </w:pPr>
      <w:r>
        <w:rPr>
          <w:rFonts w:ascii="Times New Roman" w:hAnsi="Times New Roman"/>
          <w:sz w:val="20"/>
        </w:rPr>
        <w:t xml:space="preserve">(f) no Default or Event of Default with respect to the Securities of such Series shall have occurred and be continuing on the date of such deposit or during the period ending on the 91st day after such date; </w:t>
      </w:r>
    </w:p>
    <w:p>
      <w:pPr>
        <w:pStyle w:val="TextBody"/>
        <w:bidi w:val="0"/>
        <w:spacing w:before="120" w:after="0"/>
        <w:jc w:val="left"/>
        <w:rPr>
          <w:rFonts w:ascii="Times New Roman" w:hAnsi="Times New Roman"/>
          <w:sz w:val="20"/>
        </w:rPr>
      </w:pPr>
      <w:r>
        <w:rPr>
          <w:rFonts w:ascii="Times New Roman" w:hAnsi="Times New Roman"/>
          <w:sz w:val="20"/>
        </w:rPr>
        <w:t xml:space="preserve">(g)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(h) the Company shall have delivered to the Trustee an Officer’s Certificate stating that the deposit was not made by the Company with the intent of defeating, hindering, delaying or defrauding any other creditors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delivered to the Trustee an Officer’s Certificate and an Opinion of Counsel, each stating that all conditions precedent provided for relating to the defeasance contemplated by this Section have been complied with. </w:t>
      </w:r>
    </w:p>
    <w:p>
      <w:pPr>
        <w:pStyle w:val="TextBody"/>
        <w:bidi w:val="0"/>
        <w:spacing w:before="240" w:after="0"/>
        <w:jc w:val="left"/>
        <w:rPr>
          <w:rFonts w:ascii="Times New Roman" w:hAnsi="Times New Roman"/>
          <w:sz w:val="20"/>
        </w:rPr>
      </w:pPr>
      <w:r>
        <w:rPr>
          <w:rFonts w:ascii="Times New Roman" w:hAnsi="Times New Roman"/>
          <w:sz w:val="20"/>
        </w:rPr>
        <w:t>Section 8.4. </w:t>
      </w:r>
      <w:r>
        <w:rPr>
          <w:rFonts w:ascii="Times New Roman" w:hAnsi="Times New Roman"/>
          <w:sz w:val="20"/>
          <w:u w:val="single"/>
        </w:rPr>
        <w:t>Covenant Defeasance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payments or analogous payments) of and interest on all the Securities of such Series on the dates such installments of principal or interest are due; </w:t>
      </w:r>
    </w:p>
    <w:p>
      <w:pPr>
        <w:pStyle w:val="TextBody"/>
        <w:bidi w:val="0"/>
        <w:spacing w:before="120" w:after="0"/>
        <w:jc w:val="left"/>
        <w:rPr>
          <w:rFonts w:ascii="Times New Roman" w:hAnsi="Times New Roman"/>
          <w:sz w:val="20"/>
        </w:rPr>
      </w:pPr>
      <w:r>
        <w:rPr>
          <w:rFonts w:ascii="Times New Roman" w:hAnsi="Times New Roman"/>
          <w:sz w:val="20"/>
        </w:rPr>
        <w:t xml:space="preserve">(b) such deposit will not result in a breach or violation of, or constitute a default under, this Indenture or any other agreement or instrument to which the Company is a party or by which it is bound; </w:t>
      </w:r>
    </w:p>
    <w:p>
      <w:pPr>
        <w:pStyle w:val="TextBody"/>
        <w:bidi w:val="0"/>
        <w:spacing w:before="120" w:after="0"/>
        <w:jc w:val="left"/>
        <w:rPr>
          <w:rFonts w:ascii="Times New Roman" w:hAnsi="Times New Roman"/>
          <w:sz w:val="20"/>
        </w:rPr>
      </w:pPr>
      <w:r>
        <w:rPr>
          <w:rFonts w:ascii="Times New Roman" w:hAnsi="Times New Roman"/>
          <w:sz w:val="20"/>
        </w:rPr>
        <w:t xml:space="preserve">(c) no Default or Event of Default with respect to the Securities of such Series shall have occurred and be continuing on the date of such deposit;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have delivered to the Trustee an Officer’s Certificate stating the deposit was not made by the Company with the intent of defeating, hindering, delaying or defrauding any other creditors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(f) The Company shall have delivered to the Trustee an Officer’s Certificate and an Opinion of Counsel, each stating that all conditions precedent herein provided for relating to the covenant defeasance contemplated by this Section have been complied with. </w:t>
      </w:r>
    </w:p>
    <w:p>
      <w:pPr>
        <w:pStyle w:val="TextBody"/>
        <w:bidi w:val="0"/>
        <w:spacing w:before="240" w:after="0"/>
        <w:jc w:val="left"/>
        <w:rPr>
          <w:rFonts w:ascii="Times New Roman" w:hAnsi="Times New Roman"/>
          <w:sz w:val="20"/>
        </w:rPr>
      </w:pPr>
      <w:r>
        <w:rPr>
          <w:rFonts w:ascii="Times New Roman" w:hAnsi="Times New Roman"/>
          <w:sz w:val="20"/>
        </w:rPr>
        <w:t>Section 8.5. </w:t>
      </w:r>
      <w:r>
        <w:rPr>
          <w:rFonts w:ascii="Times New Roman" w:hAnsi="Times New Roman"/>
          <w:sz w:val="20"/>
          <w:u w:val="single"/>
        </w:rPr>
        <w:t>Repayment to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abandoned property law, the Trustee and the Paying Agent shall pay to the Company upon request any money held by them for the payment of principal and interest that remains unclaimed for two years. After that, Holders entitled to the money must look to the Company for payment as general creditors unless an applicable abandoned property law designates another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8.6. </w:t>
      </w:r>
      <w:r>
        <w:rPr>
          <w:rFonts w:ascii="Times New Roman" w:hAnsi="Times New Roman"/>
          <w:sz w:val="20"/>
          <w:u w:val="single"/>
        </w:rPr>
        <w:t>Reinstatement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Company has made any payment of principal of or interest on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0" w:after="0"/>
        <w:jc w:val="center"/>
        <w:rPr>
          <w:rFonts w:ascii="Times New Roman" w:hAnsi="Times New Roman"/>
          <w:sz w:val="20"/>
        </w:rPr>
      </w:pPr>
      <w:r>
        <w:rPr>
          <w:rFonts w:ascii="Times New Roman" w:hAnsi="Times New Roman"/>
          <w:sz w:val="20"/>
        </w:rPr>
        <w:t xml:space="preserve">AMENDMENTS AND WAIVERS </w:t>
      </w:r>
    </w:p>
    <w:p>
      <w:pPr>
        <w:pStyle w:val="TextBody"/>
        <w:bidi w:val="0"/>
        <w:spacing w:before="240" w:after="0"/>
        <w:jc w:val="left"/>
        <w:rPr>
          <w:rFonts w:ascii="Times New Roman" w:hAnsi="Times New Roman"/>
          <w:sz w:val="20"/>
        </w:rPr>
      </w:pPr>
      <w:r>
        <w:rPr>
          <w:rFonts w:ascii="Times New Roman" w:hAnsi="Times New Roman"/>
          <w:sz w:val="20"/>
        </w:rPr>
        <w:t>Section 9.1. </w:t>
      </w:r>
      <w:r>
        <w:rPr>
          <w:rFonts w:ascii="Times New Roman" w:hAnsi="Times New Roman"/>
          <w:sz w:val="20"/>
          <w:u w:val="single"/>
        </w:rPr>
        <w:t>Without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the Trustee may amend or supplement this Indenture or the Securities of one or more Series without the consent of any Holder: </w:t>
      </w:r>
    </w:p>
    <w:p>
      <w:pPr>
        <w:pStyle w:val="TextBody"/>
        <w:bidi w:val="0"/>
        <w:spacing w:before="120" w:after="0"/>
        <w:jc w:val="left"/>
        <w:rPr>
          <w:rFonts w:ascii="Times New Roman" w:hAnsi="Times New Roman"/>
          <w:sz w:val="20"/>
        </w:rPr>
      </w:pPr>
      <w:r>
        <w:rPr>
          <w:rFonts w:ascii="Times New Roman" w:hAnsi="Times New Roman"/>
          <w:sz w:val="20"/>
        </w:rPr>
        <w:t xml:space="preserve">(a) to cure any ambiguity, defect or inconsistency; </w:t>
      </w:r>
    </w:p>
    <w:p>
      <w:pPr>
        <w:pStyle w:val="TextBody"/>
        <w:bidi w:val="0"/>
        <w:spacing w:before="120" w:after="0"/>
        <w:jc w:val="left"/>
        <w:rPr>
          <w:rFonts w:ascii="Times New Roman" w:hAnsi="Times New Roman"/>
          <w:sz w:val="20"/>
        </w:rPr>
      </w:pPr>
      <w:r>
        <w:rPr>
          <w:rFonts w:ascii="Times New Roman" w:hAnsi="Times New Roman"/>
          <w:sz w:val="20"/>
        </w:rPr>
        <w:t xml:space="preserve">(b) to comply with Article V; </w:t>
      </w:r>
    </w:p>
    <w:p>
      <w:pPr>
        <w:pStyle w:val="TextBody"/>
        <w:bidi w:val="0"/>
        <w:spacing w:before="120" w:after="0"/>
        <w:jc w:val="left"/>
        <w:rPr>
          <w:rFonts w:ascii="Times New Roman" w:hAnsi="Times New Roman"/>
          <w:sz w:val="20"/>
        </w:rPr>
      </w:pPr>
      <w:r>
        <w:rPr>
          <w:rFonts w:ascii="Times New Roman" w:hAnsi="Times New Roman"/>
          <w:sz w:val="20"/>
        </w:rPr>
        <w:t xml:space="preserve">(c) to provide for uncertificated Securities in addition to or in place of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(d) to add guarantees with respect to Securities of any Series or secure Securities of any Series; </w:t>
      </w:r>
    </w:p>
    <w:p>
      <w:pPr>
        <w:pStyle w:val="TextBody"/>
        <w:bidi w:val="0"/>
        <w:spacing w:before="120" w:after="0"/>
        <w:jc w:val="left"/>
        <w:rPr>
          <w:rFonts w:ascii="Times New Roman" w:hAnsi="Times New Roman"/>
          <w:sz w:val="20"/>
        </w:rPr>
      </w:pPr>
      <w:r>
        <w:rPr>
          <w:rFonts w:ascii="Times New Roman" w:hAnsi="Times New Roman"/>
          <w:sz w:val="20"/>
        </w:rPr>
        <w:t xml:space="preserve">(e) to surrender any of the Company’s rights or powers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(f) to add covenants or events of default for the benefit of the holders of Securities of any Series; </w:t>
      </w:r>
    </w:p>
    <w:p>
      <w:pPr>
        <w:pStyle w:val="TextBody"/>
        <w:bidi w:val="0"/>
        <w:spacing w:before="120" w:after="0"/>
        <w:jc w:val="left"/>
        <w:rPr>
          <w:rFonts w:ascii="Times New Roman" w:hAnsi="Times New Roman"/>
          <w:sz w:val="20"/>
        </w:rPr>
      </w:pPr>
      <w:r>
        <w:rPr>
          <w:rFonts w:ascii="Times New Roman" w:hAnsi="Times New Roman"/>
          <w:sz w:val="20"/>
        </w:rPr>
        <w:t xml:space="preserve">(g) to comply with the applicable procedures of the applicable depositary; </w:t>
      </w:r>
    </w:p>
    <w:p>
      <w:pPr>
        <w:pStyle w:val="TextBody"/>
        <w:bidi w:val="0"/>
        <w:spacing w:before="120" w:after="0"/>
        <w:jc w:val="left"/>
        <w:rPr>
          <w:rFonts w:ascii="Times New Roman" w:hAnsi="Times New Roman"/>
          <w:sz w:val="20"/>
        </w:rPr>
      </w:pPr>
      <w:r>
        <w:rPr>
          <w:rFonts w:ascii="Times New Roman" w:hAnsi="Times New Roman"/>
          <w:sz w:val="20"/>
        </w:rPr>
        <w:t xml:space="preserve">(h) to make any change that does not adversely affect the rights of any Holder; </w:t>
      </w:r>
    </w:p>
    <w:p>
      <w:pPr>
        <w:pStyle w:val="TextBody"/>
        <w:bidi w:val="0"/>
        <w:spacing w:before="120" w:after="0"/>
        <w:jc w:val="left"/>
        <w:rPr>
          <w:rFonts w:ascii="Times New Roman" w:hAnsi="Times New Roman"/>
          <w:sz w:val="20"/>
        </w:rPr>
      </w:pPr>
      <w:r>
        <w:rPr>
          <w:rFonts w:ascii="Times New Roman" w:hAnsi="Times New Roman"/>
          <w:sz w:val="20"/>
        </w:rPr>
        <w:t xml:space="preserve">(i) to provide for the issuance of and establish the form and terms and conditions of Securities of any Series as permitted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to comply with requirements of the SEC in order to effect or maintain the qualification of this Indenture under the TIA. </w:t>
      </w:r>
    </w:p>
    <w:p>
      <w:pPr>
        <w:pStyle w:val="TextBody"/>
        <w:bidi w:val="0"/>
        <w:spacing w:before="240" w:after="0"/>
        <w:jc w:val="left"/>
        <w:rPr>
          <w:rFonts w:ascii="Times New Roman" w:hAnsi="Times New Roman"/>
          <w:sz w:val="20"/>
        </w:rPr>
      </w:pPr>
      <w:r>
        <w:rPr>
          <w:rFonts w:ascii="Times New Roman" w:hAnsi="Times New Roman"/>
          <w:sz w:val="20"/>
        </w:rPr>
        <w:t>Section 9.2. </w:t>
      </w:r>
      <w:r>
        <w:rPr>
          <w:rFonts w:ascii="Times New Roman" w:hAnsi="Times New Roman"/>
          <w:sz w:val="20"/>
          <w:u w:val="single"/>
        </w:rPr>
        <w:t>With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Section 9.3,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and subject to Section 9.3,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 </w:t>
      </w:r>
    </w:p>
    <w:p>
      <w:pPr>
        <w:pStyle w:val="TextBody"/>
        <w:bidi w:val="0"/>
        <w:spacing w:before="240" w:after="0"/>
        <w:jc w:val="left"/>
        <w:rPr>
          <w:rFonts w:ascii="Times New Roman" w:hAnsi="Times New Roman"/>
          <w:sz w:val="20"/>
        </w:rPr>
      </w:pPr>
      <w:r>
        <w:rPr>
          <w:rFonts w:ascii="Times New Roman" w:hAnsi="Times New Roman"/>
          <w:sz w:val="20"/>
        </w:rPr>
        <w:t>Section 9.3. </w:t>
      </w:r>
      <w:r>
        <w:rPr>
          <w:rFonts w:ascii="Times New Roman" w:hAnsi="Times New Roman"/>
          <w:sz w:val="20"/>
          <w:u w:val="single"/>
        </w:rPr>
        <w:t>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Without the consent of each Holder affected, an amendment or waiver may not: </w:t>
      </w:r>
    </w:p>
    <w:p>
      <w:pPr>
        <w:pStyle w:val="TextBody"/>
        <w:bidi w:val="0"/>
        <w:spacing w:before="120" w:after="0"/>
        <w:jc w:val="left"/>
        <w:rPr>
          <w:rFonts w:ascii="Times New Roman" w:hAnsi="Times New Roman"/>
          <w:sz w:val="20"/>
        </w:rPr>
      </w:pPr>
      <w:r>
        <w:rPr>
          <w:rFonts w:ascii="Times New Roman" w:hAnsi="Times New Roman"/>
          <w:sz w:val="20"/>
        </w:rPr>
        <w:t xml:space="preserve">(a) reduce the principal amount of Securities whose Holders must consent to an amendment, supplement or waiver; </w:t>
      </w:r>
    </w:p>
    <w:p>
      <w:pPr>
        <w:pStyle w:val="TextBody"/>
        <w:bidi w:val="0"/>
        <w:spacing w:before="120" w:after="0"/>
        <w:jc w:val="left"/>
        <w:rPr>
          <w:rFonts w:ascii="Times New Roman" w:hAnsi="Times New Roman"/>
          <w:sz w:val="20"/>
        </w:rPr>
      </w:pPr>
      <w:r>
        <w:rPr>
          <w:rFonts w:ascii="Times New Roman" w:hAnsi="Times New Roman"/>
          <w:sz w:val="20"/>
        </w:rPr>
        <w:t xml:space="preserve">(b) reduce the rate of or extend the time for payment of interest (including default interest) on any Security; </w:t>
      </w:r>
    </w:p>
    <w:p>
      <w:pPr>
        <w:pStyle w:val="TextBody"/>
        <w:bidi w:val="0"/>
        <w:spacing w:before="120" w:after="0"/>
        <w:jc w:val="left"/>
        <w:rPr>
          <w:rFonts w:ascii="Times New Roman" w:hAnsi="Times New Roman"/>
          <w:sz w:val="20"/>
        </w:rPr>
      </w:pPr>
      <w:r>
        <w:rPr>
          <w:rFonts w:ascii="Times New Roman" w:hAnsi="Times New Roman"/>
          <w:sz w:val="20"/>
        </w:rPr>
        <w:t xml:space="preserve">(c) reduce the principal or change the Stated Maturity of any Security or reduce the amount of, or postpone the date fixed for, the payment of any sinking fund or analogous obligation; </w:t>
      </w:r>
    </w:p>
    <w:p>
      <w:pPr>
        <w:pStyle w:val="TextBody"/>
        <w:bidi w:val="0"/>
        <w:spacing w:before="120" w:after="0"/>
        <w:jc w:val="left"/>
        <w:rPr>
          <w:rFonts w:ascii="Times New Roman" w:hAnsi="Times New Roman"/>
          <w:sz w:val="20"/>
        </w:rPr>
      </w:pPr>
      <w:r>
        <w:rPr>
          <w:rFonts w:ascii="Times New Roman" w:hAnsi="Times New Roman"/>
          <w:sz w:val="20"/>
        </w:rPr>
        <w:t xml:space="preserve">(d) reduce the principal amount of Discount Securities payable upon acceleration of the maturity thereof; </w:t>
      </w:r>
    </w:p>
    <w:p>
      <w:pPr>
        <w:pStyle w:val="TextBody"/>
        <w:bidi w:val="0"/>
        <w:spacing w:before="120" w:after="0"/>
        <w:jc w:val="left"/>
        <w:rPr>
          <w:rFonts w:ascii="Times New Roman" w:hAnsi="Times New Roman"/>
          <w:sz w:val="20"/>
        </w:rPr>
      </w:pPr>
      <w:r>
        <w:rPr>
          <w:rFonts w:ascii="Times New Roman" w:hAnsi="Times New Roman"/>
          <w:sz w:val="20"/>
        </w:rPr>
        <w:t xml:space="preserve">(e)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make the principal of or interest, if any, on any Security payable in any currency other than that stated in the Security; </w:t>
      </w:r>
    </w:p>
    <w:p>
      <w:pPr>
        <w:pStyle w:val="TextBody"/>
        <w:bidi w:val="0"/>
        <w:spacing w:before="120" w:after="0"/>
        <w:jc w:val="left"/>
        <w:rPr>
          <w:rFonts w:ascii="Times New Roman" w:hAnsi="Times New Roman"/>
          <w:sz w:val="20"/>
        </w:rPr>
      </w:pPr>
      <w:r>
        <w:rPr>
          <w:rFonts w:ascii="Times New Roman" w:hAnsi="Times New Roman"/>
          <w:sz w:val="20"/>
        </w:rPr>
        <w:t xml:space="preserve">(g) make any change in Sections 6.8, 6.13 or 9.3 (this sentence); or </w:t>
      </w:r>
    </w:p>
    <w:p>
      <w:pPr>
        <w:pStyle w:val="TextBody"/>
        <w:bidi w:val="0"/>
        <w:spacing w:before="120" w:after="0"/>
        <w:jc w:val="left"/>
        <w:rPr>
          <w:rFonts w:ascii="Times New Roman" w:hAnsi="Times New Roman"/>
          <w:sz w:val="20"/>
        </w:rPr>
      </w:pPr>
      <w:r>
        <w:rPr>
          <w:rFonts w:ascii="Times New Roman" w:hAnsi="Times New Roman"/>
          <w:sz w:val="20"/>
        </w:rPr>
        <w:t xml:space="preserve">(h) waive a redemption payment with respect to any Security, provided that such redemption is made at the Company’s option. </w:t>
      </w:r>
    </w:p>
    <w:p>
      <w:pPr>
        <w:pStyle w:val="TextBody"/>
        <w:bidi w:val="0"/>
        <w:spacing w:before="240" w:after="0"/>
        <w:jc w:val="left"/>
        <w:rPr>
          <w:rFonts w:ascii="Times New Roman" w:hAnsi="Times New Roman"/>
          <w:sz w:val="20"/>
        </w:rPr>
      </w:pPr>
      <w:r>
        <w:rPr>
          <w:rFonts w:ascii="Times New Roman" w:hAnsi="Times New Roman"/>
          <w:sz w:val="20"/>
        </w:rPr>
        <w:t>Section 9.4. </w:t>
      </w:r>
      <w:r>
        <w:rPr>
          <w:rFonts w:ascii="Times New Roman" w:hAnsi="Times New Roman"/>
          <w:sz w:val="20"/>
          <w:u w:val="single"/>
        </w:rPr>
        <w:t>Compliance with Trust Indenture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Every amendment to this Indenture or the Securities of one or more Series shall be set forth in a supplemental indenture hereto that complies with the TIA as then in effect. </w:t>
      </w:r>
    </w:p>
    <w:p>
      <w:pPr>
        <w:pStyle w:val="TextBody"/>
        <w:bidi w:val="0"/>
        <w:spacing w:before="240" w:after="0"/>
        <w:jc w:val="left"/>
        <w:rPr>
          <w:rFonts w:ascii="Times New Roman" w:hAnsi="Times New Roman"/>
          <w:sz w:val="20"/>
        </w:rPr>
      </w:pPr>
      <w:r>
        <w:rPr>
          <w:rFonts w:ascii="Times New Roman" w:hAnsi="Times New Roman"/>
          <w:sz w:val="20"/>
        </w:rPr>
        <w:t>Section 9.5. </w:t>
      </w:r>
      <w:r>
        <w:rPr>
          <w:rFonts w:ascii="Times New Roman" w:hAnsi="Times New Roman"/>
          <w:sz w:val="20"/>
          <w:u w:val="single"/>
        </w:rPr>
        <w:t>Revocation and Effect of Consents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Any amendment or waiver once effective shall bind every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 </w:t>
      </w:r>
    </w:p>
    <w:p>
      <w:pPr>
        <w:pStyle w:val="TextBody"/>
        <w:bidi w:val="0"/>
        <w:spacing w:before="240" w:after="0"/>
        <w:jc w:val="left"/>
        <w:rPr>
          <w:rFonts w:ascii="Times New Roman" w:hAnsi="Times New Roman"/>
          <w:sz w:val="20"/>
        </w:rPr>
      </w:pPr>
      <w:r>
        <w:rPr>
          <w:rFonts w:ascii="Times New Roman" w:hAnsi="Times New Roman"/>
          <w:sz w:val="20"/>
        </w:rPr>
        <w:t>Section 9.6. </w:t>
      </w:r>
      <w:r>
        <w:rPr>
          <w:rFonts w:ascii="Times New Roman" w:hAnsi="Times New Roman"/>
          <w:sz w:val="20"/>
          <w:u w:val="single"/>
        </w:rPr>
        <w:t>Notation on or Exchange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or the Trustee may, but shall not be obligated to,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9.7. </w:t>
      </w:r>
      <w:r>
        <w:rPr>
          <w:rFonts w:ascii="Times New Roman" w:hAnsi="Times New Roman"/>
          <w:sz w:val="20"/>
          <w:u w:val="single"/>
        </w:rPr>
        <w:t>Trustee Protected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executing, or accepting the additional trusts created by, any supplemental indenture permitted by this Article or the modifications thereby of the trusts created by this Indenture, the Trustee shall be entitled to receive, upon request, an Officer’s Certificate and/or an Opinion of Counsel complying with Sections 10.4 and 10.5 and (subject to Section 7.1) shall be fully protected in relying upon such Officer’s Certificate and/or Opinion of Counsel.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Section 10.1. </w:t>
      </w:r>
      <w:r>
        <w:rPr>
          <w:rFonts w:ascii="Times New Roman" w:hAnsi="Times New Roman"/>
          <w:sz w:val="20"/>
          <w:u w:val="single"/>
        </w:rPr>
        <w:t>Trust Indenture Act Controls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any provision of this Indenture limits, qualifies or conflicts with another provision which is required or deemed to be included in this Indenture by the TIA, such required or deemed provision shall control. </w:t>
      </w:r>
    </w:p>
    <w:p>
      <w:pPr>
        <w:pStyle w:val="TextBody"/>
        <w:bidi w:val="0"/>
        <w:spacing w:before="240" w:after="0"/>
        <w:jc w:val="left"/>
        <w:rPr>
          <w:rFonts w:ascii="Times New Roman" w:hAnsi="Times New Roman"/>
          <w:sz w:val="20"/>
        </w:rPr>
      </w:pPr>
      <w:r>
        <w:rPr>
          <w:rFonts w:ascii="Times New Roman" w:hAnsi="Times New Roman"/>
          <w:sz w:val="20"/>
        </w:rPr>
        <w:t>Section 10.2. </w:t>
      </w:r>
      <w:r>
        <w:rPr>
          <w:rFonts w:ascii="Times New Roman" w:hAnsi="Times New Roman"/>
          <w:sz w:val="20"/>
          <w:u w:val="single"/>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notice or communication by the Company or the Trustee to the other, or by a Holder to the Company or the Trustee, is duly given if in writing and delivered in person or mailed by first-class mail (registered or certified, return receipt requested), email or overnight air courier guaranteeing next day delivery, to the others’ address: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Ouster, Inc. </w:t>
      </w:r>
    </w:p>
    <w:p>
      <w:pPr>
        <w:pStyle w:val="TextBody"/>
        <w:bidi w:val="0"/>
        <w:spacing w:before="0" w:after="0"/>
        <w:jc w:val="left"/>
        <w:rPr>
          <w:rFonts w:ascii="Times New Roman" w:hAnsi="Times New Roman"/>
          <w:sz w:val="20"/>
        </w:rPr>
      </w:pPr>
      <w:r>
        <w:rPr>
          <w:rFonts w:ascii="Times New Roman" w:hAnsi="Times New Roman"/>
          <w:sz w:val="20"/>
        </w:rPr>
        <w:t xml:space="preserve">350 Treat Avenue </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94110 </w:t>
      </w:r>
    </w:p>
    <w:p>
      <w:pPr>
        <w:pStyle w:val="TextBody"/>
        <w:bidi w:val="0"/>
        <w:spacing w:before="0" w:after="0"/>
        <w:jc w:val="left"/>
        <w:rPr>
          <w:rFonts w:ascii="Times New Roman" w:hAnsi="Times New Roman"/>
          <w:sz w:val="20"/>
        </w:rPr>
      </w:pPr>
      <w:r>
        <w:rPr>
          <w:rFonts w:ascii="Times New Roman" w:hAnsi="Times New Roman"/>
          <w:sz w:val="20"/>
        </w:rPr>
        <w:t xml:space="preserve">Attention: Megan Chung </w:t>
      </w:r>
    </w:p>
    <w:p>
      <w:pPr>
        <w:pStyle w:val="TextBody"/>
        <w:bidi w:val="0"/>
        <w:spacing w:before="0" w:after="0"/>
        <w:jc w:val="left"/>
        <w:rPr>
          <w:rFonts w:ascii="Times New Roman" w:hAnsi="Times New Roman"/>
          <w:sz w:val="20"/>
        </w:rPr>
      </w:pPr>
      <w:r>
        <w:rPr>
          <w:rFonts w:ascii="Times New Roman" w:hAnsi="Times New Roman"/>
          <w:sz w:val="20"/>
        </w:rPr>
        <w:t xml:space="preserve">Telephone: (415) 949-0108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650 Town Center Dr, Floor 20 </w:t>
      </w:r>
    </w:p>
    <w:p>
      <w:pPr>
        <w:pStyle w:val="TextBody"/>
        <w:bidi w:val="0"/>
        <w:spacing w:before="0" w:after="0"/>
        <w:jc w:val="left"/>
        <w:rPr>
          <w:rFonts w:ascii="Times New Roman" w:hAnsi="Times New Roman"/>
          <w:sz w:val="20"/>
        </w:rPr>
      </w:pPr>
      <w:r>
        <w:rPr>
          <w:rFonts w:ascii="Times New Roman" w:hAnsi="Times New Roman"/>
          <w:sz w:val="20"/>
        </w:rPr>
        <w:t xml:space="preserve">Costa Mesa, CA 92626 </w:t>
      </w:r>
    </w:p>
    <w:p>
      <w:pPr>
        <w:pStyle w:val="TextBody"/>
        <w:bidi w:val="0"/>
        <w:spacing w:before="0" w:after="0"/>
        <w:jc w:val="left"/>
        <w:rPr>
          <w:rFonts w:ascii="Times New Roman" w:hAnsi="Times New Roman"/>
          <w:sz w:val="20"/>
        </w:rPr>
      </w:pPr>
      <w:r>
        <w:rPr>
          <w:rFonts w:ascii="Times New Roman" w:hAnsi="Times New Roman"/>
          <w:sz w:val="20"/>
        </w:rPr>
        <w:t xml:space="preserve">Attention: Drew Capurro </w:t>
      </w:r>
    </w:p>
    <w:p>
      <w:pPr>
        <w:pStyle w:val="TextBody"/>
        <w:bidi w:val="0"/>
        <w:spacing w:before="0" w:after="0"/>
        <w:jc w:val="left"/>
        <w:rPr>
          <w:rFonts w:ascii="Times New Roman" w:hAnsi="Times New Roman"/>
          <w:sz w:val="20"/>
        </w:rPr>
      </w:pPr>
      <w:r>
        <w:rPr>
          <w:rFonts w:ascii="Times New Roman" w:hAnsi="Times New Roman"/>
          <w:sz w:val="20"/>
        </w:rPr>
        <w:t xml:space="preserve">Telephone: 714) 755-8008 </w:t>
      </w:r>
    </w:p>
    <w:p>
      <w:pPr>
        <w:pStyle w:val="TextBody"/>
        <w:bidi w:val="0"/>
        <w:spacing w:before="24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 ● ] </w:t>
      </w:r>
    </w:p>
    <w:p>
      <w:pPr>
        <w:pStyle w:val="TextBody"/>
        <w:bidi w:val="0"/>
        <w:spacing w:before="0" w:after="0"/>
        <w:jc w:val="left"/>
        <w:rPr>
          <w:rFonts w:ascii="Times New Roman" w:hAnsi="Times New Roman"/>
          <w:sz w:val="20"/>
        </w:rPr>
      </w:pPr>
      <w:r>
        <w:rPr>
          <w:rFonts w:ascii="Times New Roman" w:hAnsi="Times New Roman"/>
          <w:sz w:val="20"/>
        </w:rPr>
        <w:t xml:space="preserve">[ ● ] </w:t>
      </w:r>
    </w:p>
    <w:p>
      <w:pPr>
        <w:pStyle w:val="TextBody"/>
        <w:bidi w:val="0"/>
        <w:spacing w:before="0" w:after="0"/>
        <w:jc w:val="left"/>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 ● ] </w:t>
      </w:r>
    </w:p>
    <w:p>
      <w:pPr>
        <w:pStyle w:val="TextBody"/>
        <w:bidi w:val="0"/>
        <w:spacing w:before="0" w:after="0"/>
        <w:jc w:val="left"/>
        <w:rPr>
          <w:rFonts w:ascii="Times New Roman" w:hAnsi="Times New Roman"/>
          <w:sz w:val="20"/>
        </w:rPr>
      </w:pPr>
      <w:r>
        <w:rPr>
          <w:rFonts w:ascii="Times New Roman" w:hAnsi="Times New Roman"/>
          <w:sz w:val="20"/>
        </w:rPr>
        <w:t xml:space="preserve">[ ● ] </w:t>
      </w:r>
    </w:p>
    <w:p>
      <w:pPr>
        <w:pStyle w:val="TextBody"/>
        <w:bidi w:val="0"/>
        <w:spacing w:before="0" w:after="0"/>
        <w:jc w:val="left"/>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notice to the other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to a Holder shall be sent electronically or by first-class mail or overnight air courier to his, her or its address shown on the register kept by the Registrar, in accordance with the procedures of the Depositary. Failure to send a notice or communication to a Holder of any Series or any defect in it shall not affect its sufficiency with respect to other Holders of that or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If a notice or communication is sent or published in the manner provided above, within the time prescribed, it is duly given, whether or not the Holder receives it.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sends a notice or communication to Holders, it shall send a copy to the Trustee and each Agent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The Company assumes all risks arising out of the use of electronic signatures and electronic methods to send communications to the Trustee, including without limitation the risk of the Trustee acting on an unauthorized communication, and the risk of interception or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 </w:t>
      </w:r>
    </w:p>
    <w:p>
      <w:pPr>
        <w:pStyle w:val="TextBody"/>
        <w:bidi w:val="0"/>
        <w:spacing w:before="240" w:after="0"/>
        <w:jc w:val="left"/>
        <w:rPr>
          <w:rFonts w:ascii="Times New Roman" w:hAnsi="Times New Roman"/>
          <w:sz w:val="20"/>
        </w:rPr>
      </w:pPr>
      <w:r>
        <w:rPr>
          <w:rFonts w:ascii="Times New Roman" w:hAnsi="Times New Roman"/>
          <w:sz w:val="20"/>
        </w:rPr>
        <w:t>Section 10.3. </w:t>
      </w:r>
      <w:r>
        <w:rPr>
          <w:rFonts w:ascii="Times New Roman" w:hAnsi="Times New Roman"/>
          <w:sz w:val="20"/>
          <w:u w:val="single"/>
        </w:rPr>
        <w:t>Communication by Holders with Other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Holders of any Series may communicate pursuant to TIA § 312(b) with other Holders of that Series or any other Series with respect to their rights under this Indenture or the Securities of that Series or all Series. The Company, the Trustee, the Registrar and anyone else shall have the protection of TIA § 312(c).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10.4. </w:t>
      </w:r>
      <w:r>
        <w:rPr>
          <w:rFonts w:ascii="Times New Roman" w:hAnsi="Times New Roman"/>
          <w:sz w:val="20"/>
          <w:u w:val="single"/>
        </w:rPr>
        <w:t>Certificate and Opinion as to Conditions Precedent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any request or application by the Company to the Trustee to take any action under this Indenture, the Company shall furnish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(a) an Officer’s Certificate stating that, in the opinion of the signers, all conditions precedent, if any, provided for in this Indenture relating to the proposed action have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(b) an Opinion of Counsel stating that, in the opinion of such counsel, all such conditions precedent have been complied with. </w:t>
      </w:r>
    </w:p>
    <w:p>
      <w:pPr>
        <w:pStyle w:val="TextBody"/>
        <w:bidi w:val="0"/>
        <w:spacing w:before="240" w:after="0"/>
        <w:jc w:val="left"/>
        <w:rPr>
          <w:rFonts w:ascii="Times New Roman" w:hAnsi="Times New Roman"/>
          <w:sz w:val="20"/>
        </w:rPr>
      </w:pPr>
      <w:r>
        <w:rPr>
          <w:rFonts w:ascii="Times New Roman" w:hAnsi="Times New Roman"/>
          <w:sz w:val="20"/>
        </w:rPr>
        <w:t>Section 10.5. </w:t>
      </w:r>
      <w:r>
        <w:rPr>
          <w:rFonts w:ascii="Times New Roman" w:hAnsi="Times New Roman"/>
          <w:sz w:val="20"/>
          <w:u w:val="single"/>
        </w:rPr>
        <w:t>Statements Required in Certificate or Opinion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certificate or opinion with respect to compliance with a condition or covenant provided for in this Indenture (other than a certificate provided pursuant to TIA § 314(a)(4)) shall comply with the provisions of TIA § 314(e) and shall include: </w:t>
      </w:r>
    </w:p>
    <w:p>
      <w:pPr>
        <w:pStyle w:val="TextBody"/>
        <w:bidi w:val="0"/>
        <w:spacing w:before="120" w:after="0"/>
        <w:jc w:val="left"/>
        <w:rPr>
          <w:rFonts w:ascii="Times New Roman" w:hAnsi="Times New Roman"/>
          <w:sz w:val="20"/>
        </w:rPr>
      </w:pPr>
      <w:r>
        <w:rPr>
          <w:rFonts w:ascii="Times New Roman" w:hAnsi="Times New Roman"/>
          <w:sz w:val="20"/>
        </w:rPr>
        <w:t xml:space="preserve">(a) a statement that the person making such certificate or opinion has read such covenant or condition; </w:t>
      </w:r>
    </w:p>
    <w:p>
      <w:pPr>
        <w:pStyle w:val="TextBody"/>
        <w:bidi w:val="0"/>
        <w:spacing w:before="12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in such certificate or opinion are based; </w:t>
      </w:r>
    </w:p>
    <w:p>
      <w:pPr>
        <w:pStyle w:val="TextBody"/>
        <w:bidi w:val="0"/>
        <w:spacing w:before="120" w:after="0"/>
        <w:jc w:val="left"/>
        <w:rPr>
          <w:rFonts w:ascii="Times New Roman" w:hAnsi="Times New Roman"/>
          <w:sz w:val="20"/>
        </w:rPr>
      </w:pPr>
      <w:r>
        <w:rPr>
          <w:rFonts w:ascii="Times New Roman" w:hAnsi="Times New Roman"/>
          <w:sz w:val="20"/>
        </w:rPr>
        <w:t xml:space="preserve">(c) a statement that, in the opinion of such person, such person has made such examination or investigation as is necessary to enable such person to express an informed opinion as to whether or not such covenant or condition has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(d)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Section 10.6. </w:t>
      </w:r>
      <w:r>
        <w:rPr>
          <w:rFonts w:ascii="Times New Roman" w:hAnsi="Times New Roman"/>
          <w:sz w:val="20"/>
          <w:u w:val="single"/>
        </w:rPr>
        <w:t>Rules by Trustee and Agents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make reasonable rules for action by or a meeting of Holders of one or more Series. Any Agent may make reasonable rules and set reasonable requirements for its functions. </w:t>
      </w:r>
    </w:p>
    <w:p>
      <w:pPr>
        <w:pStyle w:val="TextBody"/>
        <w:bidi w:val="0"/>
        <w:spacing w:before="240" w:after="0"/>
        <w:jc w:val="left"/>
        <w:rPr>
          <w:rFonts w:ascii="Times New Roman" w:hAnsi="Times New Roman"/>
          <w:sz w:val="20"/>
        </w:rPr>
      </w:pPr>
      <w:r>
        <w:rPr>
          <w:rFonts w:ascii="Times New Roman" w:hAnsi="Times New Roman"/>
          <w:sz w:val="20"/>
        </w:rPr>
        <w:t>Section 10.7. </w:t>
      </w:r>
      <w:r>
        <w:rPr>
          <w:rFonts w:ascii="Times New Roman" w:hAnsi="Times New Roman"/>
          <w:sz w:val="20"/>
          <w:u w:val="single"/>
        </w:rPr>
        <w:t>Legal Holidays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 payment date for any payment made under this Indenture is not a Business Day, payment may be made on the next succeeding Business Day, and no interest shall accrue for the intervening period. </w:t>
      </w:r>
    </w:p>
    <w:p>
      <w:pPr>
        <w:pStyle w:val="TextBody"/>
        <w:bidi w:val="0"/>
        <w:spacing w:before="240" w:after="0"/>
        <w:jc w:val="left"/>
        <w:rPr>
          <w:rFonts w:ascii="Times New Roman" w:hAnsi="Times New Roman"/>
          <w:sz w:val="20"/>
        </w:rPr>
      </w:pPr>
      <w:r>
        <w:rPr>
          <w:rFonts w:ascii="Times New Roman" w:hAnsi="Times New Roman"/>
          <w:sz w:val="20"/>
        </w:rPr>
        <w:t>Section 10.8. </w:t>
      </w:r>
      <w:r>
        <w:rPr>
          <w:rFonts w:ascii="Times New Roman" w:hAnsi="Times New Roman"/>
          <w:sz w:val="20"/>
          <w:u w:val="single"/>
        </w:rPr>
        <w:t>No Recourse Against Others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10.9. </w:t>
      </w:r>
      <w:r>
        <w:rPr>
          <w:rFonts w:ascii="Times New Roman" w:hAnsi="Times New Roman"/>
          <w:sz w:val="20"/>
          <w:u w:val="single"/>
        </w:rPr>
        <w:t>Counterparts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format unless expressly agreed to by the Trustee pursuant to procedures approved by the Trustee. </w:t>
      </w:r>
    </w:p>
    <w:p>
      <w:pPr>
        <w:pStyle w:val="TextBody"/>
        <w:bidi w:val="0"/>
        <w:spacing w:before="240" w:after="0"/>
        <w:jc w:val="left"/>
        <w:rPr>
          <w:rFonts w:ascii="Times New Roman" w:hAnsi="Times New Roman"/>
          <w:sz w:val="20"/>
        </w:rPr>
      </w:pPr>
      <w:r>
        <w:rPr>
          <w:rFonts w:ascii="Times New Roman" w:hAnsi="Times New Roman"/>
          <w:sz w:val="20"/>
        </w:rPr>
        <w:t>Section 10.10. </w:t>
      </w:r>
      <w:r>
        <w:rPr>
          <w:rFonts w:ascii="Times New Roman" w:hAnsi="Times New Roman"/>
          <w:sz w:val="20"/>
          <w:u w:val="single"/>
        </w:rPr>
        <w:t>Governing Law; Waiver of Jury Trial; Consent to Jurisdiction</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THIS INDENTURE AND THE SECURITIES, INCLUDING ANY CLAIM OR CONTROVERSY ARISING OUT OF OR RELATING TO THE INDENTURE OR THE SECURITIES, SHALL BE GOVERNED BY THE LAWS OF THE STATE OF NEW YORK. </w:t>
      </w:r>
    </w:p>
    <w:p>
      <w:pPr>
        <w:pStyle w:val="TextBody"/>
        <w:bidi w:val="0"/>
        <w:spacing w:before="240" w:after="0"/>
        <w:jc w:val="left"/>
        <w:rPr>
          <w:rFonts w:ascii="Times New Roman" w:hAnsi="Times New Roman"/>
          <w:b/>
          <w:sz w:val="20"/>
        </w:rPr>
      </w:pPr>
      <w:r>
        <w:rPr>
          <w:rFonts w:ascii="Times New Roman" w:hAnsi="Times New Roman"/>
          <w:b/>
          <w:sz w:val="20"/>
        </w:rPr>
        <w:t xml:space="preserve">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hAnsi="Times New Roman"/>
          <w:i/>
          <w:sz w:val="20"/>
        </w:rPr>
        <w:t>Specified Courts</w:t>
      </w:r>
      <w:r>
        <w:rPr>
          <w:rFonts w:ascii="Times New Roman" w:hAnsi="Times New Roman"/>
          <w:sz w:val="20"/>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Section 10.11. </w:t>
      </w:r>
      <w:r>
        <w:rPr>
          <w:rFonts w:ascii="Times New Roman" w:hAnsi="Times New Roman"/>
          <w:sz w:val="20"/>
          <w:u w:val="single"/>
        </w:rPr>
        <w:t>No Adverse Interpretation of Other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may not be used to interpret another indenture, loan or debt agreement of the Company or a Subsidiary of the Company. Any such indenture, loan or debt agreement may not be used to interpret this Indenture. </w:t>
      </w:r>
    </w:p>
    <w:p>
      <w:pPr>
        <w:pStyle w:val="TextBody"/>
        <w:bidi w:val="0"/>
        <w:spacing w:before="240" w:after="0"/>
        <w:jc w:val="left"/>
        <w:rPr>
          <w:rFonts w:ascii="Times New Roman" w:hAnsi="Times New Roman"/>
          <w:sz w:val="20"/>
        </w:rPr>
      </w:pPr>
      <w:r>
        <w:rPr>
          <w:rFonts w:ascii="Times New Roman" w:hAnsi="Times New Roman"/>
          <w:sz w:val="20"/>
        </w:rPr>
        <w:t>Section 10.12. </w:t>
      </w:r>
      <w:r>
        <w:rPr>
          <w:rFonts w:ascii="Times New Roman" w:hAnsi="Times New Roman"/>
          <w:sz w:val="20"/>
          <w:u w:val="single"/>
        </w:rPr>
        <w:t>Successors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agreements of the Company in this Indenture and the Securities shall bind its successor. All agreements of the Trustee in this Indenture shall bind its successor. </w:t>
      </w:r>
    </w:p>
    <w:p>
      <w:pPr>
        <w:pStyle w:val="TextBody"/>
        <w:bidi w:val="0"/>
        <w:spacing w:before="240" w:after="0"/>
        <w:jc w:val="left"/>
        <w:rPr>
          <w:rFonts w:ascii="Times New Roman" w:hAnsi="Times New Roman"/>
          <w:sz w:val="20"/>
        </w:rPr>
      </w:pPr>
      <w:r>
        <w:rPr>
          <w:rFonts w:ascii="Times New Roman" w:hAnsi="Times New Roman"/>
          <w:sz w:val="20"/>
        </w:rPr>
        <w:t>Section 10.13. </w:t>
      </w:r>
      <w:r>
        <w:rPr>
          <w:rFonts w:ascii="Times New Roman" w:hAnsi="Times New Roman"/>
          <w:sz w:val="20"/>
          <w:u w:val="single"/>
        </w:rPr>
        <w:t>Severability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case any provision in this Indenture or in the Securities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Section 10.14. </w:t>
      </w:r>
      <w:r>
        <w:rPr>
          <w:rFonts w:ascii="Times New Roman" w:hAnsi="Times New Roman"/>
          <w:sz w:val="20"/>
          <w:u w:val="single"/>
        </w:rPr>
        <w:t>Table of Contents, Headings,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Table of Contents, Cross Reference Table,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Section 10.15. </w:t>
      </w:r>
      <w:r>
        <w:rPr>
          <w:rFonts w:ascii="Times New Roman" w:hAnsi="Times New Roman"/>
          <w:sz w:val="20"/>
          <w:u w:val="single"/>
        </w:rPr>
        <w:t>Securities in a Foreign Currency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determinations provided for in the preceding paragraph shall, in the absence of manifest error, to the extent permitted by law, be conclusive for all purposes and irrevocably binding upon the Trustee and all Holders. </w:t>
      </w:r>
    </w:p>
    <w:p>
      <w:pPr>
        <w:pStyle w:val="TextBody"/>
        <w:bidi w:val="0"/>
        <w:spacing w:before="240" w:after="0"/>
        <w:jc w:val="left"/>
        <w:rPr>
          <w:rFonts w:ascii="Times New Roman" w:hAnsi="Times New Roman"/>
          <w:sz w:val="20"/>
        </w:rPr>
      </w:pPr>
      <w:r>
        <w:rPr>
          <w:rFonts w:ascii="Times New Roman" w:hAnsi="Times New Roman"/>
          <w:sz w:val="20"/>
        </w:rPr>
        <w:t>Section 10.16. </w:t>
      </w:r>
      <w:r>
        <w:rPr>
          <w:rFonts w:ascii="Times New Roman" w:hAnsi="Times New Roman"/>
          <w:sz w:val="20"/>
          <w:u w:val="single"/>
        </w:rPr>
        <w:t>Judgment Currency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hAnsi="Times New Roman"/>
          <w:i/>
          <w:sz w:val="20"/>
        </w:rPr>
        <w:t>Required Currency</w:t>
      </w:r>
      <w:r>
        <w:rPr>
          <w:rFonts w:ascii="Times New Roman" w:hAnsi="Times New Roman"/>
          <w:sz w:val="20"/>
        </w:rPr>
        <w:t>”) into a currency in which a judgment will be rendered (the “</w:t>
      </w:r>
      <w:r>
        <w:rPr>
          <w:rFonts w:ascii="Times New Roman" w:hAnsi="Times New Roman"/>
          <w:i/>
          <w:sz w:val="20"/>
        </w:rPr>
        <w:t>Judgment Currency</w:t>
      </w:r>
      <w:r>
        <w:rPr>
          <w:rFonts w:ascii="Times New Roman" w:hAnsi="Times New Roman"/>
          <w:sz w:val="20"/>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hAnsi="Times New Roman"/>
          <w:i/>
          <w:sz w:val="20"/>
        </w:rPr>
        <w:t>New York Banking Day</w:t>
      </w:r>
      <w:r>
        <w:rPr>
          <w:rFonts w:ascii="Times New Roman" w:hAnsi="Times New Roman"/>
          <w:sz w:val="20"/>
        </w:rPr>
        <w:t xml:space="preserve">” means any day except a Saturday, Sunday or a legal holiday in the City of New York on which banking institutions are authorized or required by law, regulation or executive order to close. </w:t>
      </w:r>
    </w:p>
    <w:p>
      <w:pPr>
        <w:pStyle w:val="TextBody"/>
        <w:bidi w:val="0"/>
        <w:spacing w:before="240" w:after="0"/>
        <w:jc w:val="left"/>
        <w:rPr>
          <w:rFonts w:ascii="Times New Roman" w:hAnsi="Times New Roman"/>
          <w:sz w:val="20"/>
        </w:rPr>
      </w:pPr>
      <w:r>
        <w:rPr>
          <w:rFonts w:ascii="Times New Roman" w:hAnsi="Times New Roman"/>
          <w:sz w:val="20"/>
        </w:rPr>
        <w:t>Section 10.17. </w:t>
      </w:r>
      <w:r>
        <w:rPr>
          <w:rFonts w:ascii="Times New Roman" w:hAnsi="Times New Roman"/>
          <w:sz w:val="20"/>
          <w:u w:val="single"/>
        </w:rPr>
        <w:t>Force Majeure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no event shall the Trustee be responsible or liable for any failure or delay in the performance of its obligations hereunder arising out of or caused by, directly or indirectly, forces or circumstances beyond its control, including, without limitation, any act or provision of any present or future law or regulation or governmental authority, strikes, work stoppages, accidents, acts of war or terrorism, civil or military disturbances, nuclear or natural catastrophes, earthquakes, fires, floods, civil or military disturbances, sabotage, riots, pandemics, epidemics or other public health emergencies, or acts of God, and interruptions, loss or malfunctions of utilities, communications or computer (software and hardware) services or the unavailability of the Federal Reserve Bank wire or telex or other wire or communication facility, it being understood that the Trustee shall use reasonable best efforts which are consistent with accepted practices in the banking industry to resume performance as soon as practicable under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10.18.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480" w:after="0"/>
        <w:jc w:val="center"/>
        <w:rPr>
          <w:rFonts w:ascii="Times New Roman" w:hAnsi="Times New Roman"/>
          <w:sz w:val="20"/>
        </w:rPr>
      </w:pPr>
      <w:r>
        <w:rPr>
          <w:rFonts w:ascii="Times New Roman" w:hAnsi="Times New Roman"/>
          <w:sz w:val="20"/>
        </w:rPr>
        <w:t xml:space="preserve">ARTICLE XI. </w:t>
      </w:r>
    </w:p>
    <w:p>
      <w:pPr>
        <w:pStyle w:val="TextBody"/>
        <w:bidi w:val="0"/>
        <w:spacing w:before="0" w:after="0"/>
        <w:jc w:val="center"/>
        <w:rPr>
          <w:rFonts w:ascii="Times New Roman" w:hAnsi="Times New Roman"/>
          <w:sz w:val="20"/>
        </w:rPr>
      </w:pPr>
      <w:r>
        <w:rPr>
          <w:rFonts w:ascii="Times New Roman" w:hAnsi="Times New Roman"/>
          <w:sz w:val="20"/>
        </w:rPr>
        <w:t xml:space="preserve">SINKING FUNDS </w:t>
      </w:r>
    </w:p>
    <w:p>
      <w:pPr>
        <w:pStyle w:val="TextBody"/>
        <w:bidi w:val="0"/>
        <w:spacing w:before="240" w:after="0"/>
        <w:jc w:val="left"/>
        <w:rPr>
          <w:rFonts w:ascii="Times New Roman" w:hAnsi="Times New Roman"/>
          <w:sz w:val="20"/>
        </w:rPr>
      </w:pPr>
      <w:r>
        <w:rPr>
          <w:rFonts w:ascii="Times New Roman" w:hAnsi="Times New Roman"/>
          <w:sz w:val="20"/>
        </w:rPr>
        <w:t>Section 11.1. </w:t>
      </w:r>
      <w:r>
        <w:rPr>
          <w:rFonts w:ascii="Times New Roman" w:hAnsi="Times New Roman"/>
          <w:sz w:val="20"/>
          <w:u w:val="single"/>
        </w:rPr>
        <w:t>Applicability of Article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this Article shall be applicable to any sinking fund for the retirement of the Securities of a Series if so provided by the terms of such Securities pursuant to Section 2.2, except as otherwise permitted or required by any form of Security of such Series issued pursuant to this Indenture. </w:t>
      </w:r>
    </w:p>
    <w:p>
      <w:pPr>
        <w:pStyle w:val="TextBody"/>
        <w:bidi w:val="0"/>
        <w:spacing w:before="240" w:after="0"/>
        <w:jc w:val="left"/>
        <w:rPr>
          <w:rFonts w:ascii="Times New Roman" w:hAnsi="Times New Roman"/>
          <w:sz w:val="20"/>
        </w:rPr>
      </w:pPr>
      <w:r>
        <w:rPr>
          <w:rFonts w:ascii="Times New Roman" w:hAnsi="Times New Roman"/>
          <w:sz w:val="20"/>
        </w:rPr>
        <w:t>The minimum amount of any sinking fund payment provided for by the terms of the Securities of any Series is herein referred to as a “</w:t>
      </w:r>
      <w:r>
        <w:rPr>
          <w:rFonts w:ascii="Times New Roman" w:hAnsi="Times New Roman"/>
          <w:i/>
          <w:sz w:val="20"/>
        </w:rPr>
        <w:t>mandatory sinking fund payment</w:t>
      </w:r>
      <w:r>
        <w:rPr>
          <w:rFonts w:ascii="Times New Roman" w:hAnsi="Times New Roman"/>
          <w:sz w:val="20"/>
        </w:rPr>
        <w:t>” and any other amount provided for by the terms of Securities of such Series is herein referred to as an “</w:t>
      </w:r>
      <w:r>
        <w:rPr>
          <w:rFonts w:ascii="Times New Roman" w:hAnsi="Times New Roman"/>
          <w:i/>
          <w:sz w:val="20"/>
        </w:rPr>
        <w:t>optional sinking fund payment</w:t>
      </w:r>
      <w:r>
        <w:rPr>
          <w:rFonts w:ascii="Times New Roman" w:hAnsi="Times New Roman"/>
          <w:sz w:val="20"/>
        </w:rPr>
        <w:t xml:space="preserve">.”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Section 11.2. </w:t>
      </w:r>
      <w:r>
        <w:rPr>
          <w:rFonts w:ascii="Times New Roman" w:hAnsi="Times New Roman"/>
          <w:sz w:val="20"/>
          <w:u w:val="single"/>
        </w:rPr>
        <w:t>Satisfaction of Sinking Fund Payments with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redemption, except upon receipt of a Company Order that such action be taken, and such cash payment shall be held by the Trustee or a Paying Agent and applied to the next succeeding sinking fund payment,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 </w:t>
      </w:r>
    </w:p>
    <w:p>
      <w:pPr>
        <w:pStyle w:val="TextBody"/>
        <w:bidi w:val="0"/>
        <w:spacing w:before="240" w:after="0"/>
        <w:jc w:val="left"/>
        <w:rPr>
          <w:rFonts w:ascii="Times New Roman" w:hAnsi="Times New Roman"/>
          <w:sz w:val="20"/>
        </w:rPr>
      </w:pPr>
      <w:r>
        <w:rPr>
          <w:rFonts w:ascii="Times New Roman" w:hAnsi="Times New Roman"/>
          <w:sz w:val="20"/>
        </w:rPr>
        <w:t>Section 11.3. </w:t>
      </w:r>
      <w:r>
        <w:rPr>
          <w:rFonts w:ascii="Times New Roman" w:hAnsi="Times New Roman"/>
          <w:sz w:val="20"/>
          <w:u w:val="single"/>
        </w:rPr>
        <w:t>Redemption of Securities for Sinking Fund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Ouster, Inc.</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Its: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 ● </w:t>
            </w:r>
            <w:r>
              <w:rPr>
                <w:b/>
              </w:rPr>
              <w:t xml:space="preserve">] </w:t>
            </w:r>
            <w:r>
              <w:rPr/>
              <w:t>,</w:t>
            </w:r>
          </w:p>
        </w:tc>
      </w:tr>
      <w:tr>
        <w:trPr/>
        <w:tc>
          <w:tcPr>
            <w:tcW w:w="4082" w:type="dxa"/>
            <w:gridSpan w:val="3"/>
            <w:tcBorders/>
          </w:tcPr>
          <w:p>
            <w:pPr>
              <w:pStyle w:val="TableContents"/>
              <w:bidi w:val="0"/>
              <w:spacing w:before="0" w:after="283"/>
              <w:jc w:val="left"/>
              <w:rPr/>
            </w:pPr>
            <w:r>
              <w:rPr/>
              <w:t>as Trustee</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Its:</w:t>
            </w:r>
          </w:p>
        </w:tc>
      </w:tr>
    </w:tbl>
    <w:p>
      <w:pPr>
        <w:pStyle w:val="TextBody"/>
        <w:bidi w:val="0"/>
        <w:spacing w:before="0" w:after="0"/>
        <w:jc w:val="right"/>
        <w:rPr>
          <w:rFonts w:ascii="Times New Roman" w:hAnsi="Times New Roman"/>
          <w:b/>
          <w:sz w:val="20"/>
        </w:rPr>
      </w:pPr>
      <w:bookmarkStart w:id="19" w:name="d160029dex51.htm"/>
      <w:bookmarkStart w:id="20" w:name="ksd160029dex51"/>
      <w:bookmarkEnd w:id="19"/>
      <w:bookmarkEnd w:id="20"/>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06"/>
        <w:gridCol w:w="128"/>
        <w:gridCol w:w="1225"/>
        <w:gridCol w:w="128"/>
        <w:gridCol w:w="2418"/>
      </w:tblGrid>
      <w:tr>
        <w:trPr/>
        <w:tc>
          <w:tcPr>
            <w:tcW w:w="6306"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6306" w:type="dxa"/>
            <w:vMerge w:val="restart"/>
            <w:tcBorders/>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2466975"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2466975" cy="3333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July 1, 2026</w:t>
            </w:r>
          </w:p>
        </w:tc>
        <w:tc>
          <w:tcPr>
            <w:tcW w:w="128" w:type="dxa"/>
            <w:tcBorders/>
            <w:vAlign w:val="bottom"/>
          </w:tcPr>
          <w:p>
            <w:pPr>
              <w:pStyle w:val="TableContents"/>
              <w:bidi w:val="0"/>
              <w:spacing w:before="0" w:after="283"/>
              <w:jc w:val="left"/>
              <w:rPr/>
            </w:pPr>
            <w:r>
              <w:rPr/>
              <w:t>  </w:t>
            </w:r>
          </w:p>
        </w:tc>
        <w:tc>
          <w:tcPr>
            <w:tcW w:w="377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650 Town Center Drive, 20th Floor</w:t>
            </w:r>
          </w:p>
          <w:p>
            <w:pPr>
              <w:pStyle w:val="TableContents"/>
              <w:bidi w:val="0"/>
              <w:spacing w:before="0" w:after="0"/>
              <w:jc w:val="left"/>
              <w:rPr>
                <w:rFonts w:ascii="Times New Roman" w:hAnsi="Times New Roman"/>
                <w:sz w:val="20"/>
              </w:rPr>
            </w:pPr>
            <w:r>
              <w:rPr>
                <w:rFonts w:ascii="Times New Roman" w:hAnsi="Times New Roman"/>
                <w:sz w:val="20"/>
              </w:rPr>
              <w:t>Costa Mesa, California 92626-1925</w:t>
            </w:r>
          </w:p>
          <w:p>
            <w:pPr>
              <w:pStyle w:val="TableContents"/>
              <w:bidi w:val="0"/>
              <w:spacing w:before="0" w:after="0"/>
              <w:jc w:val="left"/>
              <w:rPr>
                <w:rFonts w:ascii="Times New Roman" w:hAnsi="Times New Roman"/>
                <w:sz w:val="20"/>
              </w:rPr>
            </w:pPr>
            <w:r>
              <w:rPr>
                <w:rFonts w:ascii="Times New Roman" w:hAnsi="Times New Roman"/>
                <w:sz w:val="20"/>
              </w:rPr>
              <w:t>Tel: +1.714.540.1235 Fax: +1.714.755.8290</w:t>
            </w:r>
          </w:p>
          <w:p>
            <w:pPr>
              <w:pStyle w:val="TableContents"/>
              <w:bidi w:val="0"/>
              <w:spacing w:before="0" w:after="0"/>
              <w:jc w:val="left"/>
              <w:rPr>
                <w:rFonts w:ascii="Times New Roman" w:hAnsi="Times New Roman"/>
                <w:sz w:val="20"/>
              </w:rPr>
            </w:pPr>
            <w:r>
              <w:rPr>
                <w:rFonts w:ascii="Times New Roman" w:hAnsi="Times New Roman"/>
                <w:sz w:val="20"/>
              </w:rPr>
              <w:t>www.lw.com</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FIRM / AFFILIATE OFFICES</w:t>
            </w:r>
          </w:p>
        </w:tc>
      </w:tr>
      <w:tr>
        <w:trPr/>
        <w:tc>
          <w:tcPr>
            <w:tcW w:w="6306" w:type="dxa"/>
            <w:vMerge w:val="continue"/>
            <w:tcBorders/>
          </w:tcPr>
          <w:p>
            <w:pPr>
              <w:pStyle w:val="Normal"/>
              <w:bidi w:val="0"/>
              <w:jc w:val="left"/>
              <w:rPr/>
            </w:pPr>
            <w:r>
              <w:rPr/>
            </w:r>
          </w:p>
        </w:tc>
        <w:tc>
          <w:tcPr>
            <w:tcW w:w="128"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left"/>
              <w:rPr/>
            </w:pPr>
            <w:r>
              <w:rPr/>
              <w:t>Austin</w:t>
            </w:r>
          </w:p>
        </w:tc>
        <w:tc>
          <w:tcPr>
            <w:tcW w:w="128" w:type="dxa"/>
            <w:tcBorders/>
            <w:vAlign w:val="bottom"/>
          </w:tcPr>
          <w:p>
            <w:pPr>
              <w:pStyle w:val="TableContents"/>
              <w:bidi w:val="0"/>
              <w:spacing w:before="0" w:after="283"/>
              <w:jc w:val="left"/>
              <w:rPr/>
            </w:pPr>
            <w:r>
              <w:rPr/>
              <w:t>  </w:t>
            </w:r>
          </w:p>
        </w:tc>
        <w:tc>
          <w:tcPr>
            <w:tcW w:w="2418" w:type="dxa"/>
            <w:tcBorders/>
          </w:tcPr>
          <w:p>
            <w:pPr>
              <w:pStyle w:val="TableContents"/>
              <w:bidi w:val="0"/>
              <w:spacing w:before="0" w:after="283"/>
              <w:jc w:val="left"/>
              <w:rPr/>
            </w:pPr>
            <w:r>
              <w:rPr/>
              <w:t>Milan</w:t>
            </w:r>
          </w:p>
        </w:tc>
      </w:tr>
      <w:tr>
        <w:trPr/>
        <w:tc>
          <w:tcPr>
            <w:tcW w:w="6306" w:type="dxa"/>
            <w:vMerge w:val="continue"/>
            <w:tcBorders/>
          </w:tcPr>
          <w:p>
            <w:pPr>
              <w:pStyle w:val="Normal"/>
              <w:bidi w:val="0"/>
              <w:jc w:val="left"/>
              <w:rPr/>
            </w:pPr>
            <w:r>
              <w:rPr/>
            </w:r>
          </w:p>
        </w:tc>
        <w:tc>
          <w:tcPr>
            <w:tcW w:w="128"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left"/>
              <w:rPr/>
            </w:pPr>
            <w:r>
              <w:rPr/>
              <w:t>Beijing</w:t>
            </w:r>
          </w:p>
        </w:tc>
        <w:tc>
          <w:tcPr>
            <w:tcW w:w="128" w:type="dxa"/>
            <w:tcBorders/>
            <w:vAlign w:val="bottom"/>
          </w:tcPr>
          <w:p>
            <w:pPr>
              <w:pStyle w:val="TableContents"/>
              <w:bidi w:val="0"/>
              <w:spacing w:before="0" w:after="283"/>
              <w:jc w:val="left"/>
              <w:rPr/>
            </w:pPr>
            <w:r>
              <w:rPr/>
              <w:t>  </w:t>
            </w:r>
          </w:p>
        </w:tc>
        <w:tc>
          <w:tcPr>
            <w:tcW w:w="2418" w:type="dxa"/>
            <w:tcBorders/>
          </w:tcPr>
          <w:p>
            <w:pPr>
              <w:pStyle w:val="TableContents"/>
              <w:bidi w:val="0"/>
              <w:spacing w:before="0" w:after="283"/>
              <w:jc w:val="left"/>
              <w:rPr/>
            </w:pPr>
            <w:r>
              <w:rPr/>
              <w:t>Munich</w:t>
            </w:r>
          </w:p>
        </w:tc>
      </w:tr>
      <w:tr>
        <w:trPr/>
        <w:tc>
          <w:tcPr>
            <w:tcW w:w="6306" w:type="dxa"/>
            <w:vMerge w:val="continue"/>
            <w:tcBorders/>
          </w:tcPr>
          <w:p>
            <w:pPr>
              <w:pStyle w:val="Normal"/>
              <w:bidi w:val="0"/>
              <w:jc w:val="left"/>
              <w:rPr/>
            </w:pPr>
            <w:r>
              <w:rPr/>
            </w:r>
          </w:p>
        </w:tc>
        <w:tc>
          <w:tcPr>
            <w:tcW w:w="128"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left"/>
              <w:rPr/>
            </w:pPr>
            <w:r>
              <w:rPr/>
              <w:t>Boston</w:t>
            </w:r>
          </w:p>
        </w:tc>
        <w:tc>
          <w:tcPr>
            <w:tcW w:w="128" w:type="dxa"/>
            <w:tcBorders/>
            <w:vAlign w:val="bottom"/>
          </w:tcPr>
          <w:p>
            <w:pPr>
              <w:pStyle w:val="TableContents"/>
              <w:bidi w:val="0"/>
              <w:spacing w:before="0" w:after="283"/>
              <w:jc w:val="left"/>
              <w:rPr/>
            </w:pPr>
            <w:r>
              <w:rPr/>
              <w:t>  </w:t>
            </w:r>
          </w:p>
        </w:tc>
        <w:tc>
          <w:tcPr>
            <w:tcW w:w="2418" w:type="dxa"/>
            <w:tcBorders/>
          </w:tcPr>
          <w:p>
            <w:pPr>
              <w:pStyle w:val="TableContents"/>
              <w:bidi w:val="0"/>
              <w:spacing w:before="0" w:after="283"/>
              <w:jc w:val="left"/>
              <w:rPr/>
            </w:pPr>
            <w:r>
              <w:rPr/>
              <w:t>New York</w:t>
            </w:r>
          </w:p>
        </w:tc>
      </w:tr>
      <w:tr>
        <w:trPr/>
        <w:tc>
          <w:tcPr>
            <w:tcW w:w="6306" w:type="dxa"/>
            <w:vMerge w:val="continue"/>
            <w:tcBorders/>
          </w:tcPr>
          <w:p>
            <w:pPr>
              <w:pStyle w:val="Normal"/>
              <w:bidi w:val="0"/>
              <w:jc w:val="left"/>
              <w:rPr/>
            </w:pPr>
            <w:r>
              <w:rPr/>
            </w:r>
          </w:p>
        </w:tc>
        <w:tc>
          <w:tcPr>
            <w:tcW w:w="128"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left"/>
              <w:rPr/>
            </w:pPr>
            <w:r>
              <w:rPr/>
              <w:t>Brussels</w:t>
            </w:r>
          </w:p>
        </w:tc>
        <w:tc>
          <w:tcPr>
            <w:tcW w:w="128" w:type="dxa"/>
            <w:tcBorders/>
            <w:vAlign w:val="bottom"/>
          </w:tcPr>
          <w:p>
            <w:pPr>
              <w:pStyle w:val="TableContents"/>
              <w:bidi w:val="0"/>
              <w:spacing w:before="0" w:after="283"/>
              <w:jc w:val="left"/>
              <w:rPr/>
            </w:pPr>
            <w:r>
              <w:rPr/>
              <w:t>  </w:t>
            </w:r>
          </w:p>
        </w:tc>
        <w:tc>
          <w:tcPr>
            <w:tcW w:w="2418" w:type="dxa"/>
            <w:tcBorders/>
          </w:tcPr>
          <w:p>
            <w:pPr>
              <w:pStyle w:val="TableContents"/>
              <w:bidi w:val="0"/>
              <w:spacing w:before="0" w:after="283"/>
              <w:jc w:val="left"/>
              <w:rPr/>
            </w:pPr>
            <w:r>
              <w:rPr/>
              <w:t>Orange County</w:t>
            </w:r>
          </w:p>
        </w:tc>
      </w:tr>
      <w:tr>
        <w:trPr/>
        <w:tc>
          <w:tcPr>
            <w:tcW w:w="6306" w:type="dxa"/>
            <w:vMerge w:val="continue"/>
            <w:tcBorders/>
          </w:tcPr>
          <w:p>
            <w:pPr>
              <w:pStyle w:val="Normal"/>
              <w:bidi w:val="0"/>
              <w:jc w:val="left"/>
              <w:rPr/>
            </w:pPr>
            <w:r>
              <w:rPr/>
            </w:r>
          </w:p>
        </w:tc>
        <w:tc>
          <w:tcPr>
            <w:tcW w:w="128"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left"/>
              <w:rPr/>
            </w:pPr>
            <w:r>
              <w:rPr/>
              <w:t>Chicago</w:t>
            </w:r>
          </w:p>
        </w:tc>
        <w:tc>
          <w:tcPr>
            <w:tcW w:w="128" w:type="dxa"/>
            <w:tcBorders/>
            <w:vAlign w:val="bottom"/>
          </w:tcPr>
          <w:p>
            <w:pPr>
              <w:pStyle w:val="TableContents"/>
              <w:bidi w:val="0"/>
              <w:spacing w:before="0" w:after="283"/>
              <w:jc w:val="left"/>
              <w:rPr/>
            </w:pPr>
            <w:r>
              <w:rPr/>
              <w:t>  </w:t>
            </w:r>
          </w:p>
        </w:tc>
        <w:tc>
          <w:tcPr>
            <w:tcW w:w="2418" w:type="dxa"/>
            <w:tcBorders/>
          </w:tcPr>
          <w:p>
            <w:pPr>
              <w:pStyle w:val="TableContents"/>
              <w:bidi w:val="0"/>
              <w:spacing w:before="0" w:after="283"/>
              <w:jc w:val="left"/>
              <w:rPr/>
            </w:pPr>
            <w:r>
              <w:rPr/>
              <w:t>Paris</w:t>
            </w:r>
          </w:p>
        </w:tc>
      </w:tr>
      <w:tr>
        <w:trPr/>
        <w:tc>
          <w:tcPr>
            <w:tcW w:w="6306" w:type="dxa"/>
            <w:vMerge w:val="continue"/>
            <w:tcBorders/>
          </w:tcPr>
          <w:p>
            <w:pPr>
              <w:pStyle w:val="Normal"/>
              <w:bidi w:val="0"/>
              <w:jc w:val="left"/>
              <w:rPr/>
            </w:pPr>
            <w:r>
              <w:rPr/>
            </w:r>
          </w:p>
        </w:tc>
        <w:tc>
          <w:tcPr>
            <w:tcW w:w="128"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left"/>
              <w:rPr/>
            </w:pPr>
            <w:r>
              <w:rPr/>
              <w:t>Dubai</w:t>
            </w:r>
          </w:p>
        </w:tc>
        <w:tc>
          <w:tcPr>
            <w:tcW w:w="128" w:type="dxa"/>
            <w:tcBorders/>
            <w:vAlign w:val="bottom"/>
          </w:tcPr>
          <w:p>
            <w:pPr>
              <w:pStyle w:val="TableContents"/>
              <w:bidi w:val="0"/>
              <w:spacing w:before="0" w:after="283"/>
              <w:jc w:val="left"/>
              <w:rPr/>
            </w:pPr>
            <w:r>
              <w:rPr/>
              <w:t>  </w:t>
            </w:r>
          </w:p>
        </w:tc>
        <w:tc>
          <w:tcPr>
            <w:tcW w:w="2418" w:type="dxa"/>
            <w:tcBorders/>
          </w:tcPr>
          <w:p>
            <w:pPr>
              <w:pStyle w:val="TableContents"/>
              <w:bidi w:val="0"/>
              <w:spacing w:before="0" w:after="283"/>
              <w:jc w:val="left"/>
              <w:rPr/>
            </w:pPr>
            <w:r>
              <w:rPr/>
              <w:t>Riyadh</w:t>
            </w:r>
          </w:p>
        </w:tc>
      </w:tr>
      <w:tr>
        <w:trPr/>
        <w:tc>
          <w:tcPr>
            <w:tcW w:w="6306" w:type="dxa"/>
            <w:vMerge w:val="continue"/>
            <w:tcBorders/>
          </w:tcPr>
          <w:p>
            <w:pPr>
              <w:pStyle w:val="Normal"/>
              <w:bidi w:val="0"/>
              <w:jc w:val="left"/>
              <w:rPr/>
            </w:pPr>
            <w:r>
              <w:rPr/>
            </w:r>
          </w:p>
        </w:tc>
        <w:tc>
          <w:tcPr>
            <w:tcW w:w="128"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left"/>
              <w:rPr/>
            </w:pPr>
            <w:r>
              <w:rPr/>
              <w:t>Düsseldorf</w:t>
            </w:r>
          </w:p>
        </w:tc>
        <w:tc>
          <w:tcPr>
            <w:tcW w:w="128" w:type="dxa"/>
            <w:tcBorders/>
            <w:vAlign w:val="bottom"/>
          </w:tcPr>
          <w:p>
            <w:pPr>
              <w:pStyle w:val="TableContents"/>
              <w:bidi w:val="0"/>
              <w:spacing w:before="0" w:after="283"/>
              <w:jc w:val="left"/>
              <w:rPr/>
            </w:pPr>
            <w:r>
              <w:rPr/>
              <w:t>  </w:t>
            </w:r>
          </w:p>
        </w:tc>
        <w:tc>
          <w:tcPr>
            <w:tcW w:w="2418" w:type="dxa"/>
            <w:tcBorders/>
          </w:tcPr>
          <w:p>
            <w:pPr>
              <w:pStyle w:val="TableContents"/>
              <w:bidi w:val="0"/>
              <w:spacing w:before="0" w:after="283"/>
              <w:jc w:val="left"/>
              <w:rPr/>
            </w:pPr>
            <w:r>
              <w:rPr/>
              <w:t>San Diego</w:t>
            </w:r>
          </w:p>
        </w:tc>
      </w:tr>
      <w:tr>
        <w:trPr/>
        <w:tc>
          <w:tcPr>
            <w:tcW w:w="6306" w:type="dxa"/>
            <w:vMerge w:val="continue"/>
            <w:tcBorders/>
          </w:tcPr>
          <w:p>
            <w:pPr>
              <w:pStyle w:val="Normal"/>
              <w:bidi w:val="0"/>
              <w:jc w:val="left"/>
              <w:rPr/>
            </w:pPr>
            <w:r>
              <w:rPr/>
            </w:r>
          </w:p>
        </w:tc>
        <w:tc>
          <w:tcPr>
            <w:tcW w:w="128"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left"/>
              <w:rPr/>
            </w:pPr>
            <w:r>
              <w:rPr/>
              <w:t>Frankfurt</w:t>
            </w:r>
          </w:p>
        </w:tc>
        <w:tc>
          <w:tcPr>
            <w:tcW w:w="128" w:type="dxa"/>
            <w:tcBorders/>
            <w:vAlign w:val="bottom"/>
          </w:tcPr>
          <w:p>
            <w:pPr>
              <w:pStyle w:val="TableContents"/>
              <w:bidi w:val="0"/>
              <w:spacing w:before="0" w:after="283"/>
              <w:jc w:val="left"/>
              <w:rPr/>
            </w:pPr>
            <w:r>
              <w:rPr/>
              <w:t>  </w:t>
            </w:r>
          </w:p>
        </w:tc>
        <w:tc>
          <w:tcPr>
            <w:tcW w:w="2418" w:type="dxa"/>
            <w:tcBorders/>
          </w:tcPr>
          <w:p>
            <w:pPr>
              <w:pStyle w:val="TableContents"/>
              <w:bidi w:val="0"/>
              <w:spacing w:before="0" w:after="283"/>
              <w:jc w:val="left"/>
              <w:rPr/>
            </w:pPr>
            <w:r>
              <w:rPr/>
              <w:t>San Francisco</w:t>
            </w:r>
          </w:p>
        </w:tc>
      </w:tr>
      <w:tr>
        <w:trPr/>
        <w:tc>
          <w:tcPr>
            <w:tcW w:w="6306" w:type="dxa"/>
            <w:vMerge w:val="continue"/>
            <w:tcBorders/>
          </w:tcPr>
          <w:p>
            <w:pPr>
              <w:pStyle w:val="Normal"/>
              <w:bidi w:val="0"/>
              <w:jc w:val="left"/>
              <w:rPr/>
            </w:pPr>
            <w:r>
              <w:rPr/>
            </w:r>
          </w:p>
        </w:tc>
        <w:tc>
          <w:tcPr>
            <w:tcW w:w="128"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left"/>
              <w:rPr/>
            </w:pPr>
            <w:r>
              <w:rPr/>
              <w:t>Hamburg</w:t>
            </w:r>
          </w:p>
        </w:tc>
        <w:tc>
          <w:tcPr>
            <w:tcW w:w="128" w:type="dxa"/>
            <w:tcBorders/>
            <w:vAlign w:val="bottom"/>
          </w:tcPr>
          <w:p>
            <w:pPr>
              <w:pStyle w:val="TableContents"/>
              <w:bidi w:val="0"/>
              <w:spacing w:before="0" w:after="283"/>
              <w:jc w:val="left"/>
              <w:rPr/>
            </w:pPr>
            <w:r>
              <w:rPr/>
              <w:t>  </w:t>
            </w:r>
          </w:p>
        </w:tc>
        <w:tc>
          <w:tcPr>
            <w:tcW w:w="2418" w:type="dxa"/>
            <w:tcBorders/>
          </w:tcPr>
          <w:p>
            <w:pPr>
              <w:pStyle w:val="TableContents"/>
              <w:bidi w:val="0"/>
              <w:spacing w:before="0" w:after="283"/>
              <w:jc w:val="left"/>
              <w:rPr/>
            </w:pPr>
            <w:r>
              <w:rPr/>
              <w:t>Seoul</w:t>
            </w:r>
          </w:p>
        </w:tc>
      </w:tr>
      <w:tr>
        <w:trPr/>
        <w:tc>
          <w:tcPr>
            <w:tcW w:w="6306" w:type="dxa"/>
            <w:vMerge w:val="continue"/>
            <w:tcBorders/>
          </w:tcPr>
          <w:p>
            <w:pPr>
              <w:pStyle w:val="Normal"/>
              <w:bidi w:val="0"/>
              <w:jc w:val="left"/>
              <w:rPr/>
            </w:pPr>
            <w:r>
              <w:rPr/>
            </w:r>
          </w:p>
        </w:tc>
        <w:tc>
          <w:tcPr>
            <w:tcW w:w="128"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left"/>
              <w:rPr/>
            </w:pPr>
            <w:r>
              <w:rPr/>
              <w:t>Hong Kong</w:t>
            </w:r>
          </w:p>
        </w:tc>
        <w:tc>
          <w:tcPr>
            <w:tcW w:w="128" w:type="dxa"/>
            <w:tcBorders/>
            <w:vAlign w:val="bottom"/>
          </w:tcPr>
          <w:p>
            <w:pPr>
              <w:pStyle w:val="TableContents"/>
              <w:bidi w:val="0"/>
              <w:spacing w:before="0" w:after="283"/>
              <w:jc w:val="left"/>
              <w:rPr/>
            </w:pPr>
            <w:r>
              <w:rPr/>
              <w:t>  </w:t>
            </w:r>
          </w:p>
        </w:tc>
        <w:tc>
          <w:tcPr>
            <w:tcW w:w="2418" w:type="dxa"/>
            <w:tcBorders/>
          </w:tcPr>
          <w:p>
            <w:pPr>
              <w:pStyle w:val="TableContents"/>
              <w:bidi w:val="0"/>
              <w:spacing w:before="0" w:after="283"/>
              <w:jc w:val="left"/>
              <w:rPr/>
            </w:pPr>
            <w:r>
              <w:rPr/>
              <w:t>Silicon Valley</w:t>
            </w:r>
          </w:p>
        </w:tc>
      </w:tr>
      <w:tr>
        <w:trPr/>
        <w:tc>
          <w:tcPr>
            <w:tcW w:w="6306" w:type="dxa"/>
            <w:vMerge w:val="continue"/>
            <w:tcBorders/>
          </w:tcPr>
          <w:p>
            <w:pPr>
              <w:pStyle w:val="Normal"/>
              <w:bidi w:val="0"/>
              <w:jc w:val="left"/>
              <w:rPr/>
            </w:pPr>
            <w:r>
              <w:rPr/>
            </w:r>
          </w:p>
        </w:tc>
        <w:tc>
          <w:tcPr>
            <w:tcW w:w="128"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left"/>
              <w:rPr/>
            </w:pPr>
            <w:r>
              <w:rPr/>
              <w:t>Houston</w:t>
            </w:r>
          </w:p>
        </w:tc>
        <w:tc>
          <w:tcPr>
            <w:tcW w:w="128" w:type="dxa"/>
            <w:tcBorders/>
            <w:vAlign w:val="bottom"/>
          </w:tcPr>
          <w:p>
            <w:pPr>
              <w:pStyle w:val="TableContents"/>
              <w:bidi w:val="0"/>
              <w:spacing w:before="0" w:after="283"/>
              <w:jc w:val="left"/>
              <w:rPr/>
            </w:pPr>
            <w:r>
              <w:rPr/>
              <w:t>  </w:t>
            </w:r>
          </w:p>
        </w:tc>
        <w:tc>
          <w:tcPr>
            <w:tcW w:w="2418" w:type="dxa"/>
            <w:tcBorders/>
          </w:tcPr>
          <w:p>
            <w:pPr>
              <w:pStyle w:val="TableContents"/>
              <w:bidi w:val="0"/>
              <w:spacing w:before="0" w:after="283"/>
              <w:jc w:val="left"/>
              <w:rPr/>
            </w:pPr>
            <w:r>
              <w:rPr/>
              <w:t>Singapore</w:t>
            </w:r>
          </w:p>
        </w:tc>
      </w:tr>
      <w:tr>
        <w:trPr/>
        <w:tc>
          <w:tcPr>
            <w:tcW w:w="6306" w:type="dxa"/>
            <w:vMerge w:val="continue"/>
            <w:tcBorders/>
          </w:tcPr>
          <w:p>
            <w:pPr>
              <w:pStyle w:val="Normal"/>
              <w:bidi w:val="0"/>
              <w:jc w:val="left"/>
              <w:rPr/>
            </w:pPr>
            <w:r>
              <w:rPr/>
            </w:r>
          </w:p>
        </w:tc>
        <w:tc>
          <w:tcPr>
            <w:tcW w:w="128"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left"/>
              <w:rPr/>
            </w:pPr>
            <w:r>
              <w:rPr/>
              <w:t>London</w:t>
            </w:r>
          </w:p>
        </w:tc>
        <w:tc>
          <w:tcPr>
            <w:tcW w:w="128" w:type="dxa"/>
            <w:tcBorders/>
            <w:vAlign w:val="bottom"/>
          </w:tcPr>
          <w:p>
            <w:pPr>
              <w:pStyle w:val="TableContents"/>
              <w:bidi w:val="0"/>
              <w:spacing w:before="0" w:after="283"/>
              <w:jc w:val="left"/>
              <w:rPr/>
            </w:pPr>
            <w:r>
              <w:rPr/>
              <w:t>  </w:t>
            </w:r>
          </w:p>
        </w:tc>
        <w:tc>
          <w:tcPr>
            <w:tcW w:w="2418" w:type="dxa"/>
            <w:tcBorders/>
          </w:tcPr>
          <w:p>
            <w:pPr>
              <w:pStyle w:val="TableContents"/>
              <w:bidi w:val="0"/>
              <w:spacing w:before="0" w:after="283"/>
              <w:jc w:val="left"/>
              <w:rPr/>
            </w:pPr>
            <w:r>
              <w:rPr/>
              <w:t>Tel Aviv</w:t>
            </w:r>
          </w:p>
        </w:tc>
      </w:tr>
      <w:tr>
        <w:trPr/>
        <w:tc>
          <w:tcPr>
            <w:tcW w:w="6306" w:type="dxa"/>
            <w:vMerge w:val="continue"/>
            <w:tcBorders/>
          </w:tcPr>
          <w:p>
            <w:pPr>
              <w:pStyle w:val="Normal"/>
              <w:bidi w:val="0"/>
              <w:jc w:val="left"/>
              <w:rPr/>
            </w:pPr>
            <w:r>
              <w:rPr/>
            </w:r>
          </w:p>
        </w:tc>
        <w:tc>
          <w:tcPr>
            <w:tcW w:w="128"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left"/>
              <w:rPr/>
            </w:pPr>
            <w:r>
              <w:rPr/>
              <w:t>Los Angeles</w:t>
            </w:r>
          </w:p>
        </w:tc>
        <w:tc>
          <w:tcPr>
            <w:tcW w:w="128" w:type="dxa"/>
            <w:tcBorders/>
            <w:vAlign w:val="bottom"/>
          </w:tcPr>
          <w:p>
            <w:pPr>
              <w:pStyle w:val="TableContents"/>
              <w:bidi w:val="0"/>
              <w:spacing w:before="0" w:after="283"/>
              <w:jc w:val="left"/>
              <w:rPr/>
            </w:pPr>
            <w:r>
              <w:rPr/>
              <w:t>  </w:t>
            </w:r>
          </w:p>
        </w:tc>
        <w:tc>
          <w:tcPr>
            <w:tcW w:w="2418" w:type="dxa"/>
            <w:tcBorders/>
          </w:tcPr>
          <w:p>
            <w:pPr>
              <w:pStyle w:val="TableContents"/>
              <w:bidi w:val="0"/>
              <w:spacing w:before="0" w:after="283"/>
              <w:jc w:val="left"/>
              <w:rPr/>
            </w:pPr>
            <w:r>
              <w:rPr/>
              <w:t>Tokyo</w:t>
            </w:r>
          </w:p>
        </w:tc>
      </w:tr>
      <w:tr>
        <w:trPr/>
        <w:tc>
          <w:tcPr>
            <w:tcW w:w="6306" w:type="dxa"/>
            <w:vMerge w:val="continue"/>
            <w:tcBorders/>
          </w:tcPr>
          <w:p>
            <w:pPr>
              <w:pStyle w:val="Normal"/>
              <w:bidi w:val="0"/>
              <w:jc w:val="left"/>
              <w:rPr/>
            </w:pPr>
            <w:r>
              <w:rPr/>
            </w:r>
          </w:p>
        </w:tc>
        <w:tc>
          <w:tcPr>
            <w:tcW w:w="128"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left"/>
              <w:rPr/>
            </w:pPr>
            <w:r>
              <w:rPr/>
              <w:t>Madrid</w:t>
            </w:r>
          </w:p>
        </w:tc>
        <w:tc>
          <w:tcPr>
            <w:tcW w:w="128" w:type="dxa"/>
            <w:tcBorders/>
            <w:vAlign w:val="bottom"/>
          </w:tcPr>
          <w:p>
            <w:pPr>
              <w:pStyle w:val="TableContents"/>
              <w:bidi w:val="0"/>
              <w:spacing w:before="0" w:after="283"/>
              <w:jc w:val="left"/>
              <w:rPr/>
            </w:pPr>
            <w:r>
              <w:rPr/>
              <w:t>  </w:t>
            </w:r>
          </w:p>
        </w:tc>
        <w:tc>
          <w:tcPr>
            <w:tcW w:w="2418" w:type="dxa"/>
            <w:tcBorders/>
          </w:tcPr>
          <w:p>
            <w:pPr>
              <w:pStyle w:val="TableContents"/>
              <w:bidi w:val="0"/>
              <w:spacing w:before="0" w:after="283"/>
              <w:jc w:val="left"/>
              <w:rPr/>
            </w:pPr>
            <w:r>
              <w:rPr/>
              <w:t>Washington, D.C.</w:t>
            </w:r>
          </w:p>
        </w:tc>
      </w:tr>
    </w:tbl>
    <w:p>
      <w:pPr>
        <w:pStyle w:val="TextBody"/>
        <w:bidi w:val="0"/>
        <w:spacing w:before="240" w:after="0"/>
        <w:jc w:val="left"/>
        <w:rPr>
          <w:rFonts w:ascii="Times New Roman" w:hAnsi="Times New Roman"/>
          <w:sz w:val="20"/>
        </w:rPr>
      </w:pPr>
      <w:r>
        <w:rPr>
          <w:rFonts w:ascii="Times New Roman" w:hAnsi="Times New Roman"/>
          <w:sz w:val="20"/>
        </w:rPr>
        <w:t xml:space="preserve">Ouster, Inc. </w:t>
      </w:r>
    </w:p>
    <w:p>
      <w:pPr>
        <w:pStyle w:val="TextBody"/>
        <w:bidi w:val="0"/>
        <w:spacing w:before="0" w:after="0"/>
        <w:jc w:val="left"/>
        <w:rPr>
          <w:rFonts w:ascii="Times New Roman" w:hAnsi="Times New Roman"/>
          <w:sz w:val="20"/>
        </w:rPr>
      </w:pPr>
      <w:r>
        <w:rPr>
          <w:rFonts w:ascii="Times New Roman" w:hAnsi="Times New Roman"/>
          <w:sz w:val="20"/>
        </w:rPr>
        <w:t xml:space="preserve">350 Treat Avenue </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94110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S-3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addressees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Ouster, Inc., a Delaware corporation (the “</w:t>
      </w:r>
      <w:r>
        <w:rPr>
          <w:rFonts w:ascii="Times New Roman" w:hAnsi="Times New Roman"/>
          <w:b/>
          <w:i/>
          <w:sz w:val="20"/>
        </w:rPr>
        <w:t>Company</w:t>
      </w:r>
      <w:r>
        <w:rPr>
          <w:rFonts w:ascii="Times New Roman" w:hAnsi="Times New Roman"/>
          <w:sz w:val="20"/>
        </w:rPr>
        <w:t>”), in connection with its filing on the date hereof with the Securities and Exchange Commission (the “</w:t>
      </w:r>
      <w:r>
        <w:rPr>
          <w:rFonts w:ascii="Times New Roman" w:hAnsi="Times New Roman"/>
          <w:b/>
          <w:i/>
          <w:sz w:val="20"/>
        </w:rPr>
        <w:t>Commission</w:t>
      </w:r>
      <w:r>
        <w:rPr>
          <w:rFonts w:ascii="Times New Roman" w:hAnsi="Times New Roman"/>
          <w:sz w:val="20"/>
        </w:rPr>
        <w:t>”) of a registration statement on Form S-3 (as amended, the “</w:t>
      </w:r>
      <w:r>
        <w:rPr>
          <w:rFonts w:ascii="Times New Roman" w:hAnsi="Times New Roman"/>
          <w:b/>
          <w:i/>
          <w:sz w:val="20"/>
        </w:rPr>
        <w:t>Registration Statement</w:t>
      </w:r>
      <w:r>
        <w:rPr>
          <w:rFonts w:ascii="Times New Roman" w:hAnsi="Times New Roman"/>
          <w:sz w:val="20"/>
        </w:rPr>
        <w:t>”), including a base prospectus (the “</w:t>
      </w:r>
      <w:r>
        <w:rPr>
          <w:rFonts w:ascii="Times New Roman" w:hAnsi="Times New Roman"/>
          <w:b/>
          <w:i/>
          <w:sz w:val="20"/>
        </w:rPr>
        <w:t>Base Prospectus</w:t>
      </w:r>
      <w:r>
        <w:rPr>
          <w:rFonts w:ascii="Times New Roman" w:hAnsi="Times New Roman"/>
          <w:sz w:val="20"/>
        </w:rPr>
        <w:t>”), which provides that it will be supplemented by one or more prospectus supplements (each such prospectus supplement, together with the Base Prospectus, a “</w:t>
      </w:r>
      <w:r>
        <w:rPr>
          <w:rFonts w:ascii="Times New Roman" w:hAnsi="Times New Roman"/>
          <w:b/>
          <w:i/>
          <w:sz w:val="20"/>
        </w:rPr>
        <w:t>Prospectus</w:t>
      </w:r>
      <w:r>
        <w:rPr>
          <w:rFonts w:ascii="Times New Roman" w:hAnsi="Times New Roman"/>
          <w:sz w:val="20"/>
        </w:rPr>
        <w:t>”), under the Securities Act of 1933, as amended (the “</w:t>
      </w:r>
      <w:r>
        <w:rPr>
          <w:rFonts w:ascii="Times New Roman" w:hAnsi="Times New Roman"/>
          <w:b/>
          <w:i/>
          <w:sz w:val="20"/>
        </w:rPr>
        <w:t>Act</w:t>
      </w:r>
      <w:r>
        <w:rPr>
          <w:rFonts w:ascii="Times New Roman" w:hAnsi="Times New Roman"/>
          <w:sz w:val="20"/>
        </w:rPr>
        <w:t>”), relating to the registration for issue and sale by the Company of (i) shares of the Company’s common stock, $0.0001 par value per share (“</w:t>
      </w:r>
      <w:r>
        <w:rPr>
          <w:rFonts w:ascii="Times New Roman" w:hAnsi="Times New Roman"/>
          <w:b/>
          <w:i/>
          <w:sz w:val="20"/>
        </w:rPr>
        <w:t>Common Stock</w:t>
      </w:r>
      <w:r>
        <w:rPr>
          <w:rFonts w:ascii="Times New Roman" w:hAnsi="Times New Roman"/>
          <w:sz w:val="20"/>
        </w:rPr>
        <w:t>”), (ii) shares of one or more series of the Company’s preferred stock, $0.0001 par value per share (“</w:t>
      </w:r>
      <w:r>
        <w:rPr>
          <w:rFonts w:ascii="Times New Roman" w:hAnsi="Times New Roman"/>
          <w:b/>
          <w:i/>
          <w:sz w:val="20"/>
        </w:rPr>
        <w:t>Preferred Stock</w:t>
      </w:r>
      <w:r>
        <w:rPr>
          <w:rFonts w:ascii="Times New Roman" w:hAnsi="Times New Roman"/>
          <w:sz w:val="20"/>
        </w:rPr>
        <w:t>”), (iii) one or more series of the Company’s debt securities (collectively, “</w:t>
      </w:r>
      <w:r>
        <w:rPr>
          <w:rFonts w:ascii="Times New Roman" w:hAnsi="Times New Roman"/>
          <w:b/>
          <w:i/>
          <w:sz w:val="20"/>
        </w:rPr>
        <w:t>Debt Securities</w:t>
      </w:r>
      <w:r>
        <w:rPr>
          <w:rFonts w:ascii="Times New Roman" w:hAnsi="Times New Roman"/>
          <w:sz w:val="20"/>
        </w:rPr>
        <w:t>”) to be issued under an indenture to be entered into between the Company, as issuer, and a third party to be identified therein, as trustee (a form of which is included as Exhibit 4.2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Times New Roman" w:hAnsi="Times New Roman"/>
          <w:b/>
          <w:i/>
          <w:sz w:val="20"/>
        </w:rPr>
        <w:t>Applicable Indenture</w:t>
      </w:r>
      <w:r>
        <w:rPr>
          <w:rFonts w:ascii="Times New Roman" w:hAnsi="Times New Roman"/>
          <w:sz w:val="20"/>
        </w:rPr>
        <w:t>”), (iv) depositary shares (“</w:t>
      </w:r>
      <w:r>
        <w:rPr>
          <w:rFonts w:ascii="Times New Roman" w:hAnsi="Times New Roman"/>
          <w:b/>
          <w:i/>
          <w:sz w:val="20"/>
        </w:rPr>
        <w:t>Depositary Shares</w:t>
      </w:r>
      <w:r>
        <w:rPr>
          <w:rFonts w:ascii="Times New Roman" w:hAnsi="Times New Roman"/>
          <w:sz w:val="20"/>
        </w:rPr>
        <w:t>”), (v) warrants (“</w:t>
      </w:r>
      <w:r>
        <w:rPr>
          <w:rFonts w:ascii="Times New Roman" w:hAnsi="Times New Roman"/>
          <w:b/>
          <w:i/>
          <w:sz w:val="20"/>
        </w:rPr>
        <w:t>Warrants</w:t>
      </w:r>
      <w:r>
        <w:rPr>
          <w:rFonts w:ascii="Times New Roman" w:hAnsi="Times New Roman"/>
          <w:sz w:val="20"/>
        </w:rPr>
        <w:t>”), (vi) purchase contracts (“</w:t>
      </w:r>
      <w:r>
        <w:rPr>
          <w:rFonts w:ascii="Times New Roman" w:hAnsi="Times New Roman"/>
          <w:b/>
          <w:i/>
          <w:sz w:val="20"/>
        </w:rPr>
        <w:t>Purchase Contracts</w:t>
      </w:r>
      <w:r>
        <w:rPr>
          <w:rFonts w:ascii="Times New Roman" w:hAnsi="Times New Roman"/>
          <w:sz w:val="20"/>
        </w:rPr>
        <w:t>”), and (vii) units (“</w:t>
      </w:r>
      <w:r>
        <w:rPr>
          <w:rFonts w:ascii="Times New Roman" w:hAnsi="Times New Roman"/>
          <w:b/>
          <w:i/>
          <w:sz w:val="20"/>
        </w:rPr>
        <w:t>Units</w:t>
      </w:r>
      <w:r>
        <w:rPr>
          <w:rFonts w:ascii="Times New Roman" w:hAnsi="Times New Roman"/>
          <w:sz w:val="20"/>
        </w:rPr>
        <w:t>”). The Common Stock, Preferred Stock, Debt Securities, Depositary Shares, Warrants, Purchase Contracts, and Units are referred to herein collectively as the “</w:t>
      </w:r>
      <w:r>
        <w:rPr>
          <w:rFonts w:ascii="Times New Roman" w:hAnsi="Times New Roman"/>
          <w:b/>
          <w:i/>
          <w:sz w:val="20"/>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July</w:t>
      </w:r>
      <w:r>
        <w:rPr>
          <w:rFonts w:ascii="Times New Roman" w:hAnsi="Times New Roman"/>
          <w:sz w:val="20"/>
        </w:rPr>
        <w:t xml:space="preserve"> </w:t>
      </w:r>
      <w:r>
        <w:rPr>
          <w:rFonts w:ascii="Times New Roman" w:hAnsi="Times New Roman"/>
          <w:b/>
          <w:sz w:val="20"/>
        </w:rPr>
        <w:t>1, 2026</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b/>
          <w:sz w:val="20"/>
        </w:rPr>
        <w:t>Page 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drawing>
          <wp:inline distT="0" distB="0" distL="0" distR="0">
            <wp:extent cx="1666875"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1666875" cy="2667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hAnsi="Times New Roman"/>
          <w:b/>
          <w:i/>
          <w:sz w:val="20"/>
        </w:rPr>
        <w:t>DGCL</w:t>
      </w:r>
      <w:r>
        <w:rPr>
          <w:rFonts w:ascii="Times New Roman" w:hAnsi="Times New Roman"/>
          <w:sz w:val="20"/>
        </w:rPr>
        <w:t xml:space="preserve">”), and with respect to the opinions set forth in paragraphs 3 through 7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Company’s certificate of incorporation (the “</w:t>
            </w:r>
            <w:r>
              <w:rPr>
                <w:rFonts w:ascii="Times New Roman" w:hAnsi="Times New Roman"/>
                <w:b/>
                <w:i/>
                <w:sz w:val="20"/>
              </w:rPr>
              <w:t>Certificate of Incorporation</w:t>
            </w:r>
            <w:r>
              <w:rPr>
                <w:rFonts w:ascii="Times New Roman" w:hAnsi="Times New Roman"/>
                <w:sz w:val="20"/>
              </w:rPr>
              <w:t>”), and (b) authorized by the board of directors of the Company (the “</w:t>
            </w:r>
            <w:r>
              <w:rPr>
                <w:rFonts w:ascii="Times New Roman" w:hAnsi="Times New Roman"/>
                <w:b/>
                <w:i/>
                <w:sz w:val="20"/>
              </w:rPr>
              <w:t>Board of Directors</w:t>
            </w:r>
            <w:r>
              <w:rPr>
                <w:rFonts w:ascii="Times New Roman" w:hAnsi="Times New Roman"/>
                <w:sz w:val="20"/>
              </w:rPr>
              <w:t xml:space="preserve">”)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 series of Preferred Stock has been duly established in accordance with the terms of the Certificate of Incorporation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applicable deposit agreement has been duly authorized, executed and delivered by all necessary corporate action of the Company, and when the specific terms of a particular issuance of Depositary Shares have been duly established in accordance with the terms of the applicable deposit agreement and authorized by all necessary corporate action of the Company, and such Depositary Shares have been duly executed, authenticated, issued and delivered against payment therefor in accordance with the terms of the applicable deposit agreement and in the manner contemplated by the applicable Prospectus and by such corporate action (assuming the underlying securities have been validly issued and deposited with the depositary), such Depositary Shares will be the legally valid and binding obligations of the Company, enforceable against the Company in accordance with their terms.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July</w:t>
      </w:r>
      <w:r>
        <w:rPr>
          <w:rFonts w:ascii="Times New Roman" w:hAnsi="Times New Roman"/>
          <w:sz w:val="20"/>
        </w:rPr>
        <w:t xml:space="preserve"> </w:t>
      </w:r>
      <w:r>
        <w:rPr>
          <w:rFonts w:ascii="Times New Roman" w:hAnsi="Times New Roman"/>
          <w:b/>
          <w:sz w:val="20"/>
        </w:rPr>
        <w:t>1, 2026</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b/>
          <w:sz w:val="20"/>
        </w:rPr>
        <w:t>Page 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drawing>
          <wp:inline distT="0" distB="0" distL="0" distR="0">
            <wp:extent cx="1666875"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5"/>
                    <a:stretch>
                      <a:fillRect/>
                    </a:stretch>
                  </pic:blipFill>
                  <pic:spPr bwMode="auto">
                    <a:xfrm>
                      <a:off x="0" y="0"/>
                      <a:ext cx="1666875" cy="2667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applicable purchase contract agreement has been duly authorized, executed and delivered by all necessary corporate action of the Company, and when the specific terms of a particular issue of Purchase Contracts have been duly authorized in accordance with the terms of the applicable purchase contract agreement and authorized by all necessary corporate action of the Company, and such Purchase Contracts have been duly executed, authenticated, issued and delivered against payment therefor in accordance with the terms of the applicable purchase contract agreement and in the manner contemplated by the applicable Prospectus and by such corporate action (assuming the securities issuable under such Purchase Contracts have been duly authorized and reserved for issuance by all necessary corporate action), such Purchase Contracts will be the legally valid and binding obligations of the Company, enforceable against the Company in accordance with their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7.</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 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July</w:t>
      </w:r>
      <w:r>
        <w:rPr>
          <w:rFonts w:ascii="Times New Roman" w:hAnsi="Times New Roman"/>
          <w:sz w:val="20"/>
        </w:rPr>
        <w:t xml:space="preserve"> </w:t>
      </w:r>
      <w:r>
        <w:rPr>
          <w:rFonts w:ascii="Times New Roman" w:hAnsi="Times New Roman"/>
          <w:b/>
          <w:sz w:val="20"/>
        </w:rPr>
        <w:t>1, 2026</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b/>
          <w:sz w:val="20"/>
        </w:rPr>
        <w:t>Page 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drawing>
          <wp:inline distT="0" distB="0" distL="0" distR="0">
            <wp:extent cx="1666875" cy="266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6"/>
                    <a:stretch>
                      <a:fillRect/>
                    </a:stretch>
                  </pic:blipFill>
                  <pic:spPr bwMode="auto">
                    <a:xfrm>
                      <a:off x="0" y="0"/>
                      <a:ext cx="1666875" cy="2667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 </w:t>
            </w:r>
          </w:p>
        </w:tc>
      </w:tr>
    </w:tbl>
    <w:p>
      <w:pPr>
        <w:pStyle w:val="TextBody"/>
        <w:bidi w:val="0"/>
        <w:spacing w:before="240" w:after="0"/>
        <w:jc w:val="left"/>
        <w:rPr>
          <w:rFonts w:ascii="Times New Roman" w:hAnsi="Times New Roman"/>
          <w:sz w:val="20"/>
        </w:rPr>
      </w:pPr>
      <w:r>
        <w:rPr>
          <w:rFonts w:ascii="Times New Roman" w:hAnsi="Times New Roman"/>
          <w:sz w:val="20"/>
        </w:rPr>
        <w:t>With your consent, we have assumed (a) that each of the Debt Securities, Depositary Shares, Warrants, Purchase Contracts, and Units and the Applicable Indenture, warrant agreements, purchase contract agreements, and unit agreements governing such Securities (collectively, the “</w:t>
      </w:r>
      <w:r>
        <w:rPr>
          <w:rFonts w:ascii="Times New Roman" w:hAnsi="Times New Roman"/>
          <w:b/>
          <w:i/>
          <w:sz w:val="20"/>
        </w:rPr>
        <w:t>Documents</w:t>
      </w:r>
      <w:r>
        <w:rPr>
          <w:rFonts w:ascii="Times New Roman" w:hAnsi="Times New Roman"/>
          <w:sz w:val="20"/>
        </w:rPr>
        <w:t xml:space="preserve">”)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each Prospectus under the heading “Legal Matters.”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Latham &amp; Watkins LLP</w:t>
            </w:r>
          </w:p>
        </w:tc>
      </w:tr>
    </w:tbl>
    <w:p>
      <w:pPr>
        <w:pStyle w:val="TextBody"/>
        <w:bidi w:val="0"/>
        <w:spacing w:before="0" w:after="0"/>
        <w:jc w:val="right"/>
        <w:rPr>
          <w:rFonts w:ascii="Times New Roman" w:hAnsi="Times New Roman"/>
          <w:b/>
          <w:sz w:val="20"/>
        </w:rPr>
      </w:pPr>
      <w:bookmarkStart w:id="21" w:name="d160029dex232.htm"/>
      <w:bookmarkStart w:id="22" w:name="ksd160029dex232"/>
      <w:bookmarkEnd w:id="21"/>
      <w:bookmarkEnd w:id="22"/>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Ouster Inc. of our report dated March 2, 2026, relating to the financial statements, which appears in Ouster Inc.’s Annual Report on Form 10-K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San Jose, California </w:t>
      </w:r>
    </w:p>
    <w:p>
      <w:pPr>
        <w:pStyle w:val="TextBody"/>
        <w:bidi w:val="0"/>
        <w:spacing w:before="0" w:after="0"/>
        <w:jc w:val="left"/>
        <w:rPr>
          <w:rFonts w:ascii="Times New Roman" w:hAnsi="Times New Roman"/>
          <w:sz w:val="20"/>
        </w:rPr>
      </w:pPr>
      <w:r>
        <w:rPr>
          <w:rFonts w:ascii="Times New Roman" w:hAnsi="Times New Roman"/>
          <w:sz w:val="20"/>
        </w:rPr>
        <w:t xml:space="preserve">July 1, 2026 </w:t>
      </w:r>
    </w:p>
    <w:p>
      <w:pPr>
        <w:pStyle w:val="Normal"/>
        <w:bidi w:val="0"/>
        <w:spacing w:before="0" w:after="0"/>
        <w:jc w:val="left"/>
        <w:rPr>
          <w:sz w:val="4"/>
          <w:szCs w:val="4"/>
        </w:rPr>
      </w:pPr>
      <w:r>
        <w:rPr>
          <w:sz w:val="4"/>
          <w:szCs w:val="4"/>
        </w:rPr>
      </w:r>
      <w:bookmarkStart w:id="23" w:name="d160029dexfilingfees.htm"/>
      <w:bookmarkStart w:id="24" w:name="ksd160029dexfilingfees"/>
      <w:bookmarkStart w:id="25" w:name="d160029dexfilingfees.htm"/>
      <w:bookmarkStart w:id="26" w:name="ksd160029dexfilingfees"/>
      <w:bookmarkEnd w:id="25"/>
      <w:bookmarkEnd w:id="26"/>
      <w:r>
        <w:br w:type="page"/>
      </w:r>
    </w:p>
    <w:tbl>
      <w:tblPr>
        <w:tblW w:w="3548" w:type="dxa"/>
        <w:jc w:val="left"/>
        <w:tblInd w:w="0" w:type="dxa"/>
        <w:tblLayout w:type="fixed"/>
        <w:tblCellMar>
          <w:top w:w="28" w:type="dxa"/>
          <w:left w:w="28" w:type="dxa"/>
          <w:bottom w:w="28" w:type="dxa"/>
          <w:right w:w="28" w:type="dxa"/>
        </w:tblCellMar>
      </w:tblPr>
      <w:tblGrid>
        <w:gridCol w:w="3394"/>
        <w:gridCol w:w="154"/>
      </w:tblGrid>
      <w:tr>
        <w:trPr/>
        <w:tc>
          <w:tcPr>
            <w:tcW w:w="354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94" w:type="dxa"/>
            <w:tcBorders/>
            <w:vAlign w:val="center"/>
          </w:tcPr>
          <w:p>
            <w:pPr>
              <w:pStyle w:val="TableContents"/>
              <w:bidi w:val="0"/>
              <w:spacing w:before="0" w:after="283"/>
              <w:jc w:val="left"/>
              <w:rPr>
                <w:b/>
              </w:rPr>
            </w:pPr>
            <w:r>
              <w:rPr>
                <w:b/>
              </w:rPr>
              <w:t xml:space="preserve">Ouster,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074" w:type="dxa"/>
        <w:jc w:val="left"/>
        <w:tblInd w:w="0" w:type="dxa"/>
        <w:tblLayout w:type="fixed"/>
        <w:tblCellMar>
          <w:top w:w="28" w:type="dxa"/>
          <w:left w:w="28" w:type="dxa"/>
          <w:bottom w:w="28" w:type="dxa"/>
          <w:right w:w="28" w:type="dxa"/>
        </w:tblCellMar>
      </w:tblPr>
      <w:tblGrid>
        <w:gridCol w:w="1126"/>
        <w:gridCol w:w="226"/>
        <w:gridCol w:w="946"/>
        <w:gridCol w:w="114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4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07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Preferred Stock, $0.0001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14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Purchase Contracts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07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27" w:name="MaxAggtOfferingPrice"/>
            <w:bookmarkEnd w:id="27"/>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8" w:name="TotalFee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PreviouslyPaid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TotalOffset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NetFeeAmt"/>
            <w:bookmarkEnd w:id="3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7"/>
        <w:gridCol w:w="8709"/>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1.a. An unspecified number of securities or aggregate principal amount, as applicable, is being registered as may from time to time be offered at unspecified prices and, in addition, an unspecified number of securities is being registered as may be issued from time to time upon conversion of or exchange for any preferred stock or debt securities that provide for conversion or exchange, upon exercise of warrants, or pursuant to any anti-dilution adjustments with respect to any such securities.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1.b. Includes rights to acquire common stock or preferred stock under any shareholder rights plan then in effect, if applicable under the terms of any such plan. 1.c.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1.d. In accordance with Rules 456(b) and 457(r) under the Securities Act, the registrant is deferring payment of the entire registration fee.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See notes 1.a., 1.b., 1.c. and 1.d. above.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6" w:type="dxa"/>
            <w:gridSpan w:val="2"/>
            <w:tcBorders/>
            <w:vAlign w:val="center"/>
          </w:tcPr>
          <w:p>
            <w:pPr>
              <w:pStyle w:val="TableContents"/>
              <w:bidi w:val="0"/>
              <w:spacing w:before="0" w:after="283"/>
              <w:jc w:val="left"/>
              <w:rPr/>
            </w:pPr>
            <w:r>
              <w:rPr/>
              <w:t xml:space="preserve">See notes 1.a.,1.c. and 1.d. above.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6" w:type="dxa"/>
            <w:gridSpan w:val="2"/>
            <w:tcBorders/>
            <w:vAlign w:val="center"/>
          </w:tcPr>
          <w:p>
            <w:pPr>
              <w:pStyle w:val="TableContents"/>
              <w:bidi w:val="0"/>
              <w:spacing w:before="0" w:after="283"/>
              <w:jc w:val="left"/>
              <w:rPr/>
            </w:pPr>
            <w:r>
              <w:rPr/>
              <w:t xml:space="preserve">See notes 1.a.,1.c. and 1.d. above.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6" w:type="dxa"/>
            <w:gridSpan w:val="2"/>
            <w:tcBorders/>
            <w:vAlign w:val="center"/>
          </w:tcPr>
          <w:p>
            <w:pPr>
              <w:pStyle w:val="TableContents"/>
              <w:bidi w:val="0"/>
              <w:spacing w:before="0" w:after="283"/>
              <w:jc w:val="left"/>
              <w:rPr/>
            </w:pPr>
            <w:r>
              <w:rPr/>
              <w:t xml:space="preserve">See notes 1.a.,1.c. and 1.d. above.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6" w:type="dxa"/>
            <w:gridSpan w:val="2"/>
            <w:tcBorders/>
            <w:vAlign w:val="center"/>
          </w:tcPr>
          <w:p>
            <w:pPr>
              <w:pStyle w:val="TableContents"/>
              <w:bidi w:val="0"/>
              <w:spacing w:before="0" w:after="283"/>
              <w:jc w:val="left"/>
              <w:rPr/>
            </w:pPr>
            <w:r>
              <w:rPr/>
              <w:t xml:space="preserve">See notes 1.a.,1.c. and 1.d. above.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10006" w:type="dxa"/>
            <w:gridSpan w:val="2"/>
            <w:tcBorders/>
            <w:vAlign w:val="center"/>
          </w:tcPr>
          <w:p>
            <w:pPr>
              <w:pStyle w:val="TableContents"/>
              <w:bidi w:val="0"/>
              <w:spacing w:before="0" w:after="283"/>
              <w:jc w:val="left"/>
              <w:rPr/>
            </w:pPr>
            <w:r>
              <w:rPr/>
              <w:t xml:space="preserve">See notes 1.a.,1.c. and 1.d. above.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16581/000162828026013313/oust-20251231.htm" TargetMode="External"/><Relationship Id="rId4" Type="http://schemas.openxmlformats.org/officeDocument/2006/relationships/hyperlink" Target="http://www.sec.gov/Archives/edgar/data/../../../ix?doc=/Archives/edgar/data/1816581/000114036126017433/ny20066227x2_def14a.htm" TargetMode="External"/><Relationship Id="rId5" Type="http://schemas.openxmlformats.org/officeDocument/2006/relationships/hyperlink" Target="http://www.sec.gov/Archives/edgar/data/../../../ix?doc=/Archives/edgar/data/1816581/000162828026030722/oust-20260331.htm" TargetMode="External"/><Relationship Id="rId6" Type="http://schemas.openxmlformats.org/officeDocument/2006/relationships/hyperlink" Target="http://www.sec.gov/Archives/edgar/data/../../../ix?doc=/Archives/edgar/data/1816581/000119312526215081/d132439d8k.htm" TargetMode="External"/><Relationship Id="rId7" Type="http://schemas.openxmlformats.org/officeDocument/2006/relationships/hyperlink" Target="http://www.sec.gov/Archives/edgar/data/../../../ix?doc=/Archives/edgar/data/1816581/000119312526275810/d163903d8k.htm" TargetMode="External"/><Relationship Id="rId8" Type="http://schemas.openxmlformats.org/officeDocument/2006/relationships/hyperlink" Target="http://www.sec.gov/Archives/edgar/data/1816581/000119312524283129/d915146d8a12b.htm" TargetMode="External"/><Relationship Id="rId9" Type="http://schemas.openxmlformats.org/officeDocument/2006/relationships/hyperlink" Target="http://www.sec.gov/Archives/edgar/data/1816581/000119312521076326/d149743dex31.htm" TargetMode="External"/><Relationship Id="rId10" Type="http://schemas.openxmlformats.org/officeDocument/2006/relationships/hyperlink" Target="http://www.sec.gov/Archives/edgar/data/1816581/000119312523108331/d502108dex31.htm" TargetMode="External"/><Relationship Id="rId11" Type="http://schemas.openxmlformats.org/officeDocument/2006/relationships/hyperlink" Target="http://www.sec.gov/Archives/edgar/data/1816581/000119312526275810/d163903dex31.htm" TargetMode="External"/><Relationship Id="rId12" Type="http://schemas.openxmlformats.org/officeDocument/2006/relationships/hyperlink" Target="http://www.sec.gov/Archives/edgar/data/1816581/000119312524103286/d813445dex31.htm" TargetMode="External"/><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95</Pages>
  <Words>42790</Words>
  <Characters>220720</Characters>
  <CharactersWithSpaces>264264</CharactersWithSpaces>
  <Paragraphs>2799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