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4"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color w:val="auto"/>
        </w:rPr>
        <w:t>(Mark One)</w:t>
      </w:r>
    </w:p>
    <w:p>
      <w:pPr>
        <w:spacing w:after="0" w:line="31" w:lineRule="exact"/>
        <w:rPr>
          <w:sz w:val="24"/>
          <w:szCs w:val="24"/>
          <w:color w:val="auto"/>
        </w:rPr>
      </w:pPr>
    </w:p>
    <w:p>
      <w:pPr>
        <w:ind w:left="1760" w:hanging="686"/>
        <w:spacing w:after="0"/>
        <w:tabs>
          <w:tab w:leader="none" w:pos="17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September 30, 2024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74" w:lineRule="exact"/>
        <w:rPr>
          <w:sz w:val="24"/>
          <w:szCs w:val="24"/>
          <w:color w:val="auto"/>
        </w:rPr>
      </w:pPr>
    </w:p>
    <w:p>
      <w:pPr>
        <w:ind w:left="1760" w:hanging="686"/>
        <w:spacing w:after="0"/>
        <w:tabs>
          <w:tab w:leader="none" w:pos="17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ectPr>
          <w:pgSz w:w="11900" w:h="16838" w:orient="portrait"/>
          <w:cols w:equalWidth="0" w:num="1">
            <w:col w:w="11240"/>
          </w:cols>
          <w:pgMar w:left="320" w:top="1289" w:right="339" w:bottom="164" w:gutter="0" w:footer="0" w:header="0"/>
        </w:sectPr>
      </w:pPr>
    </w:p>
    <w:p>
      <w:pPr>
        <w:spacing w:after="0" w:line="35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For the transition period from</w:t>
      </w:r>
    </w:p>
    <w:p>
      <w:pPr>
        <w:spacing w:after="0" w:line="2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7"/>
          <w:szCs w:val="17"/>
          <w:color w:val="auto"/>
        </w:rPr>
        <w:t>Commission File Number: 001-39463</w:t>
      </w:r>
    </w:p>
    <w:p>
      <w:pPr>
        <w:spacing w:after="0" w:line="2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587" w:lineRule="exact"/>
        <w:rPr>
          <w:sz w:val="24"/>
          <w:szCs w:val="24"/>
          <w:color w:val="auto"/>
        </w:rPr>
      </w:pPr>
    </w:p>
    <w:p>
      <w:pPr>
        <w:sectPr>
          <w:pgSz w:w="11900" w:h="16838" w:orient="portrait"/>
          <w:cols w:equalWidth="0" w:num="2">
            <w:col w:w="7000" w:space="120"/>
            <w:col w:w="4120"/>
          </w:cols>
          <w:pgMar w:left="320" w:top="1289" w:right="339" w:bottom="164"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Ouster,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289" w:right="339" w:bottom="164" w:gutter="0" w:footer="0" w:header="0"/>
          <w:type w:val="continuous"/>
        </w:sectPr>
      </w:pPr>
    </w:p>
    <w:p>
      <w:pPr>
        <w:spacing w:after="0" w:line="17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86-2528989</w:t>
      </w:r>
    </w:p>
    <w:p>
      <w:pPr>
        <w:spacing w:after="0" w:line="63" w:lineRule="exact"/>
        <w:rPr>
          <w:sz w:val="24"/>
          <w:szCs w:val="24"/>
          <w:color w:val="auto"/>
        </w:rPr>
      </w:pPr>
    </w:p>
    <w:p>
      <w:pPr>
        <w:sectPr>
          <w:pgSz w:w="11900" w:h="16838" w:orient="portrait"/>
          <w:cols w:equalWidth="0" w:num="2">
            <w:col w:w="8220" w:space="720"/>
            <w:col w:w="2300"/>
          </w:cols>
          <w:pgMar w:left="320" w:top="1289" w:right="339" w:bottom="164" w:gutter="0" w:footer="0" w:header="0"/>
          <w:type w:val="continuous"/>
        </w:sectPr>
      </w:pPr>
    </w:p>
    <w:p>
      <w:pPr>
        <w:jc w:val="center"/>
        <w:ind w:right="426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31" w:lineRule="exact"/>
        <w:rPr>
          <w:sz w:val="24"/>
          <w:szCs w:val="24"/>
          <w:color w:val="auto"/>
        </w:rPr>
      </w:pPr>
    </w:p>
    <w:p>
      <w:pPr>
        <w:jc w:val="center"/>
        <w:ind w:right="4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119" w:lineRule="exact"/>
        <w:rPr>
          <w:sz w:val="24"/>
          <w:szCs w:val="24"/>
          <w:color w:val="auto"/>
        </w:rPr>
      </w:pPr>
    </w:p>
    <w:p>
      <w:pPr>
        <w:sectPr>
          <w:pgSz w:w="11900" w:h="16838" w:orient="portrait"/>
          <w:cols w:equalWidth="0" w:num="2">
            <w:col w:w="7960" w:space="720"/>
            <w:col w:w="2560"/>
          </w:cols>
          <w:pgMar w:left="320" w:top="1289" w:right="339" w:bottom="164"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Treat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949-0108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5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37"/>
        </w:trPr>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OUST</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0"/>
        </w:trPr>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 expiring 2026</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OUST WS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0"/>
        </w:trPr>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 expiring 2025</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OUST WSA</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 American</w:t>
            </w:r>
          </w:p>
        </w:tc>
      </w:tr>
    </w:tbl>
    <w:p>
      <w:pPr>
        <w:spacing w:after="0" w:line="238" w:lineRule="exact"/>
        <w:rPr>
          <w:sz w:val="24"/>
          <w:szCs w:val="24"/>
          <w:color w:val="auto"/>
        </w:rPr>
      </w:pPr>
    </w:p>
    <w:p>
      <w:pPr>
        <w:ind w:right="30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4580" w:val="left"/>
          <w:tab w:leader="none" w:pos="528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9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8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4, 2024, the registrant had 49,770,639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89" w:right="339" w:bottom="164"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80" w:type="dxa"/>
            <w:vAlign w:val="bottom"/>
            <w:gridSpan w:val="7"/>
          </w:tcPr>
          <w:p>
            <w:pPr>
              <w:ind w:left="1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gridSpan w:val="7"/>
            <w:vMerge w:val="restart"/>
          </w:tcPr>
          <w:p>
            <w:pPr>
              <w:ind w:left="17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5"/>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80" w:type="dxa"/>
            <w:vAlign w:val="bottom"/>
            <w:gridSpan w:val="7"/>
            <w:vMerge w:val="continue"/>
          </w:tcPr>
          <w:p>
            <w:pPr>
              <w:spacing w:after="0"/>
              <w:rPr>
                <w:sz w:val="19"/>
                <w:szCs w:val="19"/>
                <w:color w:val="auto"/>
              </w:rPr>
            </w:pP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tcPr>
          <w:p>
            <w:pPr>
              <w:spacing w:after="0"/>
              <w:rPr>
                <w:sz w:val="16"/>
                <w:szCs w:val="16"/>
                <w:color w:val="auto"/>
              </w:rPr>
            </w:pPr>
          </w:p>
        </w:tc>
        <w:tc>
          <w:tcPr>
            <w:tcW w:w="150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8"/>
              </w:rPr>
              <w:t>Financial Statements</w:t>
            </w:r>
          </w:p>
        </w:tc>
        <w:tc>
          <w:tcPr>
            <w:tcW w:w="4940" w:type="dxa"/>
            <w:vAlign w:val="bottom"/>
            <w:gridSpan w:val="8"/>
          </w:tcPr>
          <w:p>
            <w:pPr>
              <w:spacing w:after="0"/>
              <w:rPr>
                <w:sz w:val="16"/>
                <w:szCs w:val="16"/>
                <w:color w:val="auto"/>
              </w:rPr>
            </w:pPr>
          </w:p>
        </w:tc>
        <w:tc>
          <w:tcPr>
            <w:tcW w:w="38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2600" w:type="dxa"/>
            <w:vAlign w:val="bottom"/>
            <w:gridSpan w:val="6"/>
          </w:tcPr>
          <w:p>
            <w:pPr>
              <w:spacing w:after="0"/>
              <w:rPr>
                <w:sz w:val="19"/>
                <w:szCs w:val="19"/>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(Unaudited)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3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(Unaudited)</w:t>
            </w:r>
          </w:p>
        </w:tc>
        <w:tc>
          <w:tcPr>
            <w:tcW w:w="11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1820" w:type="dxa"/>
            <w:vAlign w:val="bottom"/>
            <w:gridSpan w:val="4"/>
          </w:tcPr>
          <w:p>
            <w:pPr>
              <w:spacing w:after="0"/>
              <w:rPr>
                <w:sz w:val="21"/>
                <w:szCs w:val="21"/>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1540" w:type="dxa"/>
            <w:vAlign w:val="bottom"/>
            <w:gridSpan w:val="3"/>
          </w:tcPr>
          <w:p>
            <w:pPr>
              <w:spacing w:after="0"/>
              <w:rPr>
                <w:sz w:val="21"/>
                <w:szCs w:val="21"/>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00" w:type="dxa"/>
            <w:vAlign w:val="bottom"/>
          </w:tcPr>
          <w:p>
            <w:pPr>
              <w:spacing w:after="0"/>
              <w:rPr>
                <w:sz w:val="21"/>
                <w:szCs w:val="21"/>
                <w:color w:val="auto"/>
              </w:rPr>
            </w:pPr>
          </w:p>
        </w:tc>
        <w:tc>
          <w:tcPr>
            <w:tcW w:w="6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00" w:type="dxa"/>
            <w:vAlign w:val="bottom"/>
          </w:tcPr>
          <w:p>
            <w:pPr>
              <w:spacing w:after="0"/>
              <w:rPr>
                <w:sz w:val="21"/>
                <w:szCs w:val="21"/>
                <w:color w:val="auto"/>
              </w:rPr>
            </w:pPr>
          </w:p>
        </w:tc>
        <w:tc>
          <w:tcPr>
            <w:tcW w:w="6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00" w:type="dxa"/>
            <w:vAlign w:val="bottom"/>
          </w:tcPr>
          <w:p>
            <w:pPr>
              <w:spacing w:after="0"/>
              <w:rPr>
                <w:sz w:val="21"/>
                <w:szCs w:val="21"/>
                <w:color w:val="auto"/>
              </w:rPr>
            </w:pPr>
          </w:p>
        </w:tc>
        <w:tc>
          <w:tcPr>
            <w:tcW w:w="17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tcBorders>
              <w:top w:val="single" w:sz="8" w:color="0000FF"/>
            </w:tcBorders>
            <w:gridSpan w:val="2"/>
          </w:tcPr>
          <w:p>
            <w:pPr>
              <w:spacing w:after="0"/>
              <w:rPr>
                <w:sz w:val="21"/>
                <w:szCs w:val="21"/>
                <w:color w:val="auto"/>
              </w:rPr>
            </w:pPr>
          </w:p>
        </w:tc>
        <w:tc>
          <w:tcPr>
            <w:tcW w:w="2100" w:type="dxa"/>
            <w:vAlign w:val="bottom"/>
            <w:gridSpan w:val="5"/>
          </w:tcPr>
          <w:p>
            <w:pPr>
              <w:spacing w:after="0"/>
              <w:rPr>
                <w:sz w:val="21"/>
                <w:szCs w:val="21"/>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8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240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6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160" w:type="dxa"/>
            <w:vAlign w:val="bottom"/>
            <w:gridSpan w:val="2"/>
          </w:tcPr>
          <w:p>
            <w:pPr>
              <w:spacing w:after="0"/>
              <w:rPr>
                <w:sz w:val="17"/>
                <w:szCs w:val="17"/>
                <w:color w:val="auto"/>
              </w:rPr>
            </w:pPr>
          </w:p>
        </w:tc>
        <w:tc>
          <w:tcPr>
            <w:tcW w:w="8020" w:type="dxa"/>
            <w:vAlign w:val="bottom"/>
            <w:gridSpan w:val="8"/>
          </w:tcPr>
          <w:p>
            <w:pPr>
              <w:ind w:left="120"/>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Risk Factors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Other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Exhibits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92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20" w:type="dxa"/>
            <w:vAlign w:val="bottom"/>
            <w:gridSpan w:val="8"/>
          </w:tcPr>
          <w:p>
            <w:pPr>
              <w:ind w:left="4760"/>
              <w:spacing w:after="0"/>
              <w:rPr>
                <w:sz w:val="20"/>
                <w:szCs w:val="20"/>
                <w:color w:val="auto"/>
              </w:rPr>
            </w:pPr>
            <w:r>
              <w:rPr>
                <w:rFonts w:ascii="Times New Roman" w:cs="Times New Roman" w:eastAsia="Times New Roman" w:hAnsi="Times New Roman"/>
                <w:sz w:val="18"/>
                <w:szCs w:val="18"/>
                <w:color w:val="auto"/>
              </w:rPr>
              <w:t>2</w:t>
            </w:r>
          </w:p>
        </w:tc>
        <w:tc>
          <w:tcPr>
            <w:tcW w:w="24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Quarterly Report on Form 10-Q (“Quarterly Report”) contains forward-looking statements within the meaning of the Private Securities Litigation Reform Act of 1995. Ouster, Inc. (the “Company”, “Ouster,” or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without limitation, statements regarding: expected contractual obligations and capital expenditures; the capabilities of and demand for Ouster’s products; Ouster’s anticipated new product launches and developments, including software-related solutions systems, and the timing for those launches and developments; Ouster’s ability to grow its sales and marketing organization; Ouster’s future results of operations, cash reserve and financial position; projected industry and business trends; the remediation of material weaknesses; potential risks of inventory obsolescence; Ouster’s future business strategy, plans, distribution partnerships, market growth and its objectives for future operations; Ouster’s competitive market position within its industry and the impact of market conditions and other macroeconomic factors on Ouster’s business, financial condition and results of operation, are forward-looking statements. The words “believe,” “may,” “will,” “estimate,” “continue,” “anticipate,” “intend,” “expect,” “could,” “would,” “project,” “plan,” “potentially,” “preliminary,” “likely,” “aim,” “forecast,” “should,” “can have,” “likely,” and similar expressions are intended to identify forward-looking statements. The Company has based these forward-looking statements largely on its current expectations and projections about future events and trends that it believes may affect its financial condition, results of operations, business strategy, short-term and long-term business operations and objectives, and financial needs. These forward-looking statements speak only as of the date of this Quarterly Report and are subject to a number of risks, uncertainties, and assumptions that may cause actual results to differ materially from those that Ouster expected, including, but not limited to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Ouster’s limited operating history and history of losses; its ability to successfully integrate its business with Velodyne and achieve the anticipated benefits and synergies of the Velodyne Merger; substantial research and development costs needed to develop and commercialize new products; fluctuations in its operating results; Ouster’s ability to maintain competitive average selling prices or high sales volumes or reduce product costs; conditions in its customers’ industries; the competitive environment in which Ouster operates; the negotiating power and product standards of its customers; the creditworthiness of Ouster’s customers; the ability of its lidar technology roadmap and new software solutions to catalyze growth; the selection of Ouster’s products for inclusion in target markets; risks of product delivery problems or defects; costs associated with product warranties; Ouster’s future capital needs and ability to secure additional capital on favorable terms or at all; inaccurate forecasts of market growth; Ouster’s ability to manage growth; Ouster’s ability to grow its sales and marketing organization; risks related to acquisitions; risks related to international operations and compliance; cancellation or postponement of contracts or unsuccessful implementations; Ouster’s ability to maintain inventory and the risk of inventory write-downs; its ability to use tax attributes; Ouster’s dependence on key third-party suppliers, in particular Benchmark Electronics, Inc. (“Benchmark”) and Fabrinet; and its supply chain constraints and challenges; risks related to Ouster’s indebtedness; Ouster’s ability to recruit and retain key personnel; Ouster’s ability to effectively respond to evolving regulations and standards; Ouster’s ability to adequately protect and enforce its intellectual property rights, including as it relates to Hesai; risks related to operating as a public company; and other important factors discussed in the Company’s Annual Report on Form 10-K for the fiscal year ended December 31, 2023, that are further updated from time to time in the Company’s other filings with the Securities and Exchange Commission (the “SEC”) that may cause its actual results, performance or achievements to differ materially and adversely from those expressed or implied by the forward-looking statements.</w:t>
      </w:r>
    </w:p>
    <w:p>
      <w:pPr>
        <w:spacing w:after="0" w:line="1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occur. Except as required by applicable law, we undertake no obligation to update any of these forward-looking statements for any reason after the date of this Quarterly Report or to conform these statements to actual results or revised expectations.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Unless the context otherwise indicates, references in this Quarterly Report to the terms “Ouster,” “the Company,” “we,” “our” and “us” refer to Ouster, Inc.</w:t>
      </w:r>
    </w:p>
    <w:p>
      <w:pPr>
        <w:spacing w:after="0" w:line="1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may announce material business and financial information to our investors using our investor relations website at https://investors.ouster.com/overview. We therefore encourage investors and others interested in Ouster to review the information that we make available on our website, in addition to following our SEC filings, webcasts, press releases and conference calls. Information contained on our website is not part of this Quarterly Report.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50,991</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current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139,158</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23,232</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34,647</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263,157</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18,561</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 non-current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255,226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330,743</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12,885</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81,692</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43,975</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83,477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151,071</w:t>
            </w: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at September 30, 2024 and December 31,</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2023; 49,542,659 and 43,257,863 issued and outstanding at September 30, 2024 and December 31, 2023,</w:t>
            </w: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995,464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(816,026)</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171,749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179,672</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255,226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330,743</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32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6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58,835</w:t>
            </w:r>
          </w:p>
        </w:tc>
      </w:tr>
      <w:tr>
        <w:trPr>
          <w:trHeight w:val="213"/>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55,932</w:t>
            </w:r>
          </w:p>
        </w:tc>
      </w:tr>
      <w:tr>
        <w:trPr>
          <w:trHeight w:val="21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r>
      <w:tr>
        <w:trPr>
          <w:trHeight w:val="21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75,584</w:t>
            </w:r>
          </w:p>
        </w:tc>
      </w:tr>
      <w:tr>
        <w:trPr>
          <w:trHeight w:val="213"/>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33,086</w:t>
            </w:r>
          </w:p>
        </w:tc>
      </w:tr>
      <w:tr>
        <w:trPr>
          <w:trHeight w:val="21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63,437</w:t>
            </w: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Goodwill impairment charges</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166,675</w:t>
            </w:r>
          </w:p>
        </w:tc>
      </w:tr>
      <w:tr>
        <w:trPr>
          <w:trHeight w:val="210"/>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105,856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338,782</w:t>
            </w:r>
          </w:p>
        </w:tc>
      </w:tr>
      <w:tr>
        <w:trPr>
          <w:trHeight w:val="20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(335,879)</w:t>
            </w:r>
          </w:p>
        </w:tc>
      </w:tr>
      <w:tr>
        <w:trPr>
          <w:trHeight w:val="21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6,459</w:t>
            </w:r>
          </w:p>
        </w:tc>
      </w:tr>
      <w:tr>
        <w:trPr>
          <w:trHeight w:val="21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(5,222)</w:t>
            </w:r>
          </w:p>
        </w:tc>
      </w:tr>
      <w:tr>
        <w:trPr>
          <w:trHeight w:val="213"/>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r>
      <w:tr>
        <w:trPr>
          <w:trHeight w:val="20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(334,766)</w:t>
            </w:r>
          </w:p>
        </w:tc>
      </w:tr>
      <w:tr>
        <w:trPr>
          <w:trHeight w:val="21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0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(35,102)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(73,308)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(335,115)</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3"/>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unrealized gain (loss) on available for sale securities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0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(24,957)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(35,252)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(73,644)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(335,346)</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used to compute basic and diluted net loss per share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47,684,363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39,228,118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45,287,763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35,670,408</w:t>
            </w:r>
          </w:p>
        </w:tc>
      </w:tr>
    </w:tbl>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1820" w:type="dxa"/>
            <w:vAlign w:val="bottom"/>
            <w:gridSpan w:val="4"/>
            <w:vMerge w:val="restart"/>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Accumulated other</w:t>
            </w:r>
          </w:p>
        </w:tc>
        <w:tc>
          <w:tcPr>
            <w:tcW w:w="140" w:type="dxa"/>
            <w:vAlign w:val="bottom"/>
          </w:tcPr>
          <w:p>
            <w:pPr>
              <w:spacing w:after="0"/>
              <w:rPr>
                <w:sz w:val="12"/>
                <w:szCs w:val="12"/>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7"/>
        </w:trPr>
        <w:tc>
          <w:tcPr>
            <w:tcW w:w="474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8"/>
                <w:szCs w:val="8"/>
                <w:color w:val="auto"/>
              </w:rPr>
            </w:pPr>
          </w:p>
        </w:tc>
        <w:tc>
          <w:tcPr>
            <w:tcW w:w="104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20" w:type="dxa"/>
            <w:vAlign w:val="bottom"/>
          </w:tcPr>
          <w:p>
            <w:pPr>
              <w:spacing w:after="0"/>
              <w:rPr>
                <w:sz w:val="8"/>
                <w:szCs w:val="8"/>
                <w:color w:val="auto"/>
              </w:rPr>
            </w:pPr>
          </w:p>
        </w:tc>
        <w:tc>
          <w:tcPr>
            <w:tcW w:w="1080" w:type="dxa"/>
            <w:vAlign w:val="bottom"/>
            <w:gridSpan w:val="2"/>
          </w:tcPr>
          <w:p>
            <w:pPr>
              <w:jc w:val="center"/>
              <w:ind w:right="200"/>
              <w:spacing w:after="0" w:line="102"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40" w:type="dxa"/>
            <w:vAlign w:val="bottom"/>
          </w:tcPr>
          <w:p>
            <w:pPr>
              <w:spacing w:after="0"/>
              <w:rPr>
                <w:sz w:val="8"/>
                <w:szCs w:val="8"/>
                <w:color w:val="auto"/>
              </w:rPr>
            </w:pPr>
          </w:p>
        </w:tc>
        <w:tc>
          <w:tcPr>
            <w:tcW w:w="980" w:type="dxa"/>
            <w:vAlign w:val="bottom"/>
          </w:tcPr>
          <w:p>
            <w:pPr>
              <w:jc w:val="center"/>
              <w:ind w:right="97"/>
              <w:spacing w:after="0" w:line="10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4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6"/>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December 31,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43,257,863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995,464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(816,026)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179,672</w:t>
            </w:r>
          </w:p>
        </w:tc>
        <w:tc>
          <w:tcPr>
            <w:tcW w:w="0" w:type="dxa"/>
            <w:vAlign w:val="bottom"/>
          </w:tcPr>
          <w:p>
            <w:pPr>
              <w:spacing w:after="0"/>
              <w:rPr>
                <w:sz w:val="1"/>
                <w:szCs w:val="1"/>
                <w:color w:val="auto"/>
              </w:rPr>
            </w:pP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81"/>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restricted stock awards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533,601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at-the-market offering, net of commissions and fees of $72</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343,571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2,331</w:t>
            </w:r>
          </w:p>
        </w:tc>
        <w:tc>
          <w:tcPr>
            <w:tcW w:w="0" w:type="dxa"/>
            <w:vAlign w:val="bottom"/>
          </w:tcPr>
          <w:p>
            <w:pPr>
              <w:spacing w:after="0"/>
              <w:rPr>
                <w:sz w:val="1"/>
                <w:szCs w:val="1"/>
                <w:color w:val="auto"/>
              </w:rPr>
            </w:pPr>
          </w:p>
        </w:tc>
      </w:tr>
      <w:tr>
        <w:trPr>
          <w:trHeight w:val="181"/>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in connection with Velodyne Merger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759,919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1"/>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Common stock warrants issuable to customer</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195"/>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9,404</w:t>
            </w:r>
          </w:p>
        </w:tc>
        <w:tc>
          <w:tcPr>
            <w:tcW w:w="0" w:type="dxa"/>
            <w:vAlign w:val="bottom"/>
          </w:tcPr>
          <w:p>
            <w:pPr>
              <w:spacing w:after="0"/>
              <w:rPr>
                <w:sz w:val="1"/>
                <w:szCs w:val="1"/>
                <w:color w:val="auto"/>
              </w:rPr>
            </w:pPr>
          </w:p>
        </w:tc>
      </w:tr>
      <w:tr>
        <w:trPr>
          <w:trHeight w:val="183"/>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(23,849)</w:t>
            </w:r>
          </w:p>
        </w:tc>
        <w:tc>
          <w:tcPr>
            <w:tcW w:w="0" w:type="dxa"/>
            <w:vAlign w:val="bottom"/>
          </w:tcPr>
          <w:p>
            <w:pPr>
              <w:spacing w:after="0"/>
              <w:rPr>
                <w:sz w:val="1"/>
                <w:szCs w:val="1"/>
                <w:color w:val="auto"/>
              </w:rPr>
            </w:pP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0" w:type="dxa"/>
            <w:vAlign w:val="bottom"/>
          </w:tcPr>
          <w:p>
            <w:pPr>
              <w:spacing w:after="0"/>
              <w:rPr>
                <w:sz w:val="1"/>
                <w:szCs w:val="1"/>
                <w:color w:val="auto"/>
              </w:rPr>
            </w:pPr>
          </w:p>
        </w:tc>
      </w:tr>
      <w:tr>
        <w:trPr>
          <w:trHeight w:val="175"/>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March 31, 2024</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44,978,704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1,007,502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(839,875)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167,232</w:t>
            </w:r>
          </w:p>
        </w:tc>
        <w:tc>
          <w:tcPr>
            <w:tcW w:w="0" w:type="dxa"/>
            <w:vAlign w:val="bottom"/>
          </w:tcPr>
          <w:p>
            <w:pPr>
              <w:spacing w:after="0"/>
              <w:rPr>
                <w:sz w:val="1"/>
                <w:szCs w:val="1"/>
                <w:color w:val="auto"/>
              </w:rPr>
            </w:pP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81"/>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at-the-market offering, net of commissions and fees of $492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1,489,300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15,774</w:t>
            </w:r>
          </w:p>
        </w:tc>
        <w:tc>
          <w:tcPr>
            <w:tcW w:w="0" w:type="dxa"/>
            <w:vAlign w:val="bottom"/>
          </w:tcPr>
          <w:p>
            <w:pPr>
              <w:spacing w:after="0"/>
              <w:rPr>
                <w:sz w:val="1"/>
                <w:szCs w:val="1"/>
                <w:color w:val="auto"/>
              </w:rPr>
            </w:pP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in connection with Velodyne Merger</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181,840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310,896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to employees under 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781</w:t>
            </w:r>
          </w:p>
        </w:tc>
        <w:tc>
          <w:tcPr>
            <w:tcW w:w="0" w:type="dxa"/>
            <w:vAlign w:val="bottom"/>
          </w:tcPr>
          <w:p>
            <w:pPr>
              <w:spacing w:after="0"/>
              <w:rPr>
                <w:sz w:val="1"/>
                <w:szCs w:val="1"/>
                <w:color w:val="auto"/>
              </w:rPr>
            </w:pPr>
          </w:p>
        </w:tc>
      </w:tr>
      <w:tr>
        <w:trPr>
          <w:trHeight w:val="181"/>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Common stock warrants issuable to customer</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293</w:t>
            </w:r>
          </w:p>
        </w:tc>
        <w:tc>
          <w:tcPr>
            <w:tcW w:w="0" w:type="dxa"/>
            <w:vAlign w:val="bottom"/>
          </w:tcPr>
          <w:p>
            <w:pPr>
              <w:spacing w:after="0"/>
              <w:rPr>
                <w:sz w:val="1"/>
                <w:szCs w:val="1"/>
                <w:color w:val="auto"/>
              </w:rPr>
            </w:pP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10,695</w:t>
            </w:r>
          </w:p>
        </w:tc>
        <w:tc>
          <w:tcPr>
            <w:tcW w:w="0" w:type="dxa"/>
            <w:vAlign w:val="bottom"/>
          </w:tcPr>
          <w:p>
            <w:pPr>
              <w:spacing w:after="0"/>
              <w:rPr>
                <w:sz w:val="1"/>
                <w:szCs w:val="1"/>
                <w:color w:val="auto"/>
              </w:rPr>
            </w:pPr>
          </w:p>
        </w:tc>
      </w:tr>
      <w:tr>
        <w:trPr>
          <w:trHeight w:val="181"/>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(23,869)</w:t>
            </w:r>
          </w:p>
        </w:tc>
        <w:tc>
          <w:tcPr>
            <w:tcW w:w="0" w:type="dxa"/>
            <w:vAlign w:val="bottom"/>
          </w:tcPr>
          <w:p>
            <w:pPr>
              <w:spacing w:after="0"/>
              <w:rPr>
                <w:sz w:val="1"/>
                <w:szCs w:val="1"/>
                <w:color w:val="auto"/>
              </w:rPr>
            </w:pP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0" w:type="dxa"/>
            <w:vAlign w:val="bottom"/>
          </w:tcPr>
          <w:p>
            <w:pPr>
              <w:spacing w:after="0"/>
              <w:rPr>
                <w:sz w:val="1"/>
                <w:szCs w:val="1"/>
                <w:color w:val="auto"/>
              </w:rPr>
            </w:pPr>
          </w:p>
        </w:tc>
      </w:tr>
      <w:tr>
        <w:trPr>
          <w:trHeight w:val="175"/>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June 30,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47,167,305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1,035,087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(863,744)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170,610</w:t>
            </w:r>
          </w:p>
        </w:tc>
        <w:tc>
          <w:tcPr>
            <w:tcW w:w="0" w:type="dxa"/>
            <w:vAlign w:val="bottom"/>
          </w:tcPr>
          <w:p>
            <w:pPr>
              <w:spacing w:after="0"/>
              <w:rPr>
                <w:sz w:val="1"/>
                <w:szCs w:val="1"/>
                <w:color w:val="auto"/>
              </w:rPr>
            </w:pPr>
          </w:p>
        </w:tc>
      </w:tr>
      <w:tr>
        <w:trPr>
          <w:trHeight w:val="163"/>
        </w:trPr>
        <w:tc>
          <w:tcPr>
            <w:tcW w:w="474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81"/>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at-the-market offering, net of commissions and fees of $551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1,649,310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14,183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14,185</w:t>
            </w:r>
          </w:p>
        </w:tc>
        <w:tc>
          <w:tcPr>
            <w:tcW w:w="0" w:type="dxa"/>
            <w:vAlign w:val="bottom"/>
          </w:tcPr>
          <w:p>
            <w:pPr>
              <w:spacing w:after="0"/>
              <w:rPr>
                <w:sz w:val="1"/>
                <w:szCs w:val="1"/>
                <w:color w:val="auto"/>
              </w:rPr>
            </w:pP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716,357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1"/>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Common stock warrants issuable to customer</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373</w:t>
            </w:r>
          </w:p>
        </w:tc>
        <w:tc>
          <w:tcPr>
            <w:tcW w:w="0" w:type="dxa"/>
            <w:vAlign w:val="bottom"/>
          </w:tcPr>
          <w:p>
            <w:pPr>
              <w:spacing w:after="0"/>
              <w:rPr>
                <w:sz w:val="1"/>
                <w:szCs w:val="1"/>
                <w:color w:val="auto"/>
              </w:rPr>
            </w:pP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11,519</w:t>
            </w:r>
          </w:p>
        </w:tc>
        <w:tc>
          <w:tcPr>
            <w:tcW w:w="0" w:type="dxa"/>
            <w:vAlign w:val="bottom"/>
          </w:tcPr>
          <w:p>
            <w:pPr>
              <w:spacing w:after="0"/>
              <w:rPr>
                <w:sz w:val="1"/>
                <w:szCs w:val="1"/>
                <w:color w:val="auto"/>
              </w:rPr>
            </w:pPr>
          </w:p>
        </w:tc>
      </w:tr>
      <w:tr>
        <w:trPr>
          <w:trHeight w:val="181"/>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(25,590)</w:t>
            </w:r>
          </w:p>
        </w:tc>
        <w:tc>
          <w:tcPr>
            <w:tcW w:w="0" w:type="dxa"/>
            <w:vAlign w:val="bottom"/>
          </w:tcPr>
          <w:p>
            <w:pPr>
              <w:spacing w:after="0"/>
              <w:rPr>
                <w:sz w:val="1"/>
                <w:szCs w:val="1"/>
                <w:color w:val="auto"/>
              </w:rPr>
            </w:pP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633</w:t>
            </w:r>
          </w:p>
        </w:tc>
        <w:tc>
          <w:tcPr>
            <w:tcW w:w="0" w:type="dxa"/>
            <w:vAlign w:val="bottom"/>
          </w:tcPr>
          <w:p>
            <w:pPr>
              <w:spacing w:after="0"/>
              <w:rPr>
                <w:sz w:val="1"/>
                <w:szCs w:val="1"/>
                <w:color w:val="auto"/>
              </w:rPr>
            </w:pPr>
          </w:p>
        </w:tc>
      </w:tr>
      <w:tr>
        <w:trPr>
          <w:trHeight w:val="194"/>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September 30,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49,542,659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1,061,180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(889,334)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171,749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760" w:type="dxa"/>
            <w:vAlign w:val="bottom"/>
            <w:gridSpan w:val="4"/>
            <w:vMerge w:val="restart"/>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120" w:type="dxa"/>
            <w:vAlign w:val="bottom"/>
          </w:tcPr>
          <w:p>
            <w:pPr>
              <w:spacing w:after="0"/>
              <w:rPr>
                <w:sz w:val="12"/>
                <w:szCs w:val="12"/>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7"/>
        </w:trPr>
        <w:tc>
          <w:tcPr>
            <w:tcW w:w="4640" w:type="dxa"/>
            <w:vAlign w:val="bottom"/>
          </w:tcPr>
          <w:p>
            <w:pPr>
              <w:spacing w:after="0"/>
              <w:rPr>
                <w:sz w:val="8"/>
                <w:szCs w:val="8"/>
                <w:color w:val="auto"/>
              </w:rPr>
            </w:pPr>
          </w:p>
        </w:tc>
        <w:tc>
          <w:tcPr>
            <w:tcW w:w="17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8"/>
                <w:szCs w:val="8"/>
                <w:color w:val="auto"/>
              </w:rPr>
            </w:pPr>
          </w:p>
        </w:tc>
        <w:tc>
          <w:tcPr>
            <w:tcW w:w="1040" w:type="dxa"/>
            <w:vAlign w:val="bottom"/>
            <w:gridSpan w:val="2"/>
          </w:tcPr>
          <w:p>
            <w:pPr>
              <w:ind w:left="6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20" w:type="dxa"/>
            <w:vAlign w:val="bottom"/>
          </w:tcPr>
          <w:p>
            <w:pPr>
              <w:spacing w:after="0"/>
              <w:rPr>
                <w:sz w:val="8"/>
                <w:szCs w:val="8"/>
                <w:color w:val="auto"/>
              </w:rPr>
            </w:pPr>
          </w:p>
        </w:tc>
        <w:tc>
          <w:tcPr>
            <w:tcW w:w="110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8"/>
                <w:szCs w:val="8"/>
                <w:color w:val="auto"/>
              </w:rPr>
            </w:pPr>
          </w:p>
        </w:tc>
        <w:tc>
          <w:tcPr>
            <w:tcW w:w="980" w:type="dxa"/>
            <w:vAlign w:val="bottom"/>
          </w:tcPr>
          <w:p>
            <w:pPr>
              <w:jc w:val="center"/>
              <w:ind w:right="57"/>
              <w:spacing w:after="0" w:line="10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3"/>
        </w:trPr>
        <w:tc>
          <w:tcPr>
            <w:tcW w:w="464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2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6"/>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December 31,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18,658,799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613,665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(441,916)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171,619</w:t>
            </w:r>
          </w:p>
        </w:tc>
        <w:tc>
          <w:tcPr>
            <w:tcW w:w="0" w:type="dxa"/>
            <w:vAlign w:val="bottom"/>
          </w:tcPr>
          <w:p>
            <w:pPr>
              <w:spacing w:after="0"/>
              <w:rPr>
                <w:sz w:val="1"/>
                <w:szCs w:val="1"/>
                <w:color w:val="auto"/>
              </w:rPr>
            </w:pPr>
          </w:p>
        </w:tc>
      </w:tr>
      <w:tr>
        <w:trPr>
          <w:trHeight w:val="170"/>
        </w:trPr>
        <w:tc>
          <w:tcPr>
            <w:tcW w:w="4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Velodyne Merger</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19,483,269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306,582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306,602</w:t>
            </w: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70"/>
        </w:trPr>
        <w:tc>
          <w:tcPr>
            <w:tcW w:w="4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568,675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4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21,780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21,780</w:t>
            </w: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70"/>
        </w:trPr>
        <w:tc>
          <w:tcPr>
            <w:tcW w:w="4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(177,280)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(177,280)</w:t>
            </w: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3"/>
        </w:trPr>
        <w:tc>
          <w:tcPr>
            <w:tcW w:w="46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 March 31, 2023</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38,716,997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942,072</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(619,196)</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322,736</w:t>
            </w:r>
          </w:p>
        </w:tc>
        <w:tc>
          <w:tcPr>
            <w:tcW w:w="0" w:type="dxa"/>
            <w:vAlign w:val="bottom"/>
          </w:tcPr>
          <w:p>
            <w:pPr>
              <w:spacing w:after="0"/>
              <w:rPr>
                <w:sz w:val="1"/>
                <w:szCs w:val="1"/>
                <w:color w:val="auto"/>
              </w:rPr>
            </w:pPr>
          </w:p>
        </w:tc>
      </w:tr>
      <w:tr>
        <w:trPr>
          <w:trHeight w:val="127"/>
        </w:trPr>
        <w:tc>
          <w:tcPr>
            <w:tcW w:w="464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Common Stock adjustment reflected as a result of the one-for-10 reverse stock split</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effectuated on April 6, 2023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4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385,865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4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to employees under employee stock purchase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Common stock warrants issuable to customer</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70"/>
        </w:trPr>
        <w:tc>
          <w:tcPr>
            <w:tcW w:w="4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16,466</w:t>
            </w:r>
          </w:p>
        </w:tc>
        <w:tc>
          <w:tcPr>
            <w:tcW w:w="0" w:type="dxa"/>
            <w:vAlign w:val="bottom"/>
          </w:tcPr>
          <w:p>
            <w:pPr>
              <w:spacing w:after="0"/>
              <w:rPr>
                <w:sz w:val="1"/>
                <w:szCs w:val="1"/>
                <w:color w:val="auto"/>
              </w:rPr>
            </w:pPr>
          </w:p>
        </w:tc>
      </w:tr>
      <w:tr>
        <w:trPr>
          <w:trHeight w:val="170"/>
        </w:trPr>
        <w:tc>
          <w:tcPr>
            <w:tcW w:w="4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(122,733)</w:t>
            </w: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63"/>
        </w:trPr>
        <w:tc>
          <w:tcPr>
            <w:tcW w:w="46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 June 30, 2023</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39,320,715</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959,111</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(741,929)</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216,991</w:t>
            </w:r>
          </w:p>
        </w:tc>
        <w:tc>
          <w:tcPr>
            <w:tcW w:w="0" w:type="dxa"/>
            <w:vAlign w:val="bottom"/>
          </w:tcPr>
          <w:p>
            <w:pPr>
              <w:spacing w:after="0"/>
              <w:rPr>
                <w:sz w:val="1"/>
                <w:szCs w:val="1"/>
                <w:color w:val="auto"/>
              </w:rPr>
            </w:pPr>
          </w:p>
        </w:tc>
      </w:tr>
      <w:tr>
        <w:trPr>
          <w:trHeight w:val="127"/>
        </w:trPr>
        <w:tc>
          <w:tcPr>
            <w:tcW w:w="464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Proceeds from at-the-market offering, net of commissions and fees of $122 and</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issuance costs of $329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802,832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3,616</w:t>
            </w:r>
          </w:p>
        </w:tc>
        <w:tc>
          <w:tcPr>
            <w:tcW w:w="0" w:type="dxa"/>
            <w:vAlign w:val="bottom"/>
          </w:tcPr>
          <w:p>
            <w:pPr>
              <w:spacing w:after="0"/>
              <w:rPr>
                <w:sz w:val="1"/>
                <w:szCs w:val="1"/>
                <w:color w:val="auto"/>
              </w:rPr>
            </w:pPr>
          </w:p>
        </w:tc>
      </w:tr>
      <w:tr>
        <w:trPr>
          <w:trHeight w:val="170"/>
        </w:trPr>
        <w:tc>
          <w:tcPr>
            <w:tcW w:w="4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exercise of restricted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454,944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4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Common stock warrants issuable to customer</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8,372</w:t>
            </w:r>
          </w:p>
        </w:tc>
        <w:tc>
          <w:tcPr>
            <w:tcW w:w="0" w:type="dxa"/>
            <w:vAlign w:val="bottom"/>
          </w:tcPr>
          <w:p>
            <w:pPr>
              <w:spacing w:after="0"/>
              <w:rPr>
                <w:sz w:val="1"/>
                <w:szCs w:val="1"/>
                <w:color w:val="auto"/>
              </w:rPr>
            </w:pPr>
          </w:p>
        </w:tc>
      </w:tr>
      <w:tr>
        <w:trPr>
          <w:trHeight w:val="170"/>
        </w:trPr>
        <w:tc>
          <w:tcPr>
            <w:tcW w:w="4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(35,102)</w:t>
            </w: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63"/>
        </w:trPr>
        <w:tc>
          <w:tcPr>
            <w:tcW w:w="46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 September 30,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40,626,201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971,419</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(777,031)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194,047</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5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(73,308)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(335,115)</w:t>
            </w:r>
          </w:p>
        </w:tc>
      </w:tr>
      <w:tr>
        <w:trPr>
          <w:trHeight w:val="219"/>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Goodwill impairment charges</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166,675</w:t>
            </w:r>
          </w:p>
        </w:tc>
      </w:tr>
      <w:tr>
        <w:trPr>
          <w:trHeight w:val="219"/>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14,290</w:t>
            </w:r>
          </w:p>
        </w:tc>
      </w:tr>
      <w:tr>
        <w:trPr>
          <w:trHeight w:val="21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Loss on write-off and disposal of property and equipment and right-of-use asset impairment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r>
      <w:tr>
        <w:trPr>
          <w:trHeight w:val="219"/>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1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46,618</w:t>
            </w:r>
          </w:p>
        </w:tc>
      </w:tr>
      <w:tr>
        <w:trPr>
          <w:trHeight w:val="219"/>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Reduction of revenue related to stock warrant issued to customer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1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 of right-of-use asset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w:t>
            </w:r>
          </w:p>
        </w:tc>
      </w:tr>
      <w:tr>
        <w:trPr>
          <w:trHeight w:val="219"/>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21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 and debt discount</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9"/>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Accretion or amortization on short-term investments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w:t>
            </w:r>
          </w:p>
        </w:tc>
      </w:tr>
      <w:tr>
        <w:trPr>
          <w:trHeight w:val="21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9"/>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Inventory write down</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8,223</w:t>
            </w:r>
          </w:p>
        </w:tc>
      </w:tr>
      <w:tr>
        <w:trPr>
          <w:trHeight w:val="21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Provision (recovery of) for doubtful accounts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w:t>
            </w:r>
          </w:p>
        </w:tc>
      </w:tr>
      <w:tr>
        <w:trPr>
          <w:trHeight w:val="219"/>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Realized gain on available for sale securities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5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w:t>
            </w:r>
          </w:p>
        </w:tc>
      </w:tr>
      <w:tr>
        <w:trPr>
          <w:trHeight w:val="213"/>
        </w:trPr>
        <w:tc>
          <w:tcPr>
            <w:tcW w:w="85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(4,474)</w:t>
            </w:r>
          </w:p>
        </w:tc>
      </w:tr>
      <w:tr>
        <w:trPr>
          <w:trHeight w:val="219"/>
        </w:trPr>
        <w:tc>
          <w:tcPr>
            <w:tcW w:w="85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13"/>
        </w:trPr>
        <w:tc>
          <w:tcPr>
            <w:tcW w:w="85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w:t>
            </w:r>
          </w:p>
        </w:tc>
      </w:tr>
      <w:tr>
        <w:trPr>
          <w:trHeight w:val="219"/>
        </w:trPr>
        <w:tc>
          <w:tcPr>
            <w:tcW w:w="85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(10,229)</w:t>
            </w:r>
          </w:p>
        </w:tc>
      </w:tr>
      <w:tr>
        <w:trPr>
          <w:trHeight w:val="213"/>
        </w:trPr>
        <w:tc>
          <w:tcPr>
            <w:tcW w:w="85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19"/>
        </w:trPr>
        <w:tc>
          <w:tcPr>
            <w:tcW w:w="85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w:t>
            </w:r>
          </w:p>
        </w:tc>
      </w:tr>
      <w:tr>
        <w:trPr>
          <w:trHeight w:val="207"/>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(31,133)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(113,703)</w:t>
            </w:r>
          </w:p>
        </w:tc>
      </w:tr>
      <w:tr>
        <w:trPr>
          <w:trHeight w:val="19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19"/>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w:t>
            </w:r>
          </w:p>
        </w:tc>
      </w:tr>
      <w:tr>
        <w:trPr>
          <w:trHeight w:val="213"/>
        </w:trPr>
        <w:tc>
          <w:tcPr>
            <w:tcW w:w="8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(82,021)</w:t>
            </w:r>
          </w:p>
        </w:tc>
      </w:tr>
      <w:tr>
        <w:trPr>
          <w:trHeight w:val="219"/>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115,481</w:t>
            </w:r>
          </w:p>
        </w:tc>
      </w:tr>
      <w:tr>
        <w:trPr>
          <w:trHeight w:val="213"/>
        </w:trPr>
        <w:tc>
          <w:tcPr>
            <w:tcW w:w="8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and cash equivalents acquired in the Velodyne Merger</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32,137</w:t>
            </w:r>
          </w:p>
        </w:tc>
      </w:tr>
      <w:tr>
        <w:trPr>
          <w:trHeight w:val="212"/>
        </w:trPr>
        <w:tc>
          <w:tcPr>
            <w:tcW w:w="8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63,524</w:t>
            </w:r>
          </w:p>
        </w:tc>
      </w:tr>
      <w:tr>
        <w:trPr>
          <w:trHeight w:val="194"/>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8"/>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ESPP purchase</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13"/>
        </w:trPr>
        <w:tc>
          <w:tcPr>
            <w:tcW w:w="8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9"/>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 of borrowings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the issuance of common stock under at-the-market offering, net of commissions and fees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w:t>
            </w:r>
          </w:p>
        </w:tc>
      </w:tr>
      <w:tr>
        <w:trPr>
          <w:trHeight w:val="219"/>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At-the-market offering costs for the issuance of common stock</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7"/>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provided by financing activities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3,385</w:t>
            </w: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07"/>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(47,063)</w:t>
            </w:r>
          </w:p>
        </w:tc>
      </w:tr>
      <w:tr>
        <w:trPr>
          <w:trHeight w:val="21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124,278</w:t>
            </w:r>
          </w:p>
        </w:tc>
      </w:tr>
      <w:tr>
        <w:trPr>
          <w:trHeight w:val="207"/>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46,719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77,215</w:t>
            </w:r>
          </w:p>
        </w:tc>
      </w:tr>
      <w:tr>
        <w:trPr>
          <w:trHeight w:val="23"/>
        </w:trPr>
        <w:tc>
          <w:tcPr>
            <w:tcW w:w="8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OPERATING ACTIVITIES: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Cash paid for interest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2,073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4,362</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1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INFORMATION:</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 accrued 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100" w:type="dxa"/>
            <w:vAlign w:val="bottom"/>
            <w:vMerge w:val="continue"/>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shares issued in the Velodyne Merger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297,425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Common stock warrants issued in the Velodyne Merger</w:t>
            </w: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00" w:type="dxa"/>
            <w:vAlign w:val="bottom"/>
            <w:tcBorders>
              <w:top w:val="single" w:sz="8" w:color="CCEEFF"/>
            </w:tcBorders>
            <w:vMerge w:val="continue"/>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9,177</w:t>
            </w:r>
          </w:p>
        </w:tc>
        <w:tc>
          <w:tcPr>
            <w:tcW w:w="0" w:type="dxa"/>
            <w:vAlign w:val="bottom"/>
          </w:tcPr>
          <w:p>
            <w:pPr>
              <w:spacing w:after="0"/>
              <w:rPr>
                <w:sz w:val="1"/>
                <w:szCs w:val="1"/>
                <w:color w:val="auto"/>
              </w:rPr>
            </w:pPr>
          </w:p>
        </w:tc>
      </w:tr>
      <w:tr>
        <w:trPr>
          <w:trHeight w:val="23"/>
        </w:trPr>
        <w:tc>
          <w:tcPr>
            <w:tcW w:w="8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229"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Ouster, Inc. was incorporated in the Cayman Islands on June 4, 2020 as “Colonnade Acquisition Corp.” (“CLA”). Following the closing of the business combination in March 2021, the Company domesticated as a Delaware corporation and changed its name to “Ouster, Inc.” The Company’s prior operating subsidiary, Ouster Technologies, Inc. (“OTI” and prior to the Merger (as defined below)),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Merger (as defined below) and to Ouster, Inc. (formerly known as CLA) and its consolidated subsidiaries following the consummation of the Merger.</w:t>
      </w:r>
    </w:p>
    <w:p>
      <w:pPr>
        <w:spacing w:after="0" w:line="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CLA, the Company’s legal predecessor, was originally a blank check company incorporated as a Cayman Islands exempted company on June 4, 2020. CLA was formed for the purpose of effecting a merger, share exchange, asset acquisition, share purchase, reorganization or similar business combination with one or more businesses. On March 11, 2021, CLA consummated a merger (the “Merger”) with OTI pursuant to an Agreement and Plan of Merger (the “Merger Agreement”) dated as of December 21, 2020. As a result of the Merger, among a number of other things, (1)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(2)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10, 2023, the Company completed the merger with Velodyne Lidar, Inc., a Delaware corporation (“Velodyne”) pursuant to the terms of the Agreement and Plan of Merger (the “Velodyne Merger Agreement”) with Velodyne, Oban Merger Sub, Inc. (“Merger Sub I”) and Oban Merger Sub II LLC (“Merger Sub II”) (the “Velodyne Merger”) dated as of November 4, 2022, accounted for as a business combination with the Company being an accounting acquirer (Note 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(all of which are wholly owned) and have been prepared in conformity with U.S. generally accepted accounting principles (“U.S. GAAP”) applicable to interim periods. All intercompany balances and transactions have been eliminated in consolidation. The presentation of certain prior period amounts has been reclassified to conform with current period presentation.</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all adjustments (consisting of only normal recurring adjustments) necessary for a fair statement of the results of operations for the periods shown. The unaudited condensed consolidated financial statements should be read in conjunction with the Company’s audited consolidated financial statements as of and for the year ended December 31, 2023 and the notes related thereto, included in the Company’s Annual Report on Form 10-K filed with the Securities and Exchange Commission (“SEC”) on March 28, 2024. The year-end condensed balance sheet data was derived from audited financial statements, but does not include all disclosures required by U.S. GAAP. Certain information and note disclosures normally included in the audited financial statements prepared in accordance with U.S. GAAP have been condensed or omitted from this report, as is permitted by applicable rules and regulations. The results of operations for any interim period are not necessarily indicative of the results to be expected for the year ending December 31, 2024 or for any other future years or interim periods.</w:t>
      </w:r>
    </w:p>
    <w:p>
      <w:pPr>
        <w:spacing w:after="0" w:line="8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April 6, 2023, the Board of Directors approved a one-for-10 reverse stock split and a corresponding reduction in authorized shares of common stock (the “Reverse Stock Split”). On April 20, 2023, the Company filed with the Secretary of State of the State of Delaware a Certificate of Amendment to its Certificate of Incorporation to effect the one-for-10 Reverse Stock Split of the Company’s common stock and a corresponding reduction in authorized shares of common stock. The par value of the Company’s common stock was not adjusted as a result of the Reverse Stock Split. All share and per share amounts and related stockholders’ equity balances presented herein have been retroactively adjusted to reflect the Reverse Stock Split.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Company’s principal sources of liquidity are its cash and cash equivalents, short-term investments, cash generated from sales of the Company’s products, sales of common stock under its at-the-market equity offering program and debt financing.</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going concern basis. The Company has experienced recurring losses from operations, and negative cash flows from operations. As of September 30, 2024, the Company’s existing sources of liquidity included cash, cash equivalents, restricted cash and short-term investments of $153.8 million. The Company has incurred losses and negative cash flows from operations for several years. If the Company continues to incur losses in the future, it may need to improve liquidity and raise additional capital through the issuance of equity and/or debt. There can be no assurance that the Company would be able to raise such capital. However, management believes that the Company’s existing sources of liquidity are adequate to fund its operations for at least twelve months from the date the unaudited condensed consolidated financial statements were available for issuance.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there were no significant changes to the Company’s significant accounting policies as disclosed in the Company’s Annual Report on Form 10-K filed with the SEC on March 28, 2024. The Company has consistently applied the accounting policies to all periods presented in these unaudited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0" w:lineRule="exact"/>
        <w:rPr>
          <w:sz w:val="20"/>
          <w:szCs w:val="20"/>
          <w:color w:val="auto"/>
        </w:rPr>
      </w:pPr>
    </w:p>
    <w:p>
      <w:pPr>
        <w:jc w:val="both"/>
        <w:ind w:right="600"/>
        <w:spacing w:after="0" w:line="239"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 (“ASUs”). ASUs not referenced below were assessed and determined to be either not applicable or are not expected to have a material impact on the Company’s unaudited condensed consolidated financial statements.</w:t>
      </w:r>
    </w:p>
    <w:p>
      <w:pPr>
        <w:spacing w:after="0" w:line="14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(Topic 220): Disaggregation of Income Statement Expenses. This guidance requires additional disclosure of certain amounts included in the expense captions presented on the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in the process of assessing the impact the adoption of this guidance will have on the Company’s financial statement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cash equivalents, restricted cash, short-term investments</w:t>
      </w:r>
    </w:p>
    <w:p>
      <w:pPr>
        <w:spacing w:after="0" w:line="234" w:lineRule="auto"/>
        <w:rPr>
          <w:sz w:val="20"/>
          <w:szCs w:val="20"/>
          <w:color w:val="auto"/>
        </w:rPr>
      </w:pPr>
      <w:r>
        <w:rPr>
          <w:rFonts w:ascii="Times New Roman" w:cs="Times New Roman" w:eastAsia="Times New Roman" w:hAnsi="Times New Roman"/>
          <w:sz w:val="18"/>
          <w:szCs w:val="18"/>
          <w:color w:val="auto"/>
        </w:rPr>
        <w:t>and accounts receivable. Although the Company deposits its cash, cash equivalents, restricted cash and short-term investments with financial institutions</w:t>
      </w:r>
    </w:p>
    <w:p>
      <w:pPr>
        <w:spacing w:after="0" w:line="235" w:lineRule="auto"/>
        <w:rPr>
          <w:sz w:val="20"/>
          <w:szCs w:val="20"/>
          <w:color w:val="auto"/>
        </w:rPr>
      </w:pPr>
      <w:r>
        <w:rPr>
          <w:rFonts w:ascii="Times New Roman" w:cs="Times New Roman" w:eastAsia="Times New Roman" w:hAnsi="Times New Roman"/>
          <w:sz w:val="18"/>
          <w:szCs w:val="18"/>
          <w:color w:val="auto"/>
        </w:rPr>
        <w:t>that Company believes are of high credit quality, its deposits, at times, may exceed federally insured limits. As of September 30, 2024 and December 31,</w:t>
      </w:r>
    </w:p>
    <w:p>
      <w:pPr>
        <w:spacing w:after="0" w:line="219" w:lineRule="auto"/>
        <w:rPr>
          <w:sz w:val="20"/>
          <w:szCs w:val="20"/>
          <w:color w:val="auto"/>
        </w:rPr>
      </w:pPr>
      <w:r>
        <w:rPr>
          <w:rFonts w:ascii="Times New Roman" w:cs="Times New Roman" w:eastAsia="Times New Roman" w:hAnsi="Times New Roman"/>
          <w:sz w:val="18"/>
          <w:szCs w:val="18"/>
          <w:color w:val="auto"/>
        </w:rPr>
        <w:t>2023, the Company had cash, cash equivalents, short-term investments and restricted cash with financial institutions in the U.S. of $137.9 million and</w:t>
      </w:r>
    </w:p>
    <w:p>
      <w:pPr>
        <w:spacing w:after="0" w:line="235" w:lineRule="auto"/>
        <w:rPr>
          <w:sz w:val="20"/>
          <w:szCs w:val="20"/>
          <w:color w:val="auto"/>
        </w:rPr>
      </w:pPr>
      <w:r>
        <w:rPr>
          <w:rFonts w:ascii="Times New Roman" w:cs="Times New Roman" w:eastAsia="Times New Roman" w:hAnsi="Times New Roman"/>
          <w:sz w:val="18"/>
          <w:szCs w:val="18"/>
          <w:color w:val="auto"/>
        </w:rPr>
        <w:t>$184.8 million, respectively. As of September 30, 2024 and December 31, 2023, the Company also had cash with financial institutions in countries other</w:t>
      </w:r>
    </w:p>
    <w:p>
      <w:pPr>
        <w:spacing w:after="0"/>
        <w:rPr>
          <w:sz w:val="20"/>
          <w:szCs w:val="20"/>
          <w:color w:val="auto"/>
        </w:rPr>
      </w:pPr>
      <w:r>
        <w:rPr>
          <w:rFonts w:ascii="Times New Roman" w:cs="Times New Roman" w:eastAsia="Times New Roman" w:hAnsi="Times New Roman"/>
          <w:sz w:val="18"/>
          <w:szCs w:val="18"/>
          <w:color w:val="auto"/>
        </w:rPr>
        <w:t>than the U.S. of approximately $15.9 million and $7.0 million, respectively.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generally does not require collateral or other security deposits for accounts receivable.</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from the Company’s major customers representing 10% or more of total accounts receivable and unbilled receivable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the Company’s major customers representing 10% or more of total revenue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8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56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tcBorders>
              <w:top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r>
      <w:tr>
        <w:trPr>
          <w:trHeight w:val="229"/>
        </w:trPr>
        <w:tc>
          <w:tcPr>
            <w:tcW w:w="5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64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F</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G</w:t>
            </w: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92"/>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Customer accounted for less than 10% of total revenue in the period.</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Supplier Risk</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Purchases from the Company’s major suppliers representing 10% or more of total purchases were as follows: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7"/>
                <w:szCs w:val="17"/>
                <w:color w:val="auto"/>
              </w:rPr>
            </w:pPr>
          </w:p>
        </w:tc>
        <w:tc>
          <w:tcPr>
            <w:tcW w:w="266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50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r>
      <w:tr>
        <w:trPr>
          <w:trHeight w:val="23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to the Company’s major suppliers and professional services vendors representing 10% or more of total accounts payable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*Accounted for less than 10% of total accounts payable.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 and Related Transactions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February 10, 2023, the Company completed the Velodyne Merger. Velodyne shares ceased trading on the Nasdaq Stock Market LLC after market close on February 10, 2023, and each Velodyne share was exchanged for 0.8204 shares of the Company’s common stock. Velodyne is treated as the acquired company for financial reporting purposes. This determination is primarily based on the Company’s senior management prior to the Velodyne Merger comprising a majority of the senior management of the Company following the Velodyne Merger, the Company being the initiator of acquiring Velodyne and the Company being the party issuing shares in the Velodyne Merger. The acquisition price for the Velodyne Merger was $306.6 million, primarily consisting of fair value of the Company’s common stock issued in exchange for Velodyne shares and fair value of the Amazon Warrant (Note 7) of $8.6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Under the acquisition method of accounting in accordance with ASC 805, the total purchase price was allocated to identifiable tangible and intangible assets acquired and liabilities assumed based on their respective estimated fair values using management’s best estimates and assumptions to assign fair value as of the acquisition date. The purchase accounting, including the identification and allocation of consideration to assets acquired was completed as of the fourth quarter of 2023. The following table provides the assets acquired and liabilities assumed as of the date of acquisition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3"/>
        </w:trPr>
        <w:tc>
          <w:tcPr>
            <w:tcW w:w="584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consideration</w:t>
            </w:r>
          </w:p>
        </w:tc>
        <w:tc>
          <w:tcPr>
            <w:tcW w:w="3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of identifiable assets and liabilities assumed</w:t>
            </w:r>
          </w:p>
        </w:tc>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3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32,137</w:t>
            </w: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155,031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 non-current portion</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 non-current portion</w:t>
            </w:r>
          </w:p>
        </w:tc>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liabilities, non-current portion</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35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191,079</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115,523</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306,602</w:t>
            </w:r>
          </w:p>
        </w:tc>
        <w:tc>
          <w:tcPr>
            <w:tcW w:w="0" w:type="dxa"/>
            <w:vAlign w:val="bottom"/>
          </w:tcPr>
          <w:p>
            <w:pPr>
              <w:spacing w:after="0"/>
              <w:rPr>
                <w:sz w:val="1"/>
                <w:szCs w:val="1"/>
                <w:color w:val="auto"/>
              </w:rPr>
            </w:pPr>
          </w:p>
        </w:tc>
      </w:tr>
      <w:tr>
        <w:trPr>
          <w:trHeight w:val="21"/>
        </w:trPr>
        <w:tc>
          <w:tcPr>
            <w:tcW w:w="93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Identified intangible assets acquired and their estimated useful lives as of February 10, 2023, were (in thousands, except years):</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4"/>
                <w:szCs w:val="24"/>
                <w:color w:val="auto"/>
              </w:rPr>
            </w:pPr>
          </w:p>
        </w:tc>
        <w:tc>
          <w:tcPr>
            <w:tcW w:w="3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180" w:type="dxa"/>
            <w:vAlign w:val="bottom"/>
          </w:tcPr>
          <w:p>
            <w:pPr>
              <w:spacing w:after="0"/>
              <w:rPr>
                <w:sz w:val="24"/>
                <w:szCs w:val="24"/>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tcPr>
          <w:p>
            <w:pPr>
              <w:spacing w:after="0"/>
              <w:rPr>
                <w:sz w:val="21"/>
                <w:szCs w:val="21"/>
                <w:color w:val="auto"/>
              </w:rPr>
            </w:pPr>
          </w:p>
        </w:tc>
        <w:tc>
          <w:tcPr>
            <w:tcW w:w="3760" w:type="dxa"/>
            <w:vAlign w:val="bottom"/>
            <w:tcBorders>
              <w:bottom w:val="single" w:sz="8" w:color="CCEEFF"/>
            </w:tcBorders>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 – Hardware</w:t>
            </w:r>
          </w:p>
        </w:tc>
        <w:tc>
          <w:tcPr>
            <w:tcW w:w="3540" w:type="dxa"/>
            <w:vAlign w:val="bottom"/>
            <w:shd w:val="clear" w:color="auto" w:fill="CCEEFF"/>
          </w:tcPr>
          <w:p>
            <w:pPr>
              <w:jc w:val="center"/>
              <w:ind w:left="1930"/>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 – Software</w:t>
            </w:r>
          </w:p>
        </w:tc>
        <w:tc>
          <w:tcPr>
            <w:tcW w:w="354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540" w:type="dxa"/>
            <w:vAlign w:val="bottom"/>
            <w:shd w:val="clear" w:color="auto" w:fill="CCEEFF"/>
          </w:tcPr>
          <w:p>
            <w:pPr>
              <w:jc w:val="center"/>
              <w:ind w:left="1930"/>
              <w:spacing w:after="0"/>
              <w:rPr>
                <w:sz w:val="20"/>
                <w:szCs w:val="20"/>
                <w:color w:val="auto"/>
              </w:rPr>
            </w:pPr>
            <w:r>
              <w:rPr>
                <w:rFonts w:ascii="Times New Roman" w:cs="Times New Roman" w:eastAsia="Times New Roman" w:hAnsi="Times New Roman"/>
                <w:sz w:val="18"/>
                <w:szCs w:val="18"/>
                <w:color w:val="auto"/>
                <w:w w:val="88"/>
              </w:rPr>
              <w:t>8</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23"/>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54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Developed technology relates to Velodyne’s lidar sensors and BlueCity software used to monitor traffic networks and public spaces. The Company applied significant judgment in estimating the fair value of the developed technology, which involved significant assumptions related to the relief-from-royalty rate, the migration curve, the discount rate, and the economic life. The Company valued the hardware developed technology using the relief-from-royalty method under the income approach. Software developed technology was valued using the excess earnings method. The economic useful life was determined based on the technology cycle related to each developed technology, as well as the cash flows over the forecasted period.</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customer relationships was determined using the distributor method, which involved significant assumptions related to the distributions margin. The Company estimated customer relationships useful life of 8 years that approximates the pattern in which the economic benefits are expected to be realized.</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estimated fair value of the inventory was determined using the comparative sales method, which estimated the expected sales price of the product, reduced by all costs expected to be incurred to complete or dispose of the inventory, as well as a profit on the sale.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property and equipment utilized a replacement cost method incorporating the age, quality and condition of the assets.</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excess of the purchase consideration and the fair value of identifiable assets acquired and liabilities assumed at the acquisition date over the fair value of net tangible and identified intangible assets acquired was recorded as goodwill, which is not deductible for tax purposes. Goodwill is primarily attributable to the assembled workforce and the anticipated operational synergies at the time of the Velodyne Merger.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supplemental pro forma information below presents the combined historical results of operations of the Company and Velodyne as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Velodyne had been acquired as of January 1, 2022 (in thousands):</w:t>
      </w:r>
    </w:p>
    <w:p>
      <w:pPr>
        <w:sectPr>
          <w:pgSz w:w="11900" w:h="16838" w:orient="portrait"/>
          <w:cols w:equalWidth="0" w:num="1">
            <w:col w:w="11220"/>
          </w:cols>
          <w:pgMar w:left="320" w:top="229" w:right="359" w:bottom="1440" w:gutter="0" w:footer="0" w:header="0"/>
        </w:sectPr>
      </w:pPr>
    </w:p>
    <w:p>
      <w:pPr>
        <w:spacing w:after="0" w:line="277"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21590</wp:posOffset>
            </wp:positionV>
            <wp:extent cx="21170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6"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21590</wp:posOffset>
            </wp:positionV>
            <wp:extent cx="20231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28" w:lineRule="exact"/>
        <w:rPr>
          <w:sz w:val="20"/>
          <w:szCs w:val="20"/>
          <w:color w:val="auto"/>
        </w:rPr>
      </w:pPr>
    </w:p>
    <w:p>
      <w:pPr>
        <w:sectPr>
          <w:pgSz w:w="11900" w:h="16838" w:orient="portrait"/>
          <w:cols w:equalWidth="0" w:num="2">
            <w:col w:w="7680" w:space="720"/>
            <w:col w:w="2820"/>
          </w:cols>
          <w:pgMar w:left="320" w:top="229" w:right="35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22,209</w:t>
            </w:r>
          </w:p>
        </w:tc>
        <w:tc>
          <w:tcPr>
            <w:tcW w:w="100" w:type="dxa"/>
            <w:vAlign w:val="bottom"/>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58,835</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(35,102)</w:t>
            </w:r>
          </w:p>
        </w:tc>
        <w:tc>
          <w:tcPr>
            <w:tcW w:w="100" w:type="dxa"/>
            <w:vAlign w:val="bottom"/>
          </w:tcPr>
          <w:p>
            <w:pPr>
              <w:spacing w:after="0"/>
              <w:rPr>
                <w:sz w:val="20"/>
                <w:szCs w:val="20"/>
                <w:color w:val="auto"/>
              </w:rPr>
            </w:pPr>
          </w:p>
        </w:tc>
        <w:tc>
          <w:tcPr>
            <w:tcW w:w="134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(335,115)</w:t>
            </w:r>
          </w:p>
        </w:tc>
      </w:tr>
    </w:tbl>
    <w:p>
      <w:pPr>
        <w:spacing w:after="0" w:line="17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unaudited supplemental pro forma information above includes the following adjustments to net loss in the appropriate pro forma periods (in thousands):</w:t>
      </w:r>
    </w:p>
    <w:p>
      <w:pPr>
        <w:sectPr>
          <w:pgSz w:w="11900" w:h="16838" w:orient="portrait"/>
          <w:cols w:equalWidth="0" w:num="1">
            <w:col w:w="11220"/>
          </w:cols>
          <w:pgMar w:left="320" w:top="229" w:right="359" w:bottom="1440" w:gutter="0" w:footer="0" w:header="0"/>
          <w:type w:val="continuous"/>
        </w:sectPr>
      </w:pPr>
    </w:p>
    <w:p>
      <w:pPr>
        <w:spacing w:after="0" w:line="232"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21590</wp:posOffset>
            </wp:positionV>
            <wp:extent cx="2160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6"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21590</wp:posOffset>
            </wp:positionV>
            <wp:extent cx="2091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28" w:lineRule="exact"/>
        <w:rPr>
          <w:sz w:val="20"/>
          <w:szCs w:val="20"/>
          <w:color w:val="auto"/>
        </w:rPr>
      </w:pPr>
    </w:p>
    <w:p>
      <w:pPr>
        <w:sectPr>
          <w:pgSz w:w="11900" w:h="16838" w:orient="portrait"/>
          <w:cols w:equalWidth="0" w:num="2">
            <w:col w:w="7640" w:space="720"/>
            <w:col w:w="2860"/>
          </w:cols>
          <w:pgMar w:left="320" w:top="229" w:right="35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448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An increase in amortization expense related to the fair value of</w:t>
            </w:r>
          </w:p>
        </w:tc>
        <w:tc>
          <w:tcPr>
            <w:tcW w:w="1580" w:type="dxa"/>
            <w:vAlign w:val="bottom"/>
            <w:tcBorders>
              <w:top w:val="single" w:sz="8" w:color="auto"/>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vMerge w:val="restart"/>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acquired identifiable intangible assets, net of the amortization</w:t>
            </w:r>
          </w:p>
        </w:tc>
        <w:tc>
          <w:tcPr>
            <w:tcW w:w="1580" w:type="dxa"/>
            <w:vAlign w:val="bottom"/>
            <w:vMerge w:val="restart"/>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gridSpan w:val="2"/>
            <w:vMerge w:val="restart"/>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vMerge w:val="continue"/>
            <w:shd w:val="clear" w:color="auto" w:fill="CCEEFF"/>
          </w:tcPr>
          <w:p>
            <w:pPr>
              <w:spacing w:after="0"/>
              <w:rPr>
                <w:sz w:val="14"/>
                <w:szCs w:val="14"/>
                <w:color w:val="auto"/>
              </w:rPr>
            </w:pPr>
          </w:p>
        </w:tc>
        <w:tc>
          <w:tcPr>
            <w:tcW w:w="1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 already reflected in actual historical results</w:t>
            </w:r>
          </w:p>
        </w:tc>
        <w:tc>
          <w:tcPr>
            <w:tcW w:w="1580" w:type="dxa"/>
            <w:vAlign w:val="bottom"/>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 decrease in expenses related to the transaction expenses</w:t>
            </w:r>
          </w:p>
        </w:tc>
        <w:tc>
          <w:tcPr>
            <w:tcW w:w="1580" w:type="dxa"/>
            <w:vAlign w:val="bottom"/>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6,058</w:t>
            </w:r>
          </w:p>
        </w:tc>
        <w:tc>
          <w:tcPr>
            <w:tcW w:w="0" w:type="dxa"/>
            <w:vAlign w:val="bottom"/>
          </w:tcPr>
          <w:p>
            <w:pPr>
              <w:spacing w:after="0"/>
              <w:rPr>
                <w:sz w:val="1"/>
                <w:szCs w:val="1"/>
                <w:color w:val="auto"/>
              </w:rPr>
            </w:pPr>
          </w:p>
        </w:tc>
      </w:tr>
      <w:tr>
        <w:trPr>
          <w:trHeight w:val="165"/>
        </w:trPr>
        <w:tc>
          <w:tcPr>
            <w:tcW w:w="44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 net increase in revenue related to the impact of the acceleration</w:t>
            </w:r>
          </w:p>
        </w:tc>
        <w:tc>
          <w:tcPr>
            <w:tcW w:w="15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of the Amazon Warrant vesting recognized by Velodyne at the</w:t>
            </w:r>
          </w:p>
        </w:tc>
        <w:tc>
          <w:tcPr>
            <w:tcW w:w="1580" w:type="dxa"/>
            <w:vAlign w:val="bottom"/>
            <w:vMerge w:val="restart"/>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gridSpan w:val="2"/>
            <w:vMerge w:val="restart"/>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vMerge w:val="restart"/>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close of the Velodyne Merger transaction</w:t>
            </w:r>
          </w:p>
        </w:tc>
        <w:tc>
          <w:tcPr>
            <w:tcW w:w="1580" w:type="dxa"/>
            <w:vAlign w:val="bottom"/>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 decrease in expenses related to the impact of the acceleration of</w:t>
            </w:r>
          </w:p>
        </w:tc>
        <w:tc>
          <w:tcPr>
            <w:tcW w:w="1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the Amazon Warrant vesting recognized by Velodyne at the close</w:t>
            </w:r>
          </w:p>
        </w:tc>
        <w:tc>
          <w:tcPr>
            <w:tcW w:w="1580" w:type="dxa"/>
            <w:vAlign w:val="bottom"/>
            <w:vMerge w:val="restart"/>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vMerge w:val="restart"/>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26,704</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the Velodyne Merger transaction</w:t>
            </w:r>
          </w:p>
        </w:tc>
        <w:tc>
          <w:tcPr>
            <w:tcW w:w="1580" w:type="dxa"/>
            <w:vAlign w:val="bottom"/>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4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Represents decrease in additional stock-based compensation</w:t>
            </w:r>
          </w:p>
        </w:tc>
        <w:tc>
          <w:tcPr>
            <w:tcW w:w="15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expense related to Ouster employee terminations due to change in</w:t>
            </w:r>
          </w:p>
        </w:tc>
        <w:tc>
          <w:tcPr>
            <w:tcW w:w="1580" w:type="dxa"/>
            <w:vAlign w:val="bottom"/>
            <w:vMerge w:val="restart"/>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gridSpan w:val="2"/>
            <w:vMerge w:val="restart"/>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vMerge w:val="restart"/>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w:t>
            </w:r>
          </w:p>
        </w:tc>
        <w:tc>
          <w:tcPr>
            <w:tcW w:w="1580" w:type="dxa"/>
            <w:vAlign w:val="bottom"/>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Represents a decrease in severance expense in connection with the</w:t>
            </w:r>
          </w:p>
        </w:tc>
        <w:tc>
          <w:tcPr>
            <w:tcW w:w="1580" w:type="dxa"/>
            <w:vAlign w:val="bottom"/>
            <w:vMerge w:val="restart"/>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10,586</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Velodyne Merger transaction</w:t>
            </w:r>
          </w:p>
        </w:tc>
        <w:tc>
          <w:tcPr>
            <w:tcW w:w="1580" w:type="dxa"/>
            <w:vAlign w:val="bottom"/>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unaudited supplemental pro forma information has been presented for illustrative purposes only and is not necessarily indicative of results of operations that would have been achieved had the Velodyne Merger taken place on the date indicated, or of the Company’s future consolidated results of operations. The supplemental pro forma information presented above has been derived from the Company’s historical consolidated financial statements and from historical consolidated financial statements and the historical accounting records of Velodyne.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by level for the Company’s assets and liabilities that were measured at fair value on a recurring basis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0" w:type="dxa"/>
            <w:vAlign w:val="bottom"/>
          </w:tcPr>
          <w:p>
            <w:pPr>
              <w:spacing w:after="0"/>
              <w:rPr>
                <w:sz w:val="1"/>
                <w:szCs w:val="1"/>
                <w:color w:val="auto"/>
              </w:rPr>
            </w:pPr>
          </w:p>
        </w:tc>
      </w:tr>
      <w:tr>
        <w:trPr>
          <w:trHeight w:val="229"/>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53,832</w:t>
            </w:r>
          </w:p>
        </w:tc>
        <w:tc>
          <w:tcPr>
            <w:tcW w:w="0" w:type="dxa"/>
            <w:vAlign w:val="bottom"/>
          </w:tcPr>
          <w:p>
            <w:pPr>
              <w:spacing w:after="0"/>
              <w:rPr>
                <w:sz w:val="1"/>
                <w:szCs w:val="1"/>
                <w:color w:val="auto"/>
              </w:rPr>
            </w:pPr>
          </w:p>
        </w:tc>
      </w:tr>
      <w:tr>
        <w:trPr>
          <w:trHeight w:val="229"/>
        </w:trPr>
        <w:tc>
          <w:tcPr>
            <w:tcW w:w="5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Corporate debt and U.S. government agency securities</w:t>
            </w:r>
          </w:p>
        </w:tc>
        <w:tc>
          <w:tcPr>
            <w:tcW w:w="260" w:type="dxa"/>
            <w:vAlign w:val="bottom"/>
          </w:tcPr>
          <w:p>
            <w:pPr>
              <w:spacing w:after="0"/>
              <w:rPr>
                <w:sz w:val="19"/>
                <w:szCs w:val="19"/>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53,213</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107,045</w:t>
            </w:r>
          </w:p>
        </w:tc>
        <w:tc>
          <w:tcPr>
            <w:tcW w:w="0" w:type="dxa"/>
            <w:vAlign w:val="bottom"/>
          </w:tcPr>
          <w:p>
            <w:pPr>
              <w:spacing w:after="0"/>
              <w:rPr>
                <w:sz w:val="1"/>
                <w:szCs w:val="1"/>
                <w:color w:val="auto"/>
              </w:rPr>
            </w:pPr>
          </w:p>
        </w:tc>
      </w:tr>
      <w:tr>
        <w:trPr>
          <w:trHeight w:val="223"/>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107,045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124,088</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8"/>
        </w:trPr>
        <w:tc>
          <w:tcPr>
            <w:tcW w:w="57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0" w:type="dxa"/>
            <w:vAlign w:val="bottom"/>
          </w:tcPr>
          <w:p>
            <w:pPr>
              <w:spacing w:after="0"/>
              <w:rPr>
                <w:sz w:val="1"/>
                <w:szCs w:val="1"/>
                <w:color w:val="auto"/>
              </w:rPr>
            </w:pPr>
          </w:p>
        </w:tc>
      </w:tr>
      <w:tr>
        <w:trPr>
          <w:trHeight w:val="230"/>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80,620</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and U.S. government agency securities</w:t>
            </w:r>
          </w:p>
        </w:tc>
        <w:tc>
          <w:tcPr>
            <w:tcW w:w="26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58,538</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139,158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139,158</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financial assets</w:t>
            </w: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149,501</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Money market funds are included within Level 1 of the fair value hierarchy because they are valued using quoted market prices in active markets. Market valuations of our investments which are classified as Level 2 are provided by an independent third party. In accordance with the fair value hierarchy, the market valuation sources include observable market inputs and are therefore considered Level 2 inputs for purposes of determining the fair values.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Private Placement warrant liabilities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Note 7).</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Company’s Level 3 financial instruments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Private Placement</w:t>
            </w:r>
          </w:p>
        </w:tc>
      </w:tr>
      <w:tr>
        <w:trPr>
          <w:trHeight w:val="241"/>
        </w:trPr>
        <w:tc>
          <w:tcPr>
            <w:tcW w:w="9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Warrant Liability</w:t>
            </w:r>
          </w:p>
        </w:tc>
      </w:tr>
      <w:tr>
        <w:trPr>
          <w:trHeight w:val="22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9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 in the fair value included in other income, net</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September 30,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9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 in the fair value included in other income, net</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September 30,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certain assets, including intangible assets, which are measured at fair value on a non-recurring basis and are adjusted to fair value only if an impairment charge is recognized. The categorization of the framework used to measure fair value of the assets is considered to be within the Level 3 valuation hierarchy due to the subjective nature of the unobservable inputs used.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Fair Values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that are not re-measured at fair value include accounts receivable, accounts payable, accrued and other current liabilities. The carrying values of these financial instruments approximate their fair values. The Company acquired short-term investments consisting of commercial paper, corporate debt and U.S. government agency securities as a result of the merger with Velodyne that closed on February 10, 2023 (see Note 3). Unrealized gains and losses on the Company’s short-term investments were not significant as of September 30, 2024 and December 31, 2023, and therefore, the amortized cost of the Company’s short-term investments approximated its fair value.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cash and cash equivalents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40,648</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r>
      <w:tr>
        <w:trPr>
          <w:trHeight w:val="248"/>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20"/>
        <w:spacing w:after="0" w:line="229"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The Company maintains a cash sweep account, which is included in money market funds as of September 30, 2024 and December 31, 2023. Cash is invested in short-term money market funds that earn interest.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Restricted cash consists of collateral to merchant credit card, performance guarantee issued in favor of a customer, and certificates of deposit held by a bank as security for outstanding letters of credit. The Company had a restricted cash balance of $2.3 million and $1.6 million as of September 30, 2024 and December 31, 2023, respectively, which has been excluded from the Company’s cash and cash equivalents balances. The Company presented $0.4 million and $0.6 million of the total amount of restricted cash within current assets on the unaudited condensed consolidated balance sheets as of September 30, 2024 and December 31, 2023, respectively. The remaining restricted cash balance of $1.9 million and $1.1 million is included in non-current assets on the condensed consolidated balance sheets as of September 30, 2024 and December 31, 2023,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unaudited condensed consolidated balance sheets to the amounts reported in the unaudited condensed consolidated statements of cash flows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75,585</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77,215</w:t>
            </w:r>
          </w:p>
        </w:tc>
      </w:tr>
      <w:tr>
        <w:trPr>
          <w:trHeight w:val="21"/>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consisting of material, direct and indirect labor, and manufacturing overhead, consists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13,095</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inventory</w:t>
            </w:r>
          </w:p>
        </w:tc>
        <w:tc>
          <w:tcPr>
            <w:tcW w:w="32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23,232</w:t>
            </w:r>
          </w:p>
        </w:tc>
        <w:tc>
          <w:tcPr>
            <w:tcW w:w="0" w:type="dxa"/>
            <w:vAlign w:val="bottom"/>
          </w:tcPr>
          <w:p>
            <w:pPr>
              <w:spacing w:after="0"/>
              <w:rPr>
                <w:sz w:val="1"/>
                <w:szCs w:val="1"/>
                <w:color w:val="auto"/>
              </w:rPr>
            </w:pPr>
          </w:p>
        </w:tc>
      </w:tr>
      <w:tr>
        <w:trPr>
          <w:trHeight w:val="21"/>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020" w:type="dxa"/>
            <w:vAlign w:val="bottom"/>
            <w:vMerge w:val="continue"/>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0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CCEEFF"/>
            </w:tcBorders>
          </w:tcPr>
          <w:p>
            <w:pPr>
              <w:spacing w:after="0"/>
              <w:rPr>
                <w:sz w:val="16"/>
                <w:szCs w:val="16"/>
                <w:color w:val="auto"/>
              </w:rPr>
            </w:pPr>
          </w:p>
        </w:tc>
        <w:tc>
          <w:tcPr>
            <w:tcW w:w="3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contract manufacturer</w:t>
            </w:r>
          </w:p>
        </w:tc>
        <w:tc>
          <w:tcPr>
            <w:tcW w:w="3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receivable</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2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34,647</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insurance receivable was settled in the three months ended September 30, 2024 (see Note 8).</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2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0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20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CCEEFF"/>
            </w:tcBorders>
          </w:tcPr>
          <w:p>
            <w:pPr>
              <w:spacing w:after="0"/>
              <w:rPr>
                <w:sz w:val="16"/>
                <w:szCs w:val="16"/>
                <w:color w:val="auto"/>
              </w:rPr>
            </w:pPr>
          </w:p>
        </w:tc>
        <w:tc>
          <w:tcPr>
            <w:tcW w:w="32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and vehicle hardware</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Shorter of useful life or lease term</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Depreciation expense associated with property and equipment was $2.6 million and $9.2 million during the nine months ended September 30, 2024 and 2023, respectively.</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acquired intangible assets, net as of September 30, 2024 and December 31, 2023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3360" w:type="dxa"/>
            <w:vAlign w:val="bottom"/>
            <w:vMerge w:val="restart"/>
          </w:tcPr>
          <w:p>
            <w:pPr>
              <w:jc w:val="center"/>
              <w:ind w:left="997"/>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20" w:type="dxa"/>
            <w:vAlign w:val="bottom"/>
          </w:tcPr>
          <w:p>
            <w:pPr>
              <w:spacing w:after="0"/>
              <w:rPr>
                <w:sz w:val="11"/>
                <w:szCs w:val="11"/>
                <w:color w:val="auto"/>
              </w:rPr>
            </w:pPr>
          </w:p>
        </w:tc>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2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3360" w:type="dxa"/>
            <w:vAlign w:val="bottom"/>
          </w:tcPr>
          <w:p>
            <w:pPr>
              <w:jc w:val="center"/>
              <w:ind w:left="977"/>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360" w:type="dxa"/>
            <w:vAlign w:val="bottom"/>
            <w:tcBorders>
              <w:top w:val="single" w:sz="8" w:color="CCEEFF"/>
            </w:tcBorders>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99"/>
              </w:rPr>
              <w:t>3-8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w:t>
            </w:r>
          </w:p>
        </w:tc>
        <w:tc>
          <w:tcPr>
            <w:tcW w:w="3360" w:type="dxa"/>
            <w:vAlign w:val="bottom"/>
          </w:tcPr>
          <w:p>
            <w:pPr>
              <w:jc w:val="center"/>
              <w:ind w:left="997"/>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360" w:type="dxa"/>
            <w:vAlign w:val="bottom"/>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99"/>
              </w:rPr>
              <w:t>3-8</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3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3360" w:type="dxa"/>
            <w:vAlign w:val="bottom"/>
            <w:vMerge w:val="restart"/>
          </w:tcPr>
          <w:p>
            <w:pPr>
              <w:jc w:val="center"/>
              <w:ind w:left="997"/>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20" w:type="dxa"/>
            <w:vAlign w:val="bottom"/>
          </w:tcPr>
          <w:p>
            <w:pPr>
              <w:spacing w:after="0"/>
              <w:rPr>
                <w:sz w:val="11"/>
                <w:szCs w:val="11"/>
                <w:color w:val="auto"/>
              </w:rPr>
            </w:pPr>
          </w:p>
        </w:tc>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2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3360" w:type="dxa"/>
            <w:vAlign w:val="bottom"/>
          </w:tcPr>
          <w:p>
            <w:pPr>
              <w:jc w:val="center"/>
              <w:ind w:left="977"/>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360" w:type="dxa"/>
            <w:vAlign w:val="bottom"/>
            <w:tcBorders>
              <w:top w:val="single" w:sz="8" w:color="CCEEFF"/>
            </w:tcBorders>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99"/>
              </w:rPr>
              <w:t>3-8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w:t>
            </w:r>
          </w:p>
        </w:tc>
        <w:tc>
          <w:tcPr>
            <w:tcW w:w="3360" w:type="dxa"/>
            <w:vAlign w:val="bottom"/>
          </w:tcPr>
          <w:p>
            <w:pPr>
              <w:jc w:val="center"/>
              <w:ind w:left="997"/>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360" w:type="dxa"/>
            <w:vAlign w:val="bottom"/>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99"/>
              </w:rPr>
              <w:t>3-8</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$5.3 million and $5.1 million during the nine months ended September 30, 2024 and 2023,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assets-net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(the remainder of 2024)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 (in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8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3"/>
                <w:szCs w:val="23"/>
                <w:color w:val="auto"/>
              </w:rPr>
            </w:pPr>
          </w:p>
        </w:tc>
        <w:tc>
          <w:tcPr>
            <w:tcW w:w="12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fees and contingencies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Uninvoiced receipts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use tax</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58,166</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accrued legal contingency was settled in the three months ended September 30, 2024 (see Note 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April 29, 2022, the Company entered into the Loan Agreement with Hercules Capital, Inc. (“Hercules”) (as amended, the “Loan Agreement”). The Loan Agreement provided the Company with a term loan facility of up to $50.0 million, subject to certain terms and conditions. The Company borrowed the initial tranche of $20.0 million on April 29, 2022. On October 17, 2022, the Company borrowed an additional $20.0 million.</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Loan Agreement included a minimum liquidity financial covenant whereby the Company was required to maintain at least $60.0 million of cash in deposit accounts that are subject to an account control agreement in favor of Hercules.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10, 2023, the Company entered into the Third Amendment, which amended the Loan Agreement to (i) increase the existing debt baskets for</w:t>
      </w:r>
    </w:p>
    <w:p>
      <w:pPr>
        <w:spacing w:after="0" w:line="27" w:lineRule="exact"/>
        <w:rPr>
          <w:sz w:val="20"/>
          <w:szCs w:val="20"/>
          <w:color w:val="auto"/>
        </w:rPr>
      </w:pPr>
    </w:p>
    <w:p>
      <w:pPr>
        <w:ind w:right="220" w:firstLine="8"/>
        <w:spacing w:after="0" w:line="260" w:lineRule="auto"/>
        <w:tabs>
          <w:tab w:leader="none" w:pos="2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debt and capital leases, and (b) letter of credit obligations, (ii) provide for increased flexibility to maintain cash in non-US accounts, and (iii) provide for increased flexibility to relocate certain equipment.</w:t>
      </w:r>
    </w:p>
    <w:p>
      <w:pPr>
        <w:spacing w:after="0" w:line="7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Advances under the Loan Agreement bore interest at the rate of interest equal to greater of either (i) (x) the prime rate as reported in The Wall Street Journal plus (y) 6.15%, and (ii) 9.40%, subject to compliance with financial covenants and other conditions. The Loan Agreement included covenants, limitations, and events of default customary for similar facilities.</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Loan Agreement, the Company paid the lender a cash facility and legal fees of $0.6 million and incurred debt issuance costs to third parties that were directly related to issuing debt in the amount of $0.3 million. The effective interest rate on this debt was 17.90% after giving effect to the debt discount, debt issuance costs and the end of term charge. Amortization expense included in the interest expense related to debt discount and debt issuance costs of the Loan Agreement was not material for the year ended December 31, 2023.</w:t>
      </w:r>
    </w:p>
    <w:p>
      <w:pPr>
        <w:spacing w:after="0" w:line="7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October 25, 2023, the Loan Agreement was repaid with proceeds of the loans drawn under the Credit Agreement (as defined below) with UBS Bank USA and UBS Financial Services Inc. resulting in a loss on extinguishment of debt of $3.6 million and recorded it as interest expense in its consolidated statements of operations and comprehensive loss for the twelve months ended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October 25, 2023, the Company entered into the Credit Line Account Application and Agreement for Organizations and Businesses (the “Credit Agreement”) and the Addendum to Credit Line Account Application and Agreement (the “Addendum”; and the Credit Agreement as amended, modified, and/or supplemented by the Addendum, the “UBS Agreement”) by and among the Company, UBS Bank USA (the “Bank”), and UBS Financial Services Inc. The facility under the UBS Agreement would have matured and terminated on August 2, 2025 (the “Maturity Date”).</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UBS Agreement provided the Company with a revolving credit line of up to $45.0 million, subject to certain terms and conditions. The Company borrowed $44.0 million on October 25, 2023, and all of the proceeds were used to prepay and terminate the Company’s Loan Agreement on October 25, 2023.</w:t>
      </w:r>
    </w:p>
    <w:p>
      <w:pPr>
        <w:spacing w:after="0" w:line="12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Pursuant to the terms of the UBS Agreement, the Company agreed to maintain minimum liquidity, that could be comprised of unencumbered cash and cash equivalents, U.S. treasuries and other assets acceptable to the Bank, of $52.0 million in an account maintained with the Bank or its affiliates at all times.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under the UBS Agreement bore interest at a rate equal to (x) for variable rate loans, the sum of (i) the applicable SOFR average plus 0.110%, plus</w:t>
      </w:r>
    </w:p>
    <w:p>
      <w:pPr>
        <w:spacing w:after="0" w:line="27" w:lineRule="exact"/>
        <w:rPr>
          <w:sz w:val="20"/>
          <w:szCs w:val="20"/>
          <w:color w:val="auto"/>
        </w:rPr>
      </w:pPr>
    </w:p>
    <w:p>
      <w:pPr>
        <w:ind w:right="60" w:firstLine="8"/>
        <w:spacing w:after="0" w:line="252"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and (y) for fixed rate loans, the sum of either (1) CME Term Rate or (2) the U.S. Treasury Rate, as applicable and as defined in the UBS Agreement, as determined based on the duration of the advance, plus the applicable liquidity premium with a range of 0.15% to 0.50%, as set forth in the UBS Agreement. Interest payments were due (x) for variable rate loans, on the last day of each calendar month, and on each date that any portion of the principal amount is due, including on the Maturity Date, and (y) for fixed rate loans, on the last day of the applicable interest period, and on each date that any portion of the principal amount is due, including on the Maturity Date. The Company was able to repay any variable rate loans at any time in whole or in part, without penalty. The Company was able to repay any fixed rate loans in whole, but not in part, subject to certain breakage costs.</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agreed to pay an unused line fee in an amount equal to (i) the commitment amount of $45.0 million less the average daily balance of the sum of the principal amount of the obligations outstanding during the preceding calendar quarter, multiplied by (ii) 0.50% per annum, and such unused line fee is payable quarterly in arrears on the last day of each calendar quarter.</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UBS Agreement also contained affirmative and negative covenants customary for a credit line of this type, including requirements for maintenance of the collateral accounts and certain limitations on withdrawal of cash from such collateral accounts. The UBS Agreement also provided for customary events of default, including, among others, non-payment, failure to maintain an amount equal to the greater of (x) the outstanding loans and (y) the collateral value as determined by the Bank, in the securities accounts maintained with the Bank, bankruptcy, or breach of a covenant, representation and warranty.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August 12, 2024, the Company repaid in full, with cash on hand, all outstanding indebtedness and terminated all commitments and obligations under the UBS Agreement. The UBS Agreement payoff amount included the revolving loans in the principal amount of $44.0 million, plus accrued and unpaid interest.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Company’s initial public offering (the “IPO”) in August 2020, the sponsor of CLA, Colonnade Sponsor LLC, purchased an aggregate of 600,000 Private Placement warrants at a price of $10.00 per warrant, for an aggregate purchase price of $6,000,000. The Private Placement warrants became exercisable 12 months following the closing of the Company’s IPO, and expire 5 years from the completion of the Colonnade Merger, or earlier upon redemption or liquidation. On March 11, 2021, as adjusted to reflect the Reverse Stock Split, each outstanding Private Placement warrant automatically converted into a warrant to purchase one-tenth of a share of Ouster common stock pursuant to the Warrant Agreement. Each 10 Private Placement warrants is exercisable for one share of Ouster common stock at an exercise price of $115.00 per share, with no fractional shares being issuable upon exercise of a warrant.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placement warrant liability was initially recognized as a liability at a fair value of $19.4 million and the private placement warrant liability was remeasured to fair value as of September 30, 2024 and 2023, resulting in an immaterial charge for the three and nine months ended September 30, 2024 and 2023, respectively, classified within other income, net in the unaudited condensed consolidated statements of operations and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Private Placement warrants were valued using the following assumptions under the Black-Scholes option-pricing model:</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6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 of warrant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115.00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115.00</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93.00 %</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08"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CLA, in its IPO in August 2020, issued units that each consisted of one Class A ordinary share and one-half warrant to purchase a Class A ordinary share (the “Public warrants”). The warrants became exercisable 12 months following the closing of the Company’s IPO, and expire five years from the completion of the Merger, or earlier upon redemption or liquidation. On March 11, 2021, upon the closing of the Colonnade Merger, each of the 999,999 outstanding warrants, as adjusted for any fractional warrants that were not issued upon separation was converted automatically into a redeemable Public</w:t>
      </w:r>
    </w:p>
    <w:p>
      <w:pPr>
        <w:spacing w:after="0" w:line="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warrant to purchase one share of the Company’s common stock. As adjusted for the Reverse Stock Split, each 10 Public warrants is exercisable for one share of Ouster common stock at an exercise price of $115.00 per share, with no fractional shares issuable upon exercise of a warrant. The Public warrants were recognized as equity upon the Merger in the amount of $17.9 million.</w:t>
      </w:r>
    </w:p>
    <w:p>
      <w:pPr>
        <w:spacing w:after="0" w:line="8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Prior to their expiration, the Company may redeem the Public warrants at a price of $0.10 per warrant, provided that the closing price of the Company’s common stock equals or exceeds $180.00 per share for any 20 trading days within a 30 trading-day period ending on the third trading day prior to the date on which the Company gives proper notice of such redemption to the warrants holders.</w:t>
      </w:r>
    </w:p>
    <w:p>
      <w:pPr>
        <w:spacing w:after="0" w:line="5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The Company also assumed 5,973,170 outstanding public warrants upon closing the Velodyne Merger to purchase shares of the Company’s common stock (the “Velodyne Public warrants”). Each warrant entitles the holder to purchase 0.06153 shares of the Company’s common stock. Each 10 Velodyne Public warrants is exercisable for 0.6153 shares of the Company’s common stock at an exercise price of $140.20 per 0.6153 share of common stock, with no fractional shares being issuable upon exercise of a warrant. The warrants are exercisable at any time and expire in September 2025. The Company may redeem the outstanding warrants in whole and not in part at a price of $0.10 per warrant at any time after they become exercisable, provided that the last sale price of the Company’s common stock equals or exceeds $219.41 per share, subject to adjustments, for any 20-trading days within a 30-trading day period ending three business days prior to the date on which the Company sends the notice of redemption to the warrant holders. The Velodyne Public warrants were recognized as equity upon the Velodyne Merger.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Amazon Warrant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10, 2023, as part of the Velodyne Merger, the Company assumed a warrant agreement and a transaction agreement, pursuant to which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Velodyne agreed to issue to Amazon.com NV Investment Holdings LLC, a wholly-owned subsidiary of Amazon.com Inc. (“Amazon”), a warrant to</w:t>
      </w:r>
    </w:p>
    <w:p>
      <w:pPr>
        <w:spacing w:after="0" w:line="234" w:lineRule="auto"/>
        <w:rPr>
          <w:sz w:val="20"/>
          <w:szCs w:val="20"/>
          <w:color w:val="auto"/>
        </w:rPr>
      </w:pPr>
      <w:r>
        <w:rPr>
          <w:rFonts w:ascii="Times New Roman" w:cs="Times New Roman" w:eastAsia="Times New Roman" w:hAnsi="Times New Roman"/>
          <w:sz w:val="18"/>
          <w:szCs w:val="18"/>
          <w:color w:val="auto"/>
        </w:rPr>
        <w:t>acquire, following customary antidilution adjustments, up to an aggregate of 3,263,898 shares of the Company’s common stock at an exercise price of</w:t>
      </w:r>
    </w:p>
    <w:p>
      <w:pPr>
        <w:spacing w:after="0" w:line="235" w:lineRule="auto"/>
        <w:rPr>
          <w:sz w:val="20"/>
          <w:szCs w:val="20"/>
          <w:color w:val="auto"/>
        </w:rPr>
      </w:pPr>
      <w:r>
        <w:rPr>
          <w:rFonts w:ascii="Times New Roman" w:cs="Times New Roman" w:eastAsia="Times New Roman" w:hAnsi="Times New Roman"/>
          <w:sz w:val="18"/>
          <w:szCs w:val="18"/>
          <w:color w:val="auto"/>
        </w:rPr>
        <w:t>$50.71 per share (the “Amazon Warrant”). The exercise price and the warrant shares issuable upon exercise of the Amazon Warrant are subject to further</w:t>
      </w:r>
    </w:p>
    <w:p>
      <w:pPr>
        <w:spacing w:after="0" w:line="235" w:lineRule="auto"/>
        <w:rPr>
          <w:sz w:val="20"/>
          <w:szCs w:val="20"/>
          <w:color w:val="auto"/>
        </w:rPr>
      </w:pPr>
      <w:r>
        <w:rPr>
          <w:rFonts w:ascii="Times New Roman" w:cs="Times New Roman" w:eastAsia="Times New Roman" w:hAnsi="Times New Roman"/>
          <w:sz w:val="18"/>
          <w:szCs w:val="18"/>
          <w:color w:val="auto"/>
        </w:rPr>
        <w:t>antidilution adjustments, including in the event the Company makes certain sales of common stock (or securities exercisable or convertible into or</w:t>
      </w:r>
    </w:p>
    <w:p>
      <w:pPr>
        <w:spacing w:after="0"/>
        <w:rPr>
          <w:sz w:val="20"/>
          <w:szCs w:val="20"/>
          <w:color w:val="auto"/>
        </w:rPr>
      </w:pPr>
      <w:r>
        <w:rPr>
          <w:rFonts w:ascii="Times New Roman" w:cs="Times New Roman" w:eastAsia="Times New Roman" w:hAnsi="Times New Roman"/>
          <w:sz w:val="17"/>
          <w:szCs w:val="17"/>
          <w:color w:val="auto"/>
        </w:rPr>
        <w:t>exchangeable for shares of the Company’s common stock) at a price less than the exercise price of the Amazon Warrant. As a result of the issuance and sale</w:t>
      </w:r>
    </w:p>
    <w:p>
      <w:pPr>
        <w:spacing w:after="0" w:line="2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by the Company of an additional 1,649,310 shares of common stock in the three months ended September 30, 2024 pursuant to the At-Market-Issuance Sales Agreement at prices below the exercise price of the Amazon Warrant, an antidilution adjustment was made in accordance to the terms of the Amazon Warrant agreement (see Note 9), resulting in the increase in the number of shares issuable under the Amazon Warrant by 121 shares of common stock and no change to the strike price of the Amazon Warrant. As of September 30, 2024, there were 3,266,237 shares of common stock issuable under the Amazon Warrant.</w:t>
      </w:r>
    </w:p>
    <w:p>
      <w:pPr>
        <w:spacing w:after="0" w:line="7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Amazon Warrant is subject to vesting. As a result of the Velodyne Merger, 50% of the unvested Amazon Warrant as of the date of the Velodyne Merger have vested and the remainder will vest over time based on payments by Amazon or its affiliates to us in connection with Amazon’s purchase of goods and services from the Company. The vested portion of the Amazon Warrant, representing 1,848,694 shares of Ouster common stock with a fair value of $8.6 million, was included in the Velodyne Merger purchase price consideration on February 10, 2023.</w:t>
      </w:r>
    </w:p>
    <w:p>
      <w:pPr>
        <w:spacing w:after="0" w:line="8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Amazon Warrant shares vest in multiple tranches over time based on payments of up to $100.0 million by Amazon or its affiliates (directly or indirectly through third parties) to the Company in connection with Amazon’s purchase of goods and services. The fair value of the unvested Amazon Warrant, representing 1,219,235 unvested Ouster common stock shares will be recognized as a non-cash stock-based reduction to revenue when Amazon makes payments and vesting conditions become probable of being achieved.</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fair value of the Amazon Warrant shares was estimated on February 10, 2023, the date of completion of the Velodyne Merger, using the Black-Scholes option pricing model on the remaining contractual term of 6.98 years, an expected volatility of 53.7%, a 3.86% risk-free interest rate and a 0% expected dividend yield. The Company estimated expected volatility by using historical volatility of the Company’s publicly traded stock and historical volatility of a group of publicly traded peer companies for the period commencing February 16, 2016 and ending on the date of the Merger.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 to exercise the Amazon Warrant and receive the warrant shares that have vested expires February 4, 2030.</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three months ended September 30, 2024, 56,709 Amazon Warrant shares vested. As of September 30, 2024, there were 2,103,590 Amazon Warrant shares vested.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certain office leasehold interests in real property located in San Francisco (350 Treat Ave and 2741 16th Street) and in Paris, the Company obtained letters of credit from certain banks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unaudited condensed consolidated balance sheets as of September 30, 2024 and December 31, 2023. The outstanding amount of the letters of credit was $1.4 million and $1.4 million as of September 30, 2024 and December 31, 2023,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involved in legal and administrative proceedings arising in the ordinary course of business. The Company records a liability in its consolidated financial statements for these matters when a loss is known or considered probable and the amount can be reasonably estimated. Management reviews these estimates in each accounting period as additional information becomes known and adjusts the loss provision when appropriate. If the loss is not probable or cannot be reasonably estimated, a liability is not recorded in the consolidated financial statements. If a loss is probable but the amount of loss cannot be reasonably estimated, the Company discloses the loss contingency and an estimate of possible loss or range of loss (unless such an estimate cannot be made). Legal costs incurred in connection with loss contingencies are expensed as incurred.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legal proceedings arising in the ordinary course of business. Significant judgment is required in both the determination of probability and the determination as to whether any exposure is reasonably estimable. Actual outcomes of these legal and regulatory proceedings may materially differ from our current estimates.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Velodyne Legacy Litigation</w:t>
      </w:r>
    </w:p>
    <w:p>
      <w:pPr>
        <w:spacing w:after="0" w:line="11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 xml:space="preserve">On March 3, 2021, a purported shareholder of Velodyne filed a complaint for a putative class action against Velodyne, Anand Gopalan and Andrew Hamer in the United States District Court, Northern District of California, entitled </w:t>
      </w:r>
      <w:r>
        <w:rPr>
          <w:rFonts w:ascii="Times New Roman" w:cs="Times New Roman" w:eastAsia="Times New Roman" w:hAnsi="Times New Roman"/>
          <w:sz w:val="17"/>
          <w:szCs w:val="17"/>
          <w:i w:val="1"/>
          <w:iCs w:val="1"/>
          <w:color w:val="auto"/>
        </w:rPr>
        <w:t>Moradpour v. Velodyne Lidar, Inc., et al.</w:t>
      </w:r>
      <w:r>
        <w:rPr>
          <w:rFonts w:ascii="Times New Roman" w:cs="Times New Roman" w:eastAsia="Times New Roman" w:hAnsi="Times New Roman"/>
          <w:sz w:val="17"/>
          <w:szCs w:val="17"/>
          <w:color w:val="auto"/>
        </w:rPr>
        <w:t xml:space="preserve">, No. 3:21-cv01486-SI. The complaint alleged purported violations of the federal securities laws and that, among other things, the defendants made materially false and/or misleading statements and failed to disclose material facts about Velodyne’s business, operations and prospects, including with respect to David Hall’s role with Velodyne and removal as Chairman of Velodyne’s Board of Directors. The complaint alleged that purported class members have suffered losses and sought, among other things, an award of compensatory damages on behalf of a putative class of persons who purchased or otherwise acquired Velodyne’s securities between November 9, 2020 and February 19, 2021. On March 12, 2021, a putative class action entitled </w:t>
      </w:r>
      <w:r>
        <w:rPr>
          <w:rFonts w:ascii="Times New Roman" w:cs="Times New Roman" w:eastAsia="Times New Roman" w:hAnsi="Times New Roman"/>
          <w:sz w:val="17"/>
          <w:szCs w:val="17"/>
          <w:i w:val="1"/>
          <w:iCs w:val="1"/>
          <w:color w:val="auto"/>
        </w:rPr>
        <w:t>Reese v. Velodyne Lidar, Inc., et al.</w:t>
      </w:r>
      <w:r>
        <w:rPr>
          <w:rFonts w:ascii="Times New Roman" w:cs="Times New Roman" w:eastAsia="Times New Roman" w:hAnsi="Times New Roman"/>
          <w:sz w:val="17"/>
          <w:szCs w:val="17"/>
          <w:color w:val="auto"/>
        </w:rPr>
        <w:t xml:space="preserve">, No. 3:21-cv-01736-VC, was filed against Velodyne, Mr. Gopalan and Mr. Hamer in the United States District Court for the Northern District of California, based on allegations similar to those in the earlier class action and seeking recovery on behalf of the same putative class. On March 19, 2021, another putative class action entitled </w:t>
      </w:r>
      <w:r>
        <w:rPr>
          <w:rFonts w:ascii="Times New Roman" w:cs="Times New Roman" w:eastAsia="Times New Roman" w:hAnsi="Times New Roman"/>
          <w:sz w:val="17"/>
          <w:szCs w:val="17"/>
          <w:i w:val="1"/>
          <w:iCs w:val="1"/>
          <w:color w:val="auto"/>
        </w:rPr>
        <w:t>Nick v. Velodyne Lidar, Inc., et al.</w:t>
      </w:r>
      <w:r>
        <w:rPr>
          <w:rFonts w:ascii="Times New Roman" w:cs="Times New Roman" w:eastAsia="Times New Roman" w:hAnsi="Times New Roman"/>
          <w:sz w:val="17"/>
          <w:szCs w:val="17"/>
          <w:color w:val="auto"/>
        </w:rPr>
        <w:t>, No. 4:21-cv-01950-JST, was filed in the United States District Court for the Northern District of California, against Velodyne, Mr. Gopalan, Mr. Hamer, two current or former directors, and three other entities. The complaint was based on allegations similar to those in the earlier class actions and sought, among other things, an award of compensatory damages on behalf of a putative class of persons who purchased or otherwise acquired Velodyne’s securities between July 2, 2020 and March 17, 2021. The class actions have been consolidated, lead plaintiffs have been appointed and an amended consolidated complaint was filed on September 1, 2021, based on allegations similar to those in the earlier class actions. After multiple motions to dismiss, on July 1, 2022, the court denied the motion to dismiss as it relates to the claims related to David Hall’s role with Velodyne, but granted the motion to dismiss as to all other claims. On July 14, 2023, the Court granted Diane Smith’s motion for class certification.</w:t>
      </w:r>
    </w:p>
    <w:p>
      <w:pPr>
        <w:spacing w:after="0" w:line="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13, 2024, the parties to the consolidated securities class action lawsuit filed a stipulation of settlement to settle this lawsuit, without any admission or concession of wrongdoing or liability by Velodyne or the individual defendants. On April 19, 2024, the court preliminarily approved the settlement that provides for a payment of $27.5 million, of which $23.4 million was funded by insurance proceeds. On August 19, 2024, the court issued final judgment approving the settlement and ordered dismissal. The Company had accrued for and recorded the entire amount of this $27.5 million settlement liability and had recorded the expense within general and administrative expenses in 2023 after concluding that such settlement amount is probable and reasonably estimable. As of December 31, 2023, the Company recorded an insurance receivable of $23.4 million in prepaid expenses and other current assets to be funded by insurance proceeds based on the terms of the settlement. The $23.4 million insurance receivable allows the Company to recover the majority of the settlement expense, resulting in a net charge of $4.1 million in its consolidated statement of operations. The settlement charge of $4.1 million was paid in June 2024. As a result of the court approving the settlement on August 19, 2024, the Company derecognized the related liability and receivable in the amount of $23.4 million.</w:t>
      </w:r>
    </w:p>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January 18, 2022, David and Marta Hall filed a lawsuit in the Superior Court of California, County of Alameda, against current and former officers and directors of Velodyne, as well as Jeff Vetter, Velodyne’s outside counsel. The Halls sought to recover damages for financial and other injuries they allegedly sustained as a result of the merger between Graf and Velodyne. On May 3, 2022, certain defendants filed motions to compel arbitration and other defendants filed motions to quash service of process for lack of personal jurisdiction. The court conducted a hearing on the motions on July 20, 2022. On August 30, 2022, the court granted the motion to quash service with respect to the out of state defendants. On October 3, 2022, the court granted the motion to compel Mr. Hall to arbitrate his claims, and stayed proceedings on Ms. Hall’s claims pending arbitration of Mr. Hall’s claims. On October 20, 2022, the Halls voluntarily dismissed the action without prejudice. On January 3, 2023, the Halls filed an arbitration demand with substantially the same allegations as the prior lawsuit. On or about August 22, 2023, the Halls filed an application in Texas District Court, Dallas County to compel arbitration of Messrs. Graf and Dee who had been dismissed from the prior court action for lack of personal jurisdiction. Messrs. Graf and Dee agreed to participate in the arbitration and thus the Texas action has been stayed. The arbitrator has set the arbitration hearing for February 3, 2025. The Company does not believe the claims are meritorious and intends to defend the action vigorously.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On August 10, 2023, Plaintiffs David and Marta Hall filed a complaint against Velodyne in the Superior Court of California, County of San Francisco asserting claims for breach of contract and failure to reimburse expenses in violation of California Labor Code Section 2802 (the “2023 Hall Matter”). The 2023 Hall Matter seeks indemnification for legal fees incurred on the Halls’ behalf in connection with a prior derivative action against certain Velodyne officers and directors, and naming Velodyne as a nominal defendant, captioned </w:t>
      </w:r>
      <w:r>
        <w:rPr>
          <w:rFonts w:ascii="Times New Roman" w:cs="Times New Roman" w:eastAsia="Times New Roman" w:hAnsi="Times New Roman"/>
          <w:sz w:val="18"/>
          <w:szCs w:val="18"/>
          <w:i w:val="1"/>
          <w:iCs w:val="1"/>
          <w:color w:val="auto"/>
        </w:rPr>
        <w:t>In Re Velodyne Lidar, Inc. Derivative Action</w:t>
      </w:r>
      <w:r>
        <w:rPr>
          <w:rFonts w:ascii="Times New Roman" w:cs="Times New Roman" w:eastAsia="Times New Roman" w:hAnsi="Times New Roman"/>
          <w:sz w:val="18"/>
          <w:szCs w:val="18"/>
          <w:color w:val="auto"/>
        </w:rPr>
        <w:t>, Case No. 1:21-cv-00369-TMH (D. Del.) (dismissed on November 7, 2023). On November 21, 2023, Velodyne denied all allegations. The 2023 Hall Matter is now set for trial on April 8, 2025. The Company does not believe the claims are meritorious and intends to defend the action vigorously.</w:t>
      </w:r>
    </w:p>
    <w:p>
      <w:pPr>
        <w:spacing w:after="0" w:line="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On August 25, 2023, a putative shareholder class action suit was filed in the Delaware Court of Chancery against six former officers and directors of Graf Industrial Corp. (“GIC”), the predecessor entity of Velodyne, as well as two other entities (one of which has since been dismissed without prejudice), entitled </w:t>
      </w:r>
      <w:r>
        <w:rPr>
          <w:rFonts w:ascii="Times New Roman" w:cs="Times New Roman" w:eastAsia="Times New Roman" w:hAnsi="Times New Roman"/>
          <w:sz w:val="18"/>
          <w:szCs w:val="18"/>
          <w:i w:val="1"/>
          <w:iCs w:val="1"/>
          <w:color w:val="auto"/>
        </w:rPr>
        <w:t>Berger v. Graf Acquisition, LLC,</w:t>
      </w:r>
      <w:r>
        <w:rPr>
          <w:rFonts w:ascii="Times New Roman" w:cs="Times New Roman" w:eastAsia="Times New Roman" w:hAnsi="Times New Roman"/>
          <w:sz w:val="18"/>
          <w:szCs w:val="18"/>
          <w:color w:val="auto"/>
        </w:rPr>
        <w:t xml:space="preserve"> et al., No. C.A. 2023 0873 LWW. The Company, GIC and Velodyne are not named as defendants. The plaintiff, who was allegedly a GIC shareholder, asserts claims for breach of fiduciary duty and unjust enrichment in connection with the merger of GIC and Velodyne on September 29, 2020, and seeks damages, disgorgement and other recovery on behalf of the putative class of GIC shareholders in an unspecified amount. The Company is obligated to indemnify such former officers and directors under certain circumstances. The court has set trial for July 14, 2025. The Company does not believe the claims are meritorious and intends to defend the action vigorously.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Ouster Litigation</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June 10, 2021, the Company received a letter from the SEC notifying the Company of an investigation and document subpoena. The subpoena seeks documents regarding projected financial information in CLA’s Form S-4 registration statement filed on December 22, 2020. On August 15, 2023, the SEC informed the Company that they have concluded the investigation and that they do not intend to recommend any enforcement action.</w:t>
      </w:r>
    </w:p>
    <w:p>
      <w:pPr>
        <w:spacing w:after="0" w:line="6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April 11, 2023, the Company filed a complaint with the United States International Trade Commission (the “Commission”) pursuant to 19 U.S.C. § 1337 (“Section 337”). The complaint requests that the Commission institute an investigation relating to the unlawful importation, sale for importation, and/or sale after importation into the United States by Hesai Group, Hesai Technology Co., Ltd., and Hesai Inc. (collectively “Hesai”) of certain LiDAR (Light Detection and Ranging) systems and/or components thereof (see In the Matter of Certain LiDAR (Light Detection and Ranging) Systems and Components Thereof, 337-TA-1363). The complaint alleges that Hesai’s LiDAR products infringe certain claims of the Company’s U.S. Patent Nos. 11,175,405, 11,178,381, 11,190,750, 11,287,515 and/or 11,422,236. The complaint seeks the issuance of a permanent exclusion order and cease and desist order. On May 11, 2023, the Commission decided to institute an investigation based on the Company’s complaint as In the Matter of Certain LiDAR (Light Detection and Ranging) Systems and Components Thereof, 337-TA-1363. On May 25, 2023, the Administrative Law Judge (“ALJ”) issued a procedural schedule whereby the evidentiary hearing was to begin on January 4, 2024, with a target date for completion of the Investigation by the Commission on October 17, 2024. On June 7, 2023, Hesai responded to the complaint and denied all allegations. On June 22, 2023, Hesai filed a motion to terminate or alternatively stay the investigation in light of an alleged agreement to arbitrate based on the Settlement Agreement signed in 2020 between Hesai and Velodyne (the “Settlement Agreement”). Hesai alleged that the Company is bound to the 2020 Settlement Agreement as a result of the Company’s merger with Velodyne in 2023. The Company opposed the motion, including any allegation that the Company has any obligation to arbitrate or that its patents are subject to any terms of the 2020 Settlement Agreement, which the Company never signed. On August 24, 2023, the ALJ issued an initial determination granting the motion to terminate, holding that a valid arbitration agreement exists as part of the Settlement Agreement, and thus the arbitrators should decide whether the Company has obligation to arbitrate. On August 31, 2023, the Company filed a petition for review of the initial determination with the Commission. On September 14, 2023, Hesai responded. On October 11, 2023, the Commission issued a notice of its determination to review and, on review, to affirm with modification the ALJ’s initial determination granting the motion to terminate the investigation in its entirety based upon the arbitration agreement. As a result, the investigation was terminated.</w:t>
      </w:r>
    </w:p>
    <w:p>
      <w:pPr>
        <w:spacing w:after="0" w:line="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April 11, 2023, the Company also filed a complaint in the District of Delaware alleging patent infringement of the same patents as in the aforementioned Section 337 proceeding against Hesai Group and Hesai Technology Co., Ltd. The complaint seeks monetary damages as well as the issuance of a permanent injunction. On May 30, 2023, the Court granted a stay of the case pending the resolution, including all appeals, of In the Matter of Certain LiDAR (Light Detection and Ranging) Systems and Components Thereof, 337-TA-1363.</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17, 2023, Hesai Photonics Technology Co. Ltd. and Hesai Group (collectively “Hesai Photonics”) filed a request for arbitration with JAMS against the Company, Velodyne Lidar, Inc., Velodyne, LLC, and Oban Merger Sub II LLC. Hesai Photonics alleges that the Company is bound by the terms and conditions, including an obligation to arbitrate disputes, of a Settlement Agreement signed in 2020 between Hesai Photonics and Velodyne Lidar, Inc. as a result of the Company’s 2023 merger with Velodyne Lidar, Inc. On June 13, 2023, the Company responded to the arbitration demand. The Company denied all allegations. The Company also disputed that there was an obligation to arbitrate, and thus, alleged that JAMS lacked jurisdiction. The arbitration hearing date is set for November 18, 2024.</w:t>
      </w:r>
    </w:p>
    <w:p>
      <w:pPr>
        <w:spacing w:after="0" w:line="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September 14, September 25, and September 26, 2023, Hesai filed Petitions for Inter Partes Review with the Patent Trial and Appeal Board (“PTAB”) challenging the validity of the Company’s patents asserted in the ITC and Delaware patent actions. The Company provided preliminary responses to those petitions in late December 2023 and early January 2024. On March 19, 2024, March 28, 2024, and April 1, 2024, the PTAB issued decisions to institute inter partes review for four of the five patents and declined to institute review of the fifth patent. The case numbers and patents for the four matters in which review has been instituted, and the corresponding hearing dates, are: IPR2023-01421 (Patent No. 11,175,405), hearing date of December 17, 2024; IPR2023-01422 (Patent No. 11,287,515), hearing date of December 17, 2024; IPR2023-01456 (Patent No. 11,178,381), hearing date of January 13, 2025; and IPR2023-01457 (Patent No. 11,190,750), hearing date of January 13, 2025. The matter that was not instituted was IPR2023-01458, involving Patent No. 11,422,236, but on July 25, 2024, the Director of the United States Patent and Trademark Office remanded to the PTAB for further review of its decision not to institute.</w:t>
      </w:r>
    </w:p>
    <w:p>
      <w:pPr>
        <w:spacing w:after="0" w:line="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than as set forth above, as of September 30, 2024 the Company is unable to estimate a possible loss or range of losses in respect to those disclosed matters.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To date, the Company is indemnifying and has incurred costs to defend lawsuits or settle claims described above under the heading “Litigation” pursuant to the indemnity agreements of former directors and officers.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Common Stock</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terms of the Second Amended and Restated Certificate of Incorporation, the Company is authorized to issue the following shares and classes of capital stock, each with a par value of $0.0001 per share: (i) 100,000,000 shares of common stock; (ii) 100,000,000 shares of preferred stock. The holder of each share of common stock is entitled to one vote.</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April 29, 2022, the Company entered into an At-Market-Issuance Sales Agreement (the “ATM Agreement”) pursuant to which the Company may, subject to the terms and conditions set forth in the agreement offer and sell, from time to time, through or to the agents, acting as agent or principal, shares of the Company’s common stock, par value $0.0001 per share, having an aggregate offering price of up to $150.0 million.</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sold 1,649,310 shares of common stock under the ATM Agreement at a weighted-average price of $8.67 per share, for net proceeds of $14.3 million which is net of sales commissions and other fees of approximately $0.6 million. During the nine months ended September 30, 2024, the Company sold 3,482,181 shares of common stock under the ATM agreement at a weighted-average price of $9.34 per share, for net proceeds of $32.5 million which is net of sales commissions and other fees or approximately $1.3 million.</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the date of the ATM Agreement through September 30, 2024, the Company has sold 7,144,427 shares at a weighted-average sales price of $9.05 per share, resulting in cumulative gross proceeds to the Company totaling approximately $66.7 million before deducting offering costs, sales commissions and fees. Cumulative net proceeds to the Company totaled approximately $64.7 million after deducting offering costs, sales commissions and fees. The Company plans to use the net proceeds from this offering for working capital and general corporate purposes.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availability under the ATM Agreement as of September 30, 2024 is approximately $83.3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has five equity incentive plans: its Amended and Restated 2015 Stock Plan (the “2015 Plan”), the Sense Photonics, Inc. 2017 Equity Incentive Plan (the “Sense Plan”), the Velodyne Lidar, Inc. 2020 Equity Incentive Plan (the “Velodyne Plan”), the 2021 Incentive Award Plan (the “2021 Plan”) and the Amended and Restated 2022 Employee Stock Purchase Plan (the “2022 ESPP” and, collectively with the 2015 Plan, the Sense Plan, the Velodyne Plan and the 2021 Plan, the “Plans”).</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Plans, other than the 2022 ESPP, provide for the grant of stock options, stock appreciation rights, restricted stock awards (“RSAs”), restricted stock units (“RSUs”), performance stock unit awards and other forms of equity compensation (collectively, “equity awards”). In addition, the 2021 Plan provides for the grant of performance bonus awards. New equity awards may only be granted under the 2021 Plan and Velodyne Plan. Awards under the 2021 Plan and Velodyne Plan can be granted to employees, including officers, directors and consultants of the Company and its subsidiaries, in each case, within the limits provided in the 2021 Plan and Velodyne Plan, respectively.</w:t>
      </w:r>
    </w:p>
    <w:p>
      <w:pPr>
        <w:spacing w:after="0" w:line="1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2022 ESPP has been offered to all eligible employees since August 2022 and generally permits certain employees to purchase shares of the Company’s common stock through payroll deductions of up to 15% of their compensation of each offering period, subject to certain limitations.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2022 ESPP provides offering periods that have a duration of 24 months in length and are comprised of purchase periods of six months in length. The offering periods are scheduled to start on the first trading day on or after May 16 and November 16 of each year. Under the 2022 ESPP, the purchase price of a share under the ESPP equals 85% of the lesser of the fair market value of a share of common stock on either the first or last day of the applicable offering period or the last day of the applicable purchase period.</w:t>
      </w:r>
    </w:p>
    <w:p>
      <w:pPr>
        <w:spacing w:after="0" w:line="12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May 2023, the Company increased the share purchase limit under the 2022 ESPP to 3,000 shares of Company common stock per offering period and added Velodyne Lidar, Inc. as a participating employer in the 2022 ESPP.</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184,079 shares of common stock were issued under the 2022 ESPP at a price of $4.24 per share, which represented 85% of the market price of the common stock on November 16, 2023, the first day of the offering period, which was lower than the closing trading price of the common stock on the exercise date. As of September 30, 2024, 0.7 million shares of the Company’s common stock were pending issuance under the 2022 ESPP. The stock-based compensation expense is calculated as of the beginning of the offering period as the fair value of the 2022 ESPP shares utilizing the Black-Scholes option valuation model and is recognized over the offering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nine months ended September 30, 2024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7"/>
        </w:trPr>
        <w:tc>
          <w:tcPr>
            <w:tcW w:w="5240" w:type="dxa"/>
            <w:vAlign w:val="bottom"/>
          </w:tcPr>
          <w:p>
            <w:pPr>
              <w:spacing w:after="0"/>
              <w:rPr>
                <w:sz w:val="11"/>
                <w:szCs w:val="11"/>
                <w:color w:val="auto"/>
              </w:rPr>
            </w:pPr>
          </w:p>
        </w:tc>
        <w:tc>
          <w:tcPr>
            <w:tcW w:w="14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78"/>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Outstanding—December 31, 2023</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1,871,649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0" w:type="dxa"/>
            <w:vAlign w:val="bottom"/>
          </w:tcPr>
          <w:p>
            <w:pPr>
              <w:spacing w:after="0"/>
              <w:rPr>
                <w:sz w:val="1"/>
                <w:szCs w:val="1"/>
                <w:color w:val="auto"/>
              </w:rPr>
            </w:pPr>
          </w:p>
        </w:tc>
      </w:tr>
      <w:tr>
        <w:trPr>
          <w:trHeight w:val="230"/>
        </w:trPr>
        <w:tc>
          <w:tcPr>
            <w:tcW w:w="5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Options 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Options cancelled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Outstanding—September 30, 2024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1,774,234</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vest—September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0" w:type="dxa"/>
            <w:vAlign w:val="bottom"/>
          </w:tcPr>
          <w:p>
            <w:pPr>
              <w:spacing w:after="0"/>
              <w:rPr>
                <w:sz w:val="1"/>
                <w:szCs w:val="1"/>
                <w:color w:val="auto"/>
              </w:rPr>
            </w:pP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Exercisable—September 30,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1,742,513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0" w:type="dxa"/>
            <w:vAlign w:val="bottom"/>
          </w:tcPr>
          <w:p>
            <w:pPr>
              <w:spacing w:after="0"/>
              <w:rPr>
                <w:sz w:val="1"/>
                <w:szCs w:val="1"/>
                <w:color w:val="auto"/>
              </w:rPr>
            </w:pPr>
          </w:p>
        </w:tc>
      </w:tr>
      <w:tr>
        <w:trPr>
          <w:trHeight w:val="900"/>
        </w:trPr>
        <w:tc>
          <w:tcPr>
            <w:tcW w:w="5240" w:type="dxa"/>
            <w:vAlign w:val="bottom"/>
          </w:tcPr>
          <w:p>
            <w:pPr>
              <w:spacing w:after="0"/>
              <w:rPr>
                <w:sz w:val="24"/>
                <w:szCs w:val="24"/>
                <w:color w:val="auto"/>
              </w:rPr>
            </w:pPr>
          </w:p>
        </w:tc>
        <w:tc>
          <w:tcPr>
            <w:tcW w:w="1420" w:type="dxa"/>
            <w:vAlign w:val="bottom"/>
          </w:tcPr>
          <w:p>
            <w:pPr>
              <w:jc w:val="right"/>
              <w:ind w:right="858"/>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at September 30,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30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30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20" w:type="dxa"/>
            <w:vAlign w:val="bottom"/>
          </w:tcPr>
          <w:p>
            <w:pPr>
              <w:spacing w:after="0"/>
              <w:rPr>
                <w:sz w:val="11"/>
                <w:szCs w:val="11"/>
                <w:color w:val="auto"/>
              </w:rPr>
            </w:pPr>
          </w:p>
        </w:tc>
        <w:tc>
          <w:tcPr>
            <w:tcW w:w="16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620" w:type="dxa"/>
            <w:vAlign w:val="bottom"/>
            <w:vMerge w:val="restart"/>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1"/>
                <w:szCs w:val="11"/>
                <w:color w:val="auto"/>
              </w:rPr>
            </w:pPr>
          </w:p>
        </w:tc>
        <w:tc>
          <w:tcPr>
            <w:tcW w:w="1200" w:type="dxa"/>
            <w:vAlign w:val="bottom"/>
          </w:tcPr>
          <w:p>
            <w:pPr>
              <w:jc w:val="center"/>
              <w:ind w:left="288"/>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6"/>
                <w:szCs w:val="16"/>
                <w:color w:val="auto"/>
              </w:rPr>
            </w:pPr>
          </w:p>
        </w:tc>
        <w:tc>
          <w:tcPr>
            <w:tcW w:w="120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228"/>
        </w:trPr>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206,203</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206,203</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806,414</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790,562</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752,408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736,732</w:t>
            </w:r>
          </w:p>
        </w:tc>
        <w:tc>
          <w:tcPr>
            <w:tcW w:w="0" w:type="dxa"/>
            <w:vAlign w:val="bottom"/>
          </w:tcPr>
          <w:p>
            <w:pPr>
              <w:spacing w:after="0"/>
              <w:rPr>
                <w:sz w:val="1"/>
                <w:szCs w:val="1"/>
                <w:color w:val="auto"/>
              </w:rPr>
            </w:pPr>
          </w:p>
        </w:tc>
      </w:tr>
      <w:tr>
        <w:trPr>
          <w:trHeight w:val="229"/>
        </w:trPr>
        <w:tc>
          <w:tcPr>
            <w:tcW w:w="4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0" w:type="dxa"/>
            <w:vAlign w:val="bottom"/>
          </w:tcPr>
          <w:p>
            <w:pPr>
              <w:spacing w:after="0"/>
              <w:rPr>
                <w:sz w:val="1"/>
                <w:szCs w:val="1"/>
                <w:color w:val="auto"/>
              </w:rPr>
            </w:pPr>
          </w:p>
        </w:tc>
      </w:tr>
      <w:tr>
        <w:trPr>
          <w:trHeight w:val="248"/>
        </w:trPr>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1,774,234</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1,742,513</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As of September 30, 2024, the remaining unamortized stock-based compensation expense related to unvested stock options that is expected to be recognized was not material.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7"/>
                <w:szCs w:val="17"/>
                <w:color w:val="auto"/>
              </w:rPr>
            </w:pPr>
          </w:p>
        </w:tc>
        <w:tc>
          <w:tcPr>
            <w:tcW w:w="13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9"/>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Unvested—December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3,074,939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2,511,582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(1,787,172)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Unvested—September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3,571,919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award of RSUs. As of September 30, 2024, total compensation expense related to unvested RSUs granted to employees, but not yet recognized, was $35.7 million, with a weighted-average remaining vesting period of 1.6 years. RSUs settle into shares of common stock upon vesting.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RSA activity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8"/>
        </w:trPr>
        <w:tc>
          <w:tcPr>
            <w:tcW w:w="8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7"/>
                <w:szCs w:val="17"/>
                <w:color w:val="auto"/>
              </w:rPr>
            </w:pPr>
          </w:p>
        </w:tc>
        <w:tc>
          <w:tcPr>
            <w:tcW w:w="13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8"/>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Unvested—December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Unvested—September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award of RSAs. As of September 30, 2024, total compensation expense related to unvested RSAs granted to employees, but not yet recognized, was $4.3 million, with a weighted-average remaining vesting period of 1.0 years. The common stock comprising RSAs is issued at grant but, generally, is subject to a risk of forfeiture if the holder terminates service with the Company and its subsidiaries prior to vesting.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14"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for all share-based awards in the condensed consolidated statements of operations and comprehensive loss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19,765</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17,129</w:t>
            </w:r>
          </w:p>
        </w:tc>
      </w:tr>
      <w:tr>
        <w:trPr>
          <w:trHeight w:val="248"/>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11,519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by award type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35,224</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w:t>
            </w:r>
          </w:p>
        </w:tc>
      </w:tr>
      <w:tr>
        <w:trPr>
          <w:trHeight w:val="248"/>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11,519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 recognized upon completion of the Velodyne Merger</w:t>
      </w:r>
    </w:p>
    <w:p>
      <w:pPr>
        <w:spacing w:after="0" w:line="21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The Company recognized $6.1 million of stock-based compensation expense in the nine months ended September 30, 2023 related to accelerated vesting of certain RSUs upon completion of the Velodyne Merger and termination of employment of some of its executives and members of the board, who had accelerated vesting provisions in the event of a change in control. Additionally, in the nine months ended September 30, 2023, the Company recognized $2.4 million of stock-based compensation expense related to accelerated vesting of certain Velodyne restricted stock units, restricted stock awards and performance-based awards upon completion of the Velodyne Merger and termination of employment of some of Velodyne executives and members of the board.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Common Share</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 attributable to common stockholders (in thousands, except share and per share data):</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Numerator:</w:t>
      </w:r>
    </w:p>
    <w:p>
      <w:pPr>
        <w:spacing w:after="0" w:line="27" w:lineRule="exact"/>
        <w:rPr>
          <w:sz w:val="20"/>
          <w:szCs w:val="20"/>
          <w:color w:val="auto"/>
        </w:rPr>
      </w:pPr>
    </w:p>
    <w:p>
      <w:pPr>
        <w:ind w:left="240"/>
        <w:spacing w:after="0"/>
        <w:tabs>
          <w:tab w:leader="none" w:pos="5140" w:val="left"/>
        </w:tabs>
        <w:rPr>
          <w:sz w:val="20"/>
          <w:szCs w:val="20"/>
          <w:color w:val="auto"/>
        </w:rPr>
      </w:pPr>
      <w:r>
        <w:rPr>
          <w:rFonts w:ascii="Times New Roman" w:cs="Times New Roman" w:eastAsia="Times New Roman" w:hAnsi="Times New Roman"/>
          <w:sz w:val="18"/>
          <w:szCs w:val="18"/>
          <w:color w:val="auto"/>
        </w:rPr>
        <w:t>Net loss</w:t>
      </w:r>
      <w:r>
        <w:rPr>
          <w:sz w:val="20"/>
          <w:szCs w:val="20"/>
          <w:color w:val="auto"/>
        </w:rPr>
        <w:tab/>
      </w:r>
      <w:r>
        <w:rPr>
          <w:rFonts w:ascii="Times New Roman" w:cs="Times New Roman" w:eastAsia="Times New Roman" w:hAnsi="Times New Roman"/>
          <w:sz w:val="16"/>
          <w:szCs w:val="16"/>
          <w:color w:val="auto"/>
        </w:rPr>
        <w:t>$</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27" w:lineRule="exact"/>
        <w:rPr>
          <w:sz w:val="20"/>
          <w:szCs w:val="20"/>
          <w:color w:val="auto"/>
        </w:rPr>
      </w:pPr>
    </w:p>
    <w:p>
      <w:pPr>
        <w:ind w:left="240" w:right="140"/>
        <w:spacing w:after="0" w:line="234" w:lineRule="auto"/>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p>
      <w:pPr>
        <w:spacing w:after="0" w:line="24" w:lineRule="exact"/>
        <w:rPr>
          <w:sz w:val="20"/>
          <w:szCs w:val="20"/>
          <w:color w:val="auto"/>
        </w:rPr>
      </w:pPr>
    </w:p>
    <w:p>
      <w:pPr>
        <w:ind w:left="240"/>
        <w:spacing w:after="0"/>
        <w:tabs>
          <w:tab w:leader="none" w:pos="5140" w:val="left"/>
        </w:tabs>
        <w:rPr>
          <w:sz w:val="20"/>
          <w:szCs w:val="20"/>
          <w:color w:val="auto"/>
        </w:rPr>
      </w:pPr>
      <w:r>
        <w:rPr>
          <w:rFonts w:ascii="Times New Roman" w:cs="Times New Roman" w:eastAsia="Times New Roman" w:hAnsi="Times New Roman"/>
          <w:sz w:val="18"/>
          <w:szCs w:val="18"/>
          <w:color w:val="auto"/>
        </w:rPr>
        <w:t>Net loss per common share—basic and diluted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1160" w:type="dxa"/>
            <w:vAlign w:val="bottom"/>
            <w:vMerge w:val="restart"/>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2"/>
                <w:szCs w:val="2"/>
                <w:color w:val="auto"/>
              </w:rPr>
            </w:pPr>
          </w:p>
        </w:tc>
        <w:tc>
          <w:tcPr>
            <w:tcW w:w="110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6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45"/>
        </w:trPr>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(25,590)</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(35,102)</w:t>
            </w: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(73,308)</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(335,115)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11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47,684,363</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39,228,118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45,287,763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35,670,408</w:t>
            </w:r>
          </w:p>
        </w:tc>
        <w:tc>
          <w:tcPr>
            <w:tcW w:w="0" w:type="dxa"/>
            <w:vAlign w:val="bottom"/>
          </w:tcPr>
          <w:p>
            <w:pPr>
              <w:spacing w:after="0"/>
              <w:rPr>
                <w:sz w:val="1"/>
                <w:szCs w:val="1"/>
                <w:color w:val="auto"/>
              </w:rPr>
            </w:pPr>
          </w:p>
        </w:tc>
      </w:tr>
      <w:tr>
        <w:trPr>
          <w:trHeight w:val="95"/>
        </w:trPr>
        <w:tc>
          <w:tcPr>
            <w:tcW w:w="116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(0.54)</w:t>
            </w: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-187960</wp:posOffset>
            </wp:positionV>
            <wp:extent cx="707199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71995" cy="18859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-616585</wp:posOffset>
            </wp:positionV>
            <wp:extent cx="7071995"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71995" cy="16256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-908050</wp:posOffset>
            </wp:positionV>
            <wp:extent cx="707199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71995" cy="146050"/>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-1045210</wp:posOffset>
            </wp:positionV>
            <wp:extent cx="18770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260"/>
            <w:col w:w="5740"/>
          </w:cols>
          <w:pgMar w:left="320" w:top="229" w:right="339" w:bottom="1440" w:gutter="0" w:footer="0" w:header="0"/>
          <w:type w:val="continuous"/>
        </w:sectPr>
      </w:pPr>
    </w:p>
    <w:p>
      <w:pPr>
        <w:spacing w:after="0" w:line="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weighted average number of shares used to compute basic and diluted net loss per share excludes unvested early exercised common stock options subject to repurchase.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184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85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5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1,932,947</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and private common stock warrants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5,233,635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5,231,417</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3,571,919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2,084,476</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early exercised common stock options</w:t>
            </w:r>
          </w:p>
        </w:tc>
        <w:tc>
          <w:tcPr>
            <w:tcW w:w="18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23,958</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shares pending issuance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869,260</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724,935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381,822</w:t>
            </w:r>
          </w:p>
        </w:tc>
      </w:tr>
      <w:tr>
        <w:trPr>
          <w:trHeight w:val="248"/>
        </w:trPr>
        <w:tc>
          <w:tcPr>
            <w:tcW w:w="8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11,984,628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10,523,880</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7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Company’s income tax provision for interim periods is determined using an estimate of the Company’s annual effective tax rate, adjusted for discrete items arising in the quarter. The Company’s effective tax rate differs from the U.S. statutory tax rate primarily due to valuation allowances on the deferred tax assets as it is more likely than not that some, or all, of the Company’s deferred tax assets will not be realized. The Company continues to maintain a full valuation allowance against its net deferred tax assets. Due to tax losses and the offsetting valuation allowance, the income tax provision for the three and nine months ended September 30, 2024 and 2023, respectively, was not material to the Company’s unaudited condensed consolidated financial statements.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Revenue</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majority of the Company’s revenue is recognized at a point in time when the customer obtains control of the respective lidar sensor kits. Revenue from the sale of licenses and services was not material for any period presented and, therefore, is not presented separately.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total revenues by geographic area based on the location products were shipped to and services provided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35,204</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and Pacific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17,637</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28,075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81,009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58,835</w:t>
            </w:r>
          </w:p>
        </w:tc>
      </w:tr>
      <w:tr>
        <w:trPr>
          <w:trHeight w:val="21"/>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 that accounted for more than 10% of revenue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6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940" w:type="dxa"/>
            <w:vAlign w:val="bottom"/>
            <w:gridSpan w:val="2"/>
          </w:tcPr>
          <w:p>
            <w:pPr>
              <w:spacing w:after="0"/>
              <w:rPr>
                <w:sz w:val="2"/>
                <w:szCs w:val="2"/>
                <w:color w:val="auto"/>
              </w:rPr>
            </w:pPr>
          </w:p>
        </w:tc>
        <w:tc>
          <w:tcPr>
            <w:tcW w:w="1680" w:type="dxa"/>
            <w:vAlign w:val="bottom"/>
            <w:gridSpan w:val="3"/>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1680" w:type="dxa"/>
            <w:vAlign w:val="bottom"/>
            <w:gridSpan w:val="3"/>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contract balances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An unbilled receivable is recorded in instances when revenue is recognized prior to invoicing, and amounts collected in advance of services being provided are recorded as deferred revenue. Contract assets are generated when contractual billing schedules differ from revenue recognition timing.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receivable for multi-year licensing services is generally recorded upon invoicing. A receivable for multi-year license contracts is recorded upon delivery,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or not invoiced, to the extent the Company has an unconditional right to receive payment in the future related to those licenses.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the current portion of these unbilled receivables in the amount of $3.2 million, primarily consisting of unbilled receivables from multi-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license contracts, is included in “Accounts receivable, net” on the unaudited condensed consolidated balance sheet.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Contract assets primarily relate to the Company’s rights to consideration under license arrangements when the licenses have been transferred to the customers, but payment is contingent upon a future event, other than the passage of time (i.e., type of unbilled receivable) and for which the Company does not have an unconditional right at the reporting date.</w:t>
      </w:r>
    </w:p>
    <w:p>
      <w:pPr>
        <w:spacing w:after="0" w:line="6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Contract asset also arises when the timing of billing differs from the timing of revenue recognized, such as when revenue is recognized on guaranteed minimum payments at the inception of the contract when there is not yet a right to invoice in accordance with contract terms and payment is contingent upon future event.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Contract liabilities consist of deferred revenue, advanced payments and deposits from customers for goods or services that are yet to be provided. Deferred revenue includes billings in excess of revenue recognized related to product sales, licenses, extended warranty and other services revenue, and is recognized as revenue when the Company performs under the contract. The long-term portion of deferred revenue, mostly related to obligations under license arrangements and extended warranty, is classified as non-current contract liabilities. Customer advanced payments represent required customer payments in advance of product shipments according to customer’s payment term. Customer advance payments are recognized as revenue when control of the performance obligation is transferred to the customer. Customer deposits represent consideration received from a customer which can be applied to future product or service purchases, or refunded.</w:t>
      </w:r>
    </w:p>
    <w:p>
      <w:pPr>
        <w:spacing w:after="0" w:line="8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Contract assets and liabilities are presented net at the individual contract level in the unaudited condensed consolidated balance sheet and are classified as current or non-current based on the nature of the underlying contractual rights and obligations.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2"/>
        </w:trPr>
        <w:tc>
          <w:tcPr>
            <w:tcW w:w="8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 from licensing arrangements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contract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w:t>
            </w:r>
          </w:p>
        </w:tc>
      </w:tr>
      <w:tr>
        <w:trPr>
          <w:trHeight w:val="257"/>
        </w:trPr>
        <w:tc>
          <w:tcPr>
            <w:tcW w:w="8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 portion</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 from licensing arrangements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contract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48"/>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Deferred revenues from multi-year licensing contracts mainly represent minimum royalty payments received from licensees relating to long-term IP license contracts for which the Company has future obligations under the license agreements. Royalties from the IP licenses are recognized at the later of the period the sales occur or the satisfaction of the performance obligation to which some or all of the royalties have been allocated. The Company evaluated its performance obligations under multi-year licensing contracts and did not recognize any revenue under such licensing contracts in 2023 and 2024 because the Company concluded there is significant uncertainty associated with resolving the Company’s performance.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Other contract liabilities primarily relate to one multi-year contract entered in 2023 with a customer to sell its products. In July 2024, the Company signed a new contract with this customer that added new service performance obligations and modified certain payment, pricing and delivery terms. As a result, the Company received an additional $8.2 million payment from this customer, which was recorded in other contract liabilities. During the three months ended September 30, 2024, the Company recognized no revenue from this customer. As of September 30, 2024, $13.5 million remained deferred under the contract until a future product and service delivery date. This amount includes a deferred revenue balance of $5.3 million prior to the amendment, along with $8.2 million in cash received during the three months ended September 30, 2024.</w:t>
      </w:r>
    </w:p>
    <w:p>
      <w:pPr>
        <w:spacing w:after="0" w:line="7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contract liabilities (remaining performance obligations) and the significant changes in the balances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17,852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acquired in the Velodyne Merger</w:t>
            </w:r>
          </w:p>
        </w:tc>
        <w:tc>
          <w:tcPr>
            <w:tcW w:w="8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deferred in the period</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that was included in the contract liability balance at the beginning of the period</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(1,780)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25,477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2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results of operations and financial condition of Ouster, Inc. (“we,” “us,” “our,” the “Company,” “Ouster”) should be read in conjunction with the information set forth in our unaudited condensed consolidated financial statements and the notes thereto included elsewhere in this Quarterly Report, as well as our audited consolidated financial statements and the “Management’s Discussion and Analysis of Financial Condition and Results of Operations” included in Ouster’s Annual Report on Form 10-K (the “2023 Annual Report”) filed with the Securities and Exchange Commission (“SEC”) on March 28, 2024. This discussion contains forward-looking statements based upon current plans, expectations and beliefs that involve risks and uncertainties. Ouster’s actual results may differ materially from those anticipated in these forward-looking statements as a result of various factors, including those set forth in the section titled “Risk Factors” in Ouster’s 2023 Annual Report as may be further updated from time to time in the Company’s other filings with the SEC.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founded Ouster in 2015 with the invention of our high-performance digital lidar. To continue to grow our business in the coming years, we expanded and plan to continue to maintain and opportunistically expand our sales and marketing efforts and our software development capabilities, and to accelerate sensor development efforts. We are headquartered in San Francisco, California.</w:t>
      </w:r>
    </w:p>
    <w:p>
      <w:pPr>
        <w:spacing w:after="0" w:line="6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are a leading global provider of autonomy solutions. We provide high-resolution digital lidar sensors that offer advanced 3D vision to machinery, vehicles, robots, and fixed infrastructure assets, which allows each to understand and visualize the surrounding world and enable safe operation and autonomy. We design and manufacture digital lidar sensors that we believe are one of the highest-performing, lowest-cost lidar solutions available today across each of our four target markets: automotive, industrial, robotics, and smart infrastructure.</w:t>
      </w:r>
    </w:p>
    <w:p>
      <w:pPr>
        <w:spacing w:after="0" w:line="72"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We also provide perception software platforms for smart infrastructure deployments. Our software enables real-time people and object detection, classification, and tracking for actionable, intuitive, and customizable insights while preserving personally identifiable information. Our digital lidar sensors leverage a simplified architecture based on two semiconductor chips and are backed by a suite of patent-protected technology.</w:t>
      </w:r>
    </w:p>
    <w:p>
      <w:pPr>
        <w:spacing w:after="0" w:line="6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hardware product offering currently includes four models of sensors in our OS product line: the hemispheric field of view OSDome, the ultra-wide field of view OS0, the mid-range OS1, and the long-range OS2. Within our OS sensor models, we offer numerous customization options, all enabled by embedded software. For each of our models in the OS product line, we offer resolution options of 128 lines vertically (“channels”), 64 channels, or 32 channels, as well as many beam spacing options. On October 19, 2022, we announced the launch of our newest OS series scanning sensors, REV7, powered by our next-generation L3 chip. REV7 features the all-new OSDome sensor, as well as upgraded OS0, OS1, and OS2 sensors that deliver double the range, enhanced object detection, increased precision and accuracy, and greater reliability. The REV7 sensors offer performance upgrades that we believe will enhance Ouster’s market opportunity, driven by new opportunities for longer-range and mapping applications. We are currently developing our solid-state digital flash (“DF”) product line, which is a suite of short, mid, and long-range solid-state digital lidar sensors that provide uniform precision imaging without motion blur across an entire field of view.</w:t>
      </w:r>
    </w:p>
    <w:p>
      <w:pPr>
        <w:spacing w:after="0" w:line="80"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We also provide perception software platforms for smart infrastructure deployments. Our software enables real-time people and object detection, classification, and tracking for actionable, intuitive, and customizable insights while preserving personally identifiable information. For example, our Gemini perception software optimizes the high resolution and improved range of the Company’s OS sensors to enhance detection, classification and tracking accuracy. Users can mesh multiple lidar sensors together within the Gemini software interface allowing a seamless 3D view of object movement throughout the space, with each sensor providing up to ten times more coverage than a camera-based system.</w:t>
      </w:r>
    </w:p>
    <w:p>
      <w:pPr>
        <w:spacing w:after="0" w:line="75"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spacing w:after="0" w:line="68"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We believe the simplicity of our digital lidar design gives us a meaningful advantage in costs related to manufacturing, supply chain and production yields. Within our OS sensor models, we offer numerous customization options, all enabled by embedded software which minimizes changes to manufacturing or inventory. Our main manufacturing partners are Benchmark and Fabrinet, which manufacture the majority of our products at their facilities in Thailand. We expect this will allow us to continue to reduce our product costs and rapidly scale production to meet our anticipated product demand. Based on cost quotes for our products in mass production, we anticipate our manufacturing costs per unit will decrease further as production volumes increase. Fabrinet serves as the primary manufacturing partner for these products.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Velodyne Lidar, Inc.</w:t>
      </w:r>
    </w:p>
    <w:p>
      <w:pPr>
        <w:spacing w:after="0" w:line="12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November 4, 2022, we entered into an Agreement and Plan of Merger (the “Velodyne Merger Agreement”) with Velodyne Lidar, Inc., a Delaware corporation (“Velodyne”), Oban Merger Sub, Inc., a Delaware corporation and one of our direct, wholly owned subsidiaries (“Velodyne Merger Sub I”) and Oban Merger Sub II LLC, a Delaware limited liability company and one of our direct, wholly owned subsidiaries (“Velodyne Merger Sub II”).</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February 10, 2023, we completed our merger of equals with Velodyne pursuant to the terms of the Agreement and Plan of Merger with Velodyne, Merger Sub I and Merger Sub II (the “Velodyne Merger”). In connection with the closing of the Velodyne Merger, we and Velodyne now operate as a single combined company.</w:t>
      </w:r>
    </w:p>
    <w:p>
      <w:pPr>
        <w:spacing w:after="0" w:line="68"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Our product offerings acquired through the Velodyne Merger include three models of sensors. The Alpha Prime (VLS-128) is a lidar sensor designed for autonomous driving and advanced vehicle safety, offering a 300-meter range with 128 lasers and real-time 3D data at 0.1-degree vertical and horizontal resolution. Recognized at the Pace Automotive Award in 2019, it provides a superior combination of range, resolution, and precision for Level 4 and Level 5 autonomous vehicles in both highway and low-speed urban environments. The Puck (VLP-16) is designed for mass production and affordability, featuring 16 lasers, a 100-meter range, and a multi-laser design with lower power consumption, lighter weight, and a compact footprint, making it suitable for low-speed autonomy and driver assistance. The Puck Hi-Res (VLP-16 Hi-Res) is an enhanced version of the original Puck, designed for applications requiring high image resolution, maintaining a 100-meter range and introducing a tighter laser distribution for more details in the 3D image at longer ranges, enabling better object identification.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Commercialization of Lidar Applications. </w:t>
      </w:r>
      <w:r>
        <w:rPr>
          <w:rFonts w:ascii="Times New Roman" w:cs="Times New Roman" w:eastAsia="Times New Roman" w:hAnsi="Times New Roman"/>
          <w:sz w:val="18"/>
          <w:szCs w:val="18"/>
          <w:color w:val="auto"/>
        </w:rPr>
        <w:t>We believe that lidar and system solutions, including our subscription-based software, are approaching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inflection point of adoption across our target end market applications, and that we are well-positioned to capitalize on this market adoption. However, as our customers continue research and development projects that rely on lidar technology, it is difficult to estimate the timing of ultimate end market and customer adoption. As a result, we expect that our results of operations, including revenue and gross margins, will continue to fluctuate on a quarterly and annual basis for the foreseeable future. As the market for lidar solutions matures and more customers reach a commercialization phase with solutions that rely on our technology, fluctuations in our operating results may become less pronounced. In 2024, our strategic business objectives include expanding software solutions, advancing the development of hardware, and progressing on the long-term financial framework. Accordingly, we expect to make progress towards growing our revenue and expanding gross margins. Nonetheless, our revenue and gross margins may not increase as we expect unless and until more customers commercialize their products and lidar technology becomes more prevalent across our target end markets.</w:t>
      </w:r>
    </w:p>
    <w:p>
      <w:pPr>
        <w:spacing w:after="0" w:line="80"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Number of Customers in Production. </w:t>
      </w:r>
      <w:r>
        <w:rPr>
          <w:rFonts w:ascii="Times New Roman" w:cs="Times New Roman" w:eastAsia="Times New Roman" w:hAnsi="Times New Roman"/>
          <w:sz w:val="18"/>
          <w:szCs w:val="18"/>
          <w:color w:val="auto"/>
        </w:rPr>
        <w:t>For certain strategic customers and markets, our products must be integrated into a broader platform, which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tested, validated, and achieve system-level performance and reliability thresholds that enable commercial production and sales. The time necessary to reach commercial production varies from six months to seven years based on the market and application. For example, the production cycle in the automotive market tends to be substantially longer than in our other target markets, including industrial, robotics, and smart infrastructure. It is critical to our future success in each of our target end markets that our customers reach commercial production and sales and select our products in their commercial production applications and that we avoid unexpected cancellations of major purchases of our products. Because the timelines to reach production vary significantly and the revenue generated by each customer in connection with commercial production and sales is unpredictable, it is difficult for us to reliably predict our financial performance.</w:t>
      </w:r>
    </w:p>
    <w:p>
      <w:pPr>
        <w:spacing w:after="0" w:line="77"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Customers’ Sales Volumes. </w:t>
      </w:r>
      <w:r>
        <w:rPr>
          <w:rFonts w:ascii="Times New Roman" w:cs="Times New Roman" w:eastAsia="Times New Roman" w:hAnsi="Times New Roman"/>
          <w:sz w:val="18"/>
          <w:szCs w:val="18"/>
          <w:color w:val="auto"/>
        </w:rPr>
        <w:t>Our customer base is diversified and we aim to continue to penetrate into diverse end markets to increase our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volumes. Ultimately widespread adoption of our customers’ products that incorporate our lidar solutions will depend on many factors, including the size of our customers’ end markets, end market penetration of our customer’s products that incorporate our digital lidar solutions, our end customers’ ability to sell their products, and the financial stability and reputation of the customers. In 2024, our strategic business objectives continue to include growing our installed base of customers. We believe our sales volume by customer depends on the end market demand for our customers’ products that incorporate our digital lidar solutions as well as our ability to increase our sales force productivity.</w:t>
      </w:r>
    </w:p>
    <w:p>
      <w:pPr>
        <w:spacing w:after="0" w:line="74" w:lineRule="exact"/>
        <w:rPr>
          <w:sz w:val="20"/>
          <w:szCs w:val="20"/>
          <w:color w:val="auto"/>
        </w:rPr>
      </w:pPr>
    </w:p>
    <w:p>
      <w:pPr>
        <w:ind w:right="40" w:firstLine="405"/>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Average Selling Prices (“ASPs”), Product Costs and Margins. </w:t>
      </w:r>
      <w:r>
        <w:rPr>
          <w:rFonts w:ascii="Times New Roman" w:cs="Times New Roman" w:eastAsia="Times New Roman" w:hAnsi="Times New Roman"/>
          <w:sz w:val="17"/>
          <w:szCs w:val="17"/>
          <w:color w:val="auto"/>
        </w:rPr>
        <w:t>Our product costs and gross margins depend largely on the volumes of sensors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shipped, the mix of existing and new products sold and the number and variety of solutions we provide to our customers. We expect that our selling prices will vary by target end market and application due to market-specific supply and demand dynamics. We expect to continue to experience some downward pressure on prices from signing anticipated large multi-year agreements in the near term with multi-year negotiated pricing. We expect that these customer-specific selling price fluctuations combined with our volume-driven product costs may drive fluctuations in revenue and gross margins on a quarterly basis. However, notwithstanding any short-term price surcharges on our products, we expect that over time our volume-driven product costs will decrease.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Lidar is an emerging market, and there are many competitors for the growing market. This has created downward pressure on our ASPs.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this pressure to continue to push our ASPs lower in the coming years. However, we believe that because of our complementary metal-oxide-semiconductor digital lidar technology, we are well-positioned to scale more rapidly than our competitors and leverage our scale to deliver positive gross margins.</w:t>
      </w:r>
    </w:p>
    <w:p>
      <w:pPr>
        <w:spacing w:after="0" w:line="7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Continued Investment and Innovation. </w:t>
      </w:r>
      <w:r>
        <w:rPr>
          <w:rFonts w:ascii="Times New Roman" w:cs="Times New Roman" w:eastAsia="Times New Roman" w:hAnsi="Times New Roman"/>
          <w:sz w:val="18"/>
          <w:szCs w:val="18"/>
          <w:color w:val="auto"/>
        </w:rPr>
        <w:t>We believe that we are a leading lidar provider. Our financial performance is significantly dependent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maintain this leading position, which is further dependent on the investments we make in research and development. We believe it is essential that we continue to identify and respond to rapidly evolving customer requirements, including successfully progressing our digital lidar roadmap and developing technologies that will enhance the operating performance of our products. For example, our next generation custom silicon chip for OS, “L4”, is taped out and we believe it will bring significant improvements in range and field of view, along with safety certifications to the OS sensor family. We currently plan to integrate our next-generation custom silicon chip for DF, “Chronos”, into our solid-state digital flash sensors in the next year. If we fail to continue our innovation, our market position and revenue may be adversely affected, and our investments in that area will not be recovered.</w:t>
      </w:r>
    </w:p>
    <w:p>
      <w:pPr>
        <w:spacing w:after="0" w:line="75"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Supply Chain Continuity. </w:t>
      </w:r>
      <w:r>
        <w:rPr>
          <w:rFonts w:ascii="Times New Roman" w:cs="Times New Roman" w:eastAsia="Times New Roman" w:hAnsi="Times New Roman"/>
          <w:sz w:val="18"/>
          <w:szCs w:val="18"/>
          <w:color w:val="auto"/>
        </w:rPr>
        <w:t>Some of the key components in the products we have designed or are currently designing come from limited or single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 suppliers. If these third parties experience financial, operational, manufacturing capacity or other difficulties, or experience shortages in required components, or if they are otherwise unable or unwilling to continue to manufacture these components in required volumes or at all, our supply may be disrupted or be on less favorable terms. For example, we may be required to seek alternate manufacturers or suppliers for our products. It would be time-consuming, and could be costly and impracticable, to begin to use and qualify new manufacturers, components or designs, and such changes could cause significant interruptions in supply and could have an adverse effect on our ability to meet our scheduled product deliveries and may subsequently lead to the loss of sales.</w:t>
      </w:r>
    </w:p>
    <w:p>
      <w:pPr>
        <w:spacing w:after="0" w:line="75"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Market Trends and Uncertainties. </w:t>
      </w:r>
      <w:r>
        <w:rPr>
          <w:rFonts w:ascii="Times New Roman" w:cs="Times New Roman" w:eastAsia="Times New Roman" w:hAnsi="Times New Roman"/>
          <w:sz w:val="18"/>
          <w:szCs w:val="18"/>
          <w:color w:val="auto"/>
        </w:rPr>
        <w:t>We anticipate increasing demand for our digital lidar solution. We estimate a multibillion-dollar total addressable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(“TAM”) for our solutions in the future. We define our TAM as automation applications in the automotive, industrial, robotics, and smart infrastructure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well-positioned in our market as a leading provider of high-resolution lidar sensors.</w:t>
      </w:r>
    </w:p>
    <w:p>
      <w:pPr>
        <w:spacing w:after="0" w:line="7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Although increasing adoption of lidar technology may generate higher demand, we may not be able to take advantage of demand if we are unable to anticipate regulatory changes and adapt quickly enough to meet such new regulatory standards or requirements applicable to us or to our customers’ products in which our lidar sensors are used. Market acceptance of lidar technology and active safety technology depend upon many factors, including cost, performance, safety performance, regulatory requirements and international taxes or tariffs related to such technologies. These factors may impact the ultimate market acceptance of our lidar technology.</w:t>
      </w:r>
    </w:p>
    <w:p>
      <w:pPr>
        <w:spacing w:after="0" w:line="73" w:lineRule="exact"/>
        <w:rPr>
          <w:sz w:val="20"/>
          <w:szCs w:val="20"/>
          <w:color w:val="auto"/>
        </w:rPr>
      </w:pPr>
    </w:p>
    <w:p>
      <w:pPr>
        <w:ind w:right="18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International Expansion. </w:t>
      </w:r>
      <w:r>
        <w:rPr>
          <w:rFonts w:ascii="Times New Roman" w:cs="Times New Roman" w:eastAsia="Times New Roman" w:hAnsi="Times New Roman"/>
          <w:sz w:val="18"/>
          <w:szCs w:val="18"/>
          <w:color w:val="auto"/>
        </w:rPr>
        <w:t>We view international expansion as an important element of our strategy to increase revenue and achieve profitability.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position ourselves in geographic markets that we expect to serve as important sources of future growth. We have an existing presence in three regions: Americas; Asia Pacific; and Europe, Middle East and Africa. We intend to expand our presence in these regions over time including through distribution partnerships. Expanded global reach will require continued investment and may expose us to additional foreign currency risk, international taxes and tariffs, legal obligations and additional operational costs, risks and challenges that may impact our ability to meet our projected sales volumes, revenue and gross margins.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The majority of our revenue comes from the sale of our lidar sensors and accessories both directly to end users and through distributors both domestically and internationally. We recognize revenue from product sales when the performance obligation of transferring control of the product to the customer has been met, generally when the product is shipped. We also recognize revenue by performing services related to product development, validation, licenses, maintenance under our extended warranty contracts and shipping; however, we do not expect product development and validation and license and services to be material components of revenue, cost of revenue or gross margin in the foreseeable future. Performance obligations related to services are generally recognized over time, based on cost-to-cost input basis or straight-line over time. Amounts billed to customers related to shipping and handling are classified as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Most of our customers are innovators and early technology adopters incorporating our products into their solutions. Currently, our product revenue consists of both customers ordering small volumes of our products that are in an evaluation phase and customers that order larger volumes of our products and have more predictable long-term production schedules. However, we believe we are still at the very beginning of the lidar adoption curve, and some customers are still learning their growth and demand rates which can impact the timing of purchase orders quarter to quarter. As we grow our business, we expect to continue to improve our own understanding of our customers’ needs and timelines, and expect the timing of orders will have a less notable impact on our quarterly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Cost of revenue consists of the manufacturing cost of our lidar sensors, which primarily consists of sensor components, personnel-related expenses, including salaries, benefits, and stock-based compensation directly associated with our manufacturing organization, and amounts paid to our third-party contract manufacturer and vendors. Our cost of revenue also includes depreciation of manufacturing equipment, amortization of intangible assets, an allocated portion of overhead, facility and IT costs, warranty expenses, excess and obsolete inventory and shipping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75"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Our gross profit equals total revenues less our total cost of revenues, and our gross margin is our gross profit expressed as a percentage of total revenue. Our gross margin is subject to quarterly fluctuations in product mix, price and volume.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Research and development (“R&amp;D”) activities are primarily conducted at our San Francisco based headquarters and our additional R&amp;D facilities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Scotland and Canada and consist of the following activities:</w:t>
      </w:r>
    </w:p>
    <w:p>
      <w:pPr>
        <w:spacing w:after="0" w:line="99" w:lineRule="exact"/>
        <w:rPr>
          <w:sz w:val="20"/>
          <w:szCs w:val="20"/>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prototyping, and testing of proprietary electrical, optical, and mechanical subsystems for our digital lidar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testing for industrial and autonomous vehicle safety certifications;</w:t>
      </w:r>
    </w:p>
    <w:p>
      <w:pPr>
        <w:spacing w:after="0" w:line="117"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enhancements to existing products in response to customer requirements including firmware development and software development of lidar integration products;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system-on-a-chip (“SoC”) design for Ouster’s digital lidar products;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custom manufacturing equipment.</w:t>
      </w:r>
    </w:p>
    <w:p>
      <w:pPr>
        <w:spacing w:after="0" w:line="11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R&amp;D expenses consist of personnel-related expenses, including salaries, benefits, and stock-based compensation, for all personnel directly involved in R&amp;D activities, third-party engineering and contractor costs, prototype expenses, amortization of intangible assets, and an allocated portion of overhead, facility and IT costs that support R&amp;D activities.</w:t>
      </w:r>
    </w:p>
    <w:p>
      <w:pPr>
        <w:spacing w:after="0" w:line="68"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R&amp;D costs are expensed as they are incurred. Our investment in R&amp;D will continue to grow as we invest in new lidar technology and related software. Our absolute amount of R&amp;D expenses is expected to grow over time; however, we expect R&amp;D as a percentage of revenue to decrease as our business grows.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Sales and marketing expenses also include amortization expense of intangible assets related to customer relationships associated with the acquisitions and an allocated portion of facility and IT costs that support sales and marketing activities. We expect sales and marketing expenses as a percentage of revenue to decrease as our business grows.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 w:lineRule="exact"/>
        <w:rPr>
          <w:sz w:val="20"/>
          <w:szCs w:val="20"/>
          <w:color w:val="auto"/>
        </w:rPr>
      </w:pPr>
    </w:p>
    <w:p>
      <w:pPr>
        <w:ind w:firstLine="405"/>
        <w:spacing w:after="0" w:line="234"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salaries, benefits, and stock-based compensation, of our executives and members of the board of directors, finance, human resources, a portion of facility and IT costs that support general and administrative activities, as well as amortization of intangible assets, fees related to legal fees, patent prosecution, accounting, finance and professional services, as well as insurance and bank fees. We have experienced and may in the near-term experience additional increases in general and administrative expenses related to legal, accounting, finance and professional services costs associated with the Velodyne Merger, litigation activities, hiring more personnel and consultants to support our growing international expansion and compliance with the applicable provisions of the Sarbanes-Oxley Act (“SOX”) and other SEC rules and regulations as a result of being a public company. Our absolute amount of general and administrative expenses will grow over time; however, we expect general and administrative expenses as a percentage of revenue to decrease as our business grows.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Charges</w:t>
      </w:r>
    </w:p>
    <w:p>
      <w:pPr>
        <w:spacing w:after="0" w:line="11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2023, we recorded goodwill impairment charges of approximately $166.7 million. These charges were primarily driven by the decrease in our market capitalization during the period. Our goodwill impairment analysis includes a comparison of the aggregate estimated fair value of our reporting unit to our total market capitalization. There was no addition to goodwill as of September 30, 2024, and as such our remaining goodwill balance was nil.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Interest income consists primarily of income earned on our cash and cash equivalents and short-term investments. These amounts will vary based on our respective balances and market rates. Interest expense consists primarily of interest on our debt, amortization of debt issuance costs and discounts. Other income (expense), net consists primarily of realized and unrealized gains and losses on foreign currency transactions and balances, realized gains and losses related to sales of our available-for-sale investments, the change in fair value of the private placement warrant liability.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deferred tax assets as it is more likely than not that some, or all, of our deferred tax assets will not be realized. We continue to maintain a full valuation allowance against our U.S. Federal and state deferred tax assets, excluding specific balances due to the Velodyne Merger. Income tax provision for the three and nine months ended September 30, 2024 and 2023, was not material to the Company’s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unaudited condensed consolidated financial statements and notes included elsewhere in this Quarterly Report. The following table sets forth our unaudited condensed consolidated results of operations data for the periods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58,835</w:t>
            </w:r>
          </w:p>
        </w:tc>
      </w:tr>
      <w:tr>
        <w:trPr>
          <w:trHeight w:val="229"/>
        </w:trPr>
        <w:tc>
          <w:tcPr>
            <w:tcW w:w="5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55,932</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7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75,584</w:t>
            </w: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33,086</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63,437</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166,675</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338,782</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(335,879)</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r>
      <w:tr>
        <w:trPr>
          <w:trHeight w:val="229"/>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(334,766)</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(335,115)</w:t>
            </w:r>
          </w:p>
        </w:tc>
      </w:tr>
      <w:tr>
        <w:trPr>
          <w:trHeight w:val="21"/>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98"/>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our unaudited condensed consolidated statements of operations and comprehensive loss data as a percentage of revenue for the periods presented: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22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8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4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 revenue)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3"/>
          </w:tcPr>
          <w:p>
            <w:pPr>
              <w:jc w:val="center"/>
              <w:ind w:left="833"/>
              <w:spacing w:after="0"/>
              <w:rPr>
                <w:sz w:val="20"/>
                <w:szCs w:val="20"/>
                <w:color w:val="auto"/>
              </w:rPr>
            </w:pPr>
            <w:r>
              <w:rPr>
                <w:rFonts w:ascii="Times New Roman" w:cs="Times New Roman" w:eastAsia="Times New Roman" w:hAnsi="Times New Roman"/>
                <w:sz w:val="14"/>
                <w:szCs w:val="14"/>
                <w:b w:val="1"/>
                <w:bCs w:val="1"/>
                <w:color w:val="auto"/>
              </w:rPr>
              <w:t>(% of total revenue)</w:t>
            </w:r>
          </w:p>
        </w:tc>
        <w:tc>
          <w:tcPr>
            <w:tcW w:w="920" w:type="dxa"/>
            <w:vAlign w:val="bottom"/>
          </w:tcPr>
          <w:p>
            <w:pPr>
              <w:spacing w:after="0"/>
              <w:rPr>
                <w:sz w:val="17"/>
                <w:szCs w:val="17"/>
                <w:color w:val="auto"/>
              </w:rPr>
            </w:pPr>
          </w:p>
        </w:tc>
      </w:tr>
      <w:tr>
        <w:trPr>
          <w:trHeight w:val="236"/>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9"/>
                <w:szCs w:val="9"/>
                <w:color w:val="auto"/>
              </w:rPr>
              <w:t>(1)</w:t>
            </w:r>
          </w:p>
        </w:tc>
        <w:tc>
          <w:tcPr>
            <w:tcW w:w="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4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9"/>
                <w:szCs w:val="9"/>
                <w:color w:val="auto"/>
              </w:rPr>
              <w:t>(1)</w:t>
            </w: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5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5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126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283</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576</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tcPr>
          <w:p>
            <w:pPr>
              <w:spacing w:after="0"/>
              <w:rPr>
                <w:sz w:val="19"/>
                <w:szCs w:val="19"/>
                <w:color w:val="auto"/>
              </w:rPr>
            </w:pP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(571)</w:t>
            </w:r>
          </w:p>
        </w:tc>
      </w:tr>
      <w:tr>
        <w:trPr>
          <w:trHeight w:val="22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6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tcPr>
          <w:p>
            <w:pPr>
              <w:spacing w:after="0"/>
              <w:rPr>
                <w:sz w:val="19"/>
                <w:szCs w:val="19"/>
                <w:color w:val="auto"/>
              </w:rPr>
            </w:pP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(569)</w:t>
            </w:r>
          </w:p>
        </w:tc>
      </w:tr>
      <w:tr>
        <w:trPr>
          <w:trHeight w:val="22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126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1"/>
        </w:trPr>
        <w:tc>
          <w:tcPr>
            <w:tcW w:w="4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stock-based compensation expense as follows:</w:t>
      </w:r>
    </w:p>
    <w:p>
      <w:pPr>
        <w:sectPr>
          <w:pgSz w:w="11900" w:h="16838" w:orient="portrait"/>
          <w:cols w:equalWidth="0" w:num="1">
            <w:col w:w="11240"/>
          </w:cols>
          <w:pgMar w:left="320" w:top="229" w:right="339" w:bottom="1440" w:gutter="0" w:footer="0" w:header="0"/>
        </w:sectPr>
      </w:pPr>
    </w:p>
    <w:p>
      <w:pPr>
        <w:spacing w:after="0" w:line="205"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33655</wp:posOffset>
            </wp:positionV>
            <wp:extent cx="18688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5" w:lineRule="exact"/>
        <w:rPr>
          <w:sz w:val="20"/>
          <w:szCs w:val="20"/>
          <w:color w:val="auto"/>
        </w:rPr>
      </w:pPr>
    </w:p>
    <w:p>
      <w:pPr>
        <w:ind w:left="5820"/>
        <w:spacing w:after="0"/>
        <w:tabs>
          <w:tab w:leader="none" w:pos="73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33655</wp:posOffset>
            </wp:positionV>
            <wp:extent cx="18688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3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33655</wp:posOffset>
            </wp:positionV>
            <wp:extent cx="18770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5" w:lineRule="exact"/>
        <w:rPr>
          <w:sz w:val="20"/>
          <w:szCs w:val="20"/>
          <w:color w:val="auto"/>
        </w:rPr>
      </w:pPr>
    </w:p>
    <w:p>
      <w:pPr>
        <w:ind w:left="18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33655</wp:posOffset>
            </wp:positionV>
            <wp:extent cx="18770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33"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19,765</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17,129</w:t>
            </w:r>
          </w:p>
        </w:tc>
      </w:tr>
      <w:tr>
        <w:trPr>
          <w:trHeight w:val="248"/>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by geographic location:</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Asia and Pacific</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5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meaningful.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Revenue increased by $5.9 million, or 26%, to $28.1 million for the three months ended September 30, 2024 from $22.2 million for the comparable period in the prior year. The increase in revenue was primarily driven by increased sales of the REV7 sensors as customers increased their purchase levels compared to the prior year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Locations</w:t>
      </w:r>
    </w:p>
    <w:p>
      <w:pPr>
        <w:spacing w:after="0" w:line="173"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Revenue increased across the geographic regions of Americas and Asia and Pacific as compared to the comparable period in the prior year. The revenue increases in those geographic regions were primarily attributable to the higher sales levels from the launch of the REV7 sensor and our continued focus and investment in our global sales team.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17,321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25" w:lineRule="exact"/>
        <w:rPr>
          <w:sz w:val="20"/>
          <w:szCs w:val="20"/>
          <w:color w:val="auto"/>
        </w:rPr>
      </w:pPr>
    </w:p>
    <w:p>
      <w:pPr>
        <w:jc w:val="both"/>
        <w:ind w:right="620" w:firstLine="405"/>
        <w:spacing w:after="0" w:line="266" w:lineRule="auto"/>
        <w:rPr>
          <w:sz w:val="20"/>
          <w:szCs w:val="20"/>
          <w:color w:val="auto"/>
        </w:rPr>
      </w:pPr>
      <w:r>
        <w:rPr>
          <w:rFonts w:ascii="Times New Roman" w:cs="Times New Roman" w:eastAsia="Times New Roman" w:hAnsi="Times New Roman"/>
          <w:sz w:val="18"/>
          <w:szCs w:val="18"/>
          <w:color w:val="auto"/>
        </w:rPr>
        <w:t>Cost of revenue decreased by $1.8 million, or 9%, to $17.3 million for the three months ended September 30, 2024 from $19.1 million for the comparable period in the prior year. The decrease in cost of revenue was primarily attributable to lower excess and obsolete inventory charges and compensation-related expenses, partially offset by increased shipments over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80" w:type="dxa"/>
            <w:vAlign w:val="bottom"/>
          </w:tcPr>
          <w:p>
            <w:pPr>
              <w:spacing w:after="0"/>
              <w:rPr>
                <w:sz w:val="19"/>
                <w:szCs w:val="19"/>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(9)%</w:t>
            </w: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99"/>
              </w:rPr>
              <w:t>(1)%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$1.6 million, or 9%, to $15.1 million for the three months ended September 30, 2024 from $16.7 million for the comparable period in the prior year. The decrease was primarily attributable to the reduction in compensation expenses and other costs from the restructuring and cost reduction initiatives implemented in 2023 after the closing of the Velodyne Merger.</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$0.7 million, or 9%, to $7.2 million for the three months ended September 30, 2024 from $7.9 million for the comparable period in the prior year. The decrease was primarily attributable to the reduction in compensation expenses and other costs from the restructuring and cost reduction initiatives implemented in 2023 after the closing of the Velodyne Merger.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ind w:right="60" w:firstLine="405"/>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increased by $1.7 million, or 12%, to $15.9 million for the three months ended September 30, 2024 from $14.3 million for the comparable period in the prior year. The increase was primarily attributable to higher legal expenses primarily related to litigation activities.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0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80" w:type="dxa"/>
            <w:vAlign w:val="bottom"/>
          </w:tcPr>
          <w:p>
            <w:pPr>
              <w:spacing w:after="0"/>
              <w:rPr>
                <w:sz w:val="19"/>
                <w:szCs w:val="19"/>
                <w:color w:val="auto"/>
              </w:rPr>
            </w:pPr>
          </w:p>
        </w:tc>
        <w:tc>
          <w:tcPr>
            <w:tcW w:w="15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(669)</w:t>
            </w:r>
          </w:p>
        </w:tc>
      </w:tr>
    </w:tbl>
    <w:p>
      <w:pPr>
        <w:spacing w:after="0" w:line="2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year-over-year decrease in interest income was due to lower balances in cash and cash equivalents and short-term investments in the three months ended September 30, 2024.</w:t>
      </w:r>
    </w:p>
    <w:p>
      <w:pPr>
        <w:spacing w:after="0" w:line="108"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year-over-year decrease in interest expense was due to entering into the new UBS Agreement in October 2023, which had a lower interest rate than the prior Loan Agreement with Hercules, and the repayment of the UBS Loan in August 2024.</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(expense), net was not material for the three months ended September 30, 2024 and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were subject to income taxes in the United States and miscellaneous foreign jurisdictions for the three months ended September 30, 2024 and</w:t>
      </w:r>
    </w:p>
    <w:p>
      <w:pPr>
        <w:spacing w:after="0" w:line="27"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auto"/>
        </w:rPr>
        <w:t>2023. Our income tax expense for the three months ended September 30, 2024 and 2023 was not material to our unaudited condensed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by geographic location:</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6,257</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Asia and Pacific</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5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39</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22,174</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Revenue increased by $22.2 million, or 38%, to $81.0 million for the nine months ended September 30, 2024 from $58.8 million for the comparable period in the prior year. The increase in revenue was primarily driven by increased sales of the REV7 sensors as customers increased their purchase levels and the full period impact from the Velodyne Merger, which occurred on February 10,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Locations</w:t>
      </w:r>
    </w:p>
    <w:p>
      <w:pPr>
        <w:spacing w:after="0" w:line="173"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Revenue increased across the geographic regions of Americas; Asia and Pacific; and Europe, Middle East and Africa as compared to the comparable period in the prior year. The increase in revenue in those geographic regions were primarily driven by increased sales of the REV7 sensors as customers increased their purchase levels and the full period impact from the Velodyne Merger, which occurred on February 10,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53,732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38" w:lineRule="exact"/>
        <w:rPr>
          <w:sz w:val="20"/>
          <w:szCs w:val="20"/>
          <w:color w:val="auto"/>
        </w:rPr>
      </w:pPr>
    </w:p>
    <w:p>
      <w:pPr>
        <w:jc w:val="both"/>
        <w:ind w:right="680" w:firstLine="405"/>
        <w:spacing w:after="0" w:line="266" w:lineRule="auto"/>
        <w:rPr>
          <w:sz w:val="20"/>
          <w:szCs w:val="20"/>
          <w:color w:val="auto"/>
        </w:rPr>
      </w:pPr>
      <w:r>
        <w:rPr>
          <w:rFonts w:ascii="Times New Roman" w:cs="Times New Roman" w:eastAsia="Times New Roman" w:hAnsi="Times New Roman"/>
          <w:sz w:val="18"/>
          <w:szCs w:val="18"/>
          <w:color w:val="auto"/>
        </w:rPr>
        <w:t>Cost of revenue decreased by $2.2 million, or 4%, to $53.7 million for the nine months ended September 30, 2024 from $55.9 million for the comparable period in the prior year. The decrease in cost of revenue was primarily attributable to lower excess and obsolete inventory charges and compensation expenses, partially offset by increased shipments.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(32,219)</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(21,753)</w:t>
            </w:r>
          </w:p>
        </w:tc>
        <w:tc>
          <w:tcPr>
            <w:tcW w:w="80" w:type="dxa"/>
            <w:vAlign w:val="bottom"/>
          </w:tcPr>
          <w:p>
            <w:pPr>
              <w:spacing w:after="0"/>
              <w:rPr>
                <w:sz w:val="19"/>
                <w:szCs w:val="19"/>
                <w:color w:val="auto"/>
              </w:rPr>
            </w:pPr>
          </w:p>
        </w:tc>
        <w:tc>
          <w:tcPr>
            <w:tcW w:w="15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(166,675)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105,856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338,782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(232,926)</w:t>
            </w: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meaningful.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$32.2 million, or 43%, to $43.4 million for the nine months ended September 30, 2024 from $75.6 million for the comparable period in the prior year. The decrease was primarily attributable to the reduction in compensation expenses and other costs from the restructuring and cost reduction initiatives implemented in 2023 after the closing of the Velodyne Merger.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$12.3 million, or 37%, to $20.8 million for the nine months ended September 30, 2024 from $33.1 million for the comparable period in the prior year. The decrease was primarily attributable to the reduction in compensation expenses and other costs from the restructuring and cost reduction initiatives implemented in 2023 after the closing of the Velodyne Merger.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$21.8 million, or 34%, to $41.7 million for the nine months ended September 30, 2024 from $63.4 million for the comparable period in the prior year. The decrease was primarily attributable to the reduction in compensation expenses and other costs from the restructuring and cost reduction initiatives implemented in 2023 after the closing of the Velodyne Merger.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Charges</w:t>
      </w:r>
    </w:p>
    <w:p>
      <w:pPr>
        <w:spacing w:after="0" w:line="173" w:lineRule="exact"/>
        <w:rPr>
          <w:sz w:val="20"/>
          <w:szCs w:val="20"/>
          <w:color w:val="auto"/>
        </w:rPr>
      </w:pPr>
    </w:p>
    <w:p>
      <w:pPr>
        <w:jc w:val="both"/>
        <w:ind w:right="420" w:firstLine="405"/>
        <w:spacing w:after="0" w:line="266" w:lineRule="auto"/>
        <w:rPr>
          <w:sz w:val="20"/>
          <w:szCs w:val="20"/>
          <w:color w:val="auto"/>
        </w:rPr>
      </w:pPr>
      <w:r>
        <w:rPr>
          <w:rFonts w:ascii="Times New Roman" w:cs="Times New Roman" w:eastAsia="Times New Roman" w:hAnsi="Times New Roman"/>
          <w:sz w:val="18"/>
          <w:szCs w:val="18"/>
          <w:color w:val="auto"/>
        </w:rPr>
        <w:t>There was no addition to goodwill in the nine months ended September 30, 2024, and as such our remaining goodwill balance was nil. Goodwill impairment charges were $166.7 million for the nine months ended September 30, 2023 primarily driven by the decrease in our market capitalization during the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0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7,051</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(1,823)</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80" w:type="dxa"/>
            <w:vAlign w:val="bottom"/>
          </w:tcPr>
          <w:p>
            <w:pPr>
              <w:spacing w:after="0"/>
              <w:rPr>
                <w:sz w:val="19"/>
                <w:szCs w:val="19"/>
                <w:color w:val="auto"/>
              </w:rPr>
            </w:pPr>
          </w:p>
        </w:tc>
        <w:tc>
          <w:tcPr>
            <w:tcW w:w="15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(310)</w:t>
            </w:r>
          </w:p>
        </w:tc>
      </w:tr>
    </w:tbl>
    <w:p>
      <w:pPr>
        <w:spacing w:after="0" w:line="23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year-over-year increase in interest income was primarily attributable to higher average cash and cash equivalent balances driven by additions through the Velodyne Merger transaction and higher interest rates earned on held balances.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year-over-year decrease in interest expense was due to entering into the new UBS Agreement in October 2023, which had a lower interest rate.</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expense, net was not material for the nine months ended September 30, 2024 and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were subject to income taxes in the United States and miscellaneous foreign jurisdictions for the nine months ended September 30, 2024 and</w:t>
      </w:r>
    </w:p>
    <w:p>
      <w:pPr>
        <w:spacing w:after="0" w:line="27" w:lineRule="exact"/>
        <w:rPr>
          <w:sz w:val="20"/>
          <w:szCs w:val="20"/>
          <w:color w:val="auto"/>
        </w:rPr>
      </w:pPr>
    </w:p>
    <w:p>
      <w:pPr>
        <w:ind w:right="800"/>
        <w:spacing w:after="0" w:line="260" w:lineRule="auto"/>
        <w:rPr>
          <w:sz w:val="20"/>
          <w:szCs w:val="20"/>
          <w:color w:val="auto"/>
        </w:rPr>
      </w:pPr>
      <w:r>
        <w:rPr>
          <w:rFonts w:ascii="Times New Roman" w:cs="Times New Roman" w:eastAsia="Times New Roman" w:hAnsi="Times New Roman"/>
          <w:sz w:val="18"/>
          <w:szCs w:val="18"/>
          <w:color w:val="auto"/>
        </w:rPr>
        <w:t>2023. Our income tax expense for the nine months ended September 30, 2024 and 2023 was not material to the Company’s unaudited condensed consolidated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and short-term investments, cash generated from sales of our products, sales of common stock under our at-the market equity offering program and proceeds from debt financing.</w:t>
      </w:r>
    </w:p>
    <w:p>
      <w:pPr>
        <w:spacing w:after="0" w:line="108"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Our primary requirements for liquidity and capital are working capital, inventory management, capital expenditures, public company costs and general corporate needs. We expect these needs to continue as we develop and grow our business.</w:t>
      </w:r>
    </w:p>
    <w:p>
      <w:pPr>
        <w:spacing w:after="0" w:line="108"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2024 we had an accumulated deficit of $889.3 million and cash, cash equivalents, restricted cash and short-term investments of $153.8 million. Management believes that our existing sources of liquidity will be adequate to fund our operations for at least twelve months from the date of this Quarterly Report. However, we may need to raise additional capital in the future to support our operations.</w:t>
      </w:r>
    </w:p>
    <w:p>
      <w:pPr>
        <w:spacing w:after="0" w:line="122"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We manage our cash and cash equivalents with financial institutions that we believe have high credit quality and, at times, such amounts exceed federally insured limits. The failure of any bank with which we maintain a commercial relationship could cause us to lose our deposits in excess of the federally insured or protected amounts. We have experienced recurring losses from operations, and negative cash flows from operations, and we expect to continue operating at a loss and to have negative cash flows from operations for the foreseeable future. Because we are in the growth stage of our business and operate in an emerging field of technology, we expect to continue to invest in research and development and expand our sales and marketing teams worldwide. We may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enter into credit facilities for other reasons. If we are unable to obtain adequate financing or financing on terms satisfactory to us, when we require it, our ability to continue to grow or support our business and to respond to business challenges could be significantly limited. In particular, current macroeconomic conditions, including elevated inflation rates and high interest rates, have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12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April 29, 2022, we entered into an open market sale agreement with B. Riley Securities, Inc., Cantor Fitzgerald &amp; Co. and Oppenheimer &amp; Co. Inc. (the “ATM Agreement”), pursuant to which we may offer and sell shares of our common stock with an aggregate offering price of up to $150.0 million under an “at-the-market” offering program. Subject to the terms and conditions of the agreement, we may sell the shares in amounts and at times to be determined by us but we are under no obligation to sell any of the shares. Actual sales, if any, will depend on a variety of factors to be determined by us from time to time, including, among other things, market conditions, the trading price of our common stock, capital needs and determinations by us of the appropriate sources of funding.</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2024, we sold 1,649,310 and 3,482,181 shares of common stock, respectively, generating net</w:t>
      </w:r>
    </w:p>
    <w:p>
      <w:pPr>
        <w:spacing w:after="0" w:line="50"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proceeds of $14.3 million and $32.5 million, respectively, under the ATM Agreement. During the three and nine months ended September 30, 2023, we sold 802,832 shares, under the ATM Agreement, generating net proceeds of $3.6 million.</w:t>
      </w:r>
    </w:p>
    <w:p>
      <w:pPr>
        <w:spacing w:after="0" w:line="54"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remaining availability under the ATM Agreement as of September 30, 2024 is approximately $83.3 million. We currently intend to use the net proceeds from the sale of shares pursuant to the ATM Agreement for working capital and general corporate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Arrangements</w:t>
      </w:r>
    </w:p>
    <w:p>
      <w:pPr>
        <w:spacing w:after="0" w:line="121"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On April 29, 2022, we entered into the Loan Agreement with Hercules Capital, which provided us with a term loan facility of up to $50.0 million, subject to terms and conditions (the “Term Loan Facility”). As of December 31, 2022, $40.0 million had been drawn under the Term Loan Facility, and could be used for general working capital purposes subject to certain terms and conditions.</w:t>
      </w:r>
    </w:p>
    <w:p>
      <w:pPr>
        <w:spacing w:after="0" w:line="68"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On October 25, 2023, we entered into the Credit Line Account Application and Agreement for Organizations and Businesses (the “Credit Agreement”) and the Addendum to Credit Line Account Application and Agreement (the “Addendum”; and the Credit Agreement as amended, modified, and/or supplemented by the Addendum, the “UBS Agreement”) by and among the Company, UBS Bank USA (the “Bank”), and UBS Financial Services Inc. The UBS Agreement provided us with a revolving credit line of up to $45.0 million, subject to certain terms and conditions. We initially borrowed $44.0 million, and all of the proceeds were used to prepay and terminate our Term Loan Facility with Hercules on October 25, 2023.</w:t>
      </w:r>
    </w:p>
    <w:p>
      <w:pPr>
        <w:spacing w:after="0" w:line="7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On August 12, 2024, we repaid the $44.0 million principal amount outstanding under the UBS Agreement, along with accrued interest, and terminated all commitments and obligations thereunder. We funded the repayment of the outstanding revolving loans under the UBS Agreement with cash on hand.</w:t>
      </w:r>
    </w:p>
    <w:p>
      <w:pPr>
        <w:spacing w:after="0" w:line="68" w:lineRule="exact"/>
        <w:rPr>
          <w:sz w:val="20"/>
          <w:szCs w:val="20"/>
          <w:color w:val="auto"/>
        </w:rPr>
      </w:pPr>
    </w:p>
    <w:p>
      <w:pPr>
        <w:ind w:right="700" w:firstLine="405"/>
        <w:spacing w:after="0" w:line="406" w:lineRule="auto"/>
        <w:rPr>
          <w:sz w:val="20"/>
          <w:szCs w:val="20"/>
          <w:color w:val="auto"/>
        </w:rPr>
      </w:pPr>
      <w:r>
        <w:rPr>
          <w:rFonts w:ascii="Times New Roman" w:cs="Times New Roman" w:eastAsia="Times New Roman" w:hAnsi="Times New Roman"/>
          <w:sz w:val="18"/>
          <w:szCs w:val="18"/>
          <w:color w:val="auto"/>
        </w:rPr>
        <w:t xml:space="preserve">For additional information, see Note 6, Debt to our unaudited condensed consolidated financial statements included in this Quarterly Report. </w:t>
      </w:r>
      <w:r>
        <w:rPr>
          <w:rFonts w:ascii="Times New Roman" w:cs="Times New Roman" w:eastAsia="Times New Roman" w:hAnsi="Times New Roman"/>
          <w:sz w:val="18"/>
          <w:szCs w:val="18"/>
          <w:b w:val="1"/>
          <w:bCs w:val="1"/>
          <w:i w:val="1"/>
          <w:iCs w:val="1"/>
          <w:color w:val="auto"/>
        </w:rPr>
        <w:t>Material Cash Requirements</w:t>
      </w:r>
    </w:p>
    <w:p>
      <w:pPr>
        <w:spacing w:after="0" w:line="2"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unaudited condensed consolidated balance sheet as of September 30, 2024, while others are considered future commitments. Our contractual obligations primarily consist of non-cancelable purchase commitments with various parties to purchase goods or services, primarily inventory, entered into in the normal course of business and operating leases. For information regarding our other contractual obligations, refer to Note 8, Commitments and Contingencies and Part II, Item 7 of our 2023 Annual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from continuing operations for the periods presented: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9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8"/>
                <w:szCs w:val="18"/>
                <w:color w:val="auto"/>
              </w:rPr>
            </w:pPr>
          </w:p>
        </w:tc>
      </w:tr>
      <w:tr>
        <w:trPr>
          <w:trHeight w:val="209"/>
        </w:trPr>
        <w:tc>
          <w:tcPr>
            <w:tcW w:w="39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3"/>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80" w:type="dxa"/>
            <w:vAlign w:val="bottom"/>
          </w:tcPr>
          <w:p>
            <w:pPr>
              <w:spacing w:after="0"/>
              <w:rPr>
                <w:sz w:val="18"/>
                <w:szCs w:val="18"/>
                <w:color w:val="auto"/>
              </w:rPr>
            </w:pPr>
          </w:p>
        </w:tc>
      </w:tr>
      <w:tr>
        <w:trPr>
          <w:trHeight w:val="231"/>
        </w:trPr>
        <w:tc>
          <w:tcPr>
            <w:tcW w:w="3920" w:type="dxa"/>
            <w:vAlign w:val="bottom"/>
            <w:shd w:val="clear" w:color="auto" w:fill="CCEEFF"/>
          </w:tcPr>
          <w:p>
            <w:pPr>
              <w:jc w:val="center"/>
              <w:ind w:right="1530"/>
              <w:spacing w:after="0"/>
              <w:rPr>
                <w:sz w:val="20"/>
                <w:szCs w:val="20"/>
                <w:color w:val="auto"/>
              </w:rPr>
            </w:pPr>
            <w:r>
              <w:rPr>
                <w:rFonts w:ascii="Times New Roman" w:cs="Times New Roman" w:eastAsia="Times New Roman" w:hAnsi="Times New Roman"/>
                <w:sz w:val="18"/>
                <w:szCs w:val="18"/>
                <w:color w:val="auto"/>
                <w:w w:val="99"/>
              </w:rPr>
              <w:t>Net cash (used in) provided by:</w:t>
            </w:r>
          </w:p>
        </w:tc>
        <w:tc>
          <w:tcPr>
            <w:tcW w:w="3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392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Operating activities</w:t>
            </w:r>
          </w:p>
        </w:tc>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(31,133)</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(113,703)</w:t>
            </w:r>
          </w:p>
        </w:tc>
        <w:tc>
          <w:tcPr>
            <w:tcW w:w="180" w:type="dxa"/>
            <w:vAlign w:val="bottom"/>
          </w:tcPr>
          <w:p>
            <w:pPr>
              <w:spacing w:after="0"/>
              <w:rPr>
                <w:sz w:val="19"/>
                <w:szCs w:val="19"/>
                <w:color w:val="auto"/>
              </w:rPr>
            </w:pPr>
          </w:p>
        </w:tc>
      </w:tr>
      <w:tr>
        <w:trPr>
          <w:trHeight w:val="230"/>
        </w:trPr>
        <w:tc>
          <w:tcPr>
            <w:tcW w:w="3920" w:type="dxa"/>
            <w:vAlign w:val="bottom"/>
            <w:shd w:val="clear" w:color="auto" w:fill="CCEEFF"/>
          </w:tcPr>
          <w:p>
            <w:pPr>
              <w:jc w:val="center"/>
              <w:ind w:right="1550"/>
              <w:spacing w:after="0"/>
              <w:rPr>
                <w:sz w:val="20"/>
                <w:szCs w:val="20"/>
                <w:color w:val="auto"/>
              </w:rPr>
            </w:pPr>
            <w:r>
              <w:rPr>
                <w:rFonts w:ascii="Times New Roman" w:cs="Times New Roman" w:eastAsia="Times New Roman" w:hAnsi="Times New Roman"/>
                <w:sz w:val="18"/>
                <w:szCs w:val="18"/>
                <w:color w:val="auto"/>
                <w:w w:val="99"/>
              </w:rPr>
              <w:t>Investing activities</w:t>
            </w:r>
          </w:p>
        </w:tc>
        <w:tc>
          <w:tcPr>
            <w:tcW w:w="4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34,858</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63,524</w:t>
            </w:r>
          </w:p>
        </w:tc>
        <w:tc>
          <w:tcPr>
            <w:tcW w:w="180" w:type="dxa"/>
            <w:vAlign w:val="bottom"/>
          </w:tcPr>
          <w:p>
            <w:pPr>
              <w:spacing w:after="0"/>
              <w:rPr>
                <w:sz w:val="19"/>
                <w:szCs w:val="19"/>
                <w:color w:val="auto"/>
              </w:rPr>
            </w:pPr>
          </w:p>
        </w:tc>
      </w:tr>
      <w:tr>
        <w:trPr>
          <w:trHeight w:val="234"/>
        </w:trPr>
        <w:tc>
          <w:tcPr>
            <w:tcW w:w="392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Financing activities</w:t>
            </w:r>
          </w:p>
        </w:tc>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80" w:type="dxa"/>
            <w:vAlign w:val="bottom"/>
          </w:tcPr>
          <w:p>
            <w:pPr>
              <w:spacing w:after="0"/>
              <w:rPr>
                <w:sz w:val="20"/>
                <w:szCs w:val="20"/>
                <w:color w:val="auto"/>
              </w:rPr>
            </w:pPr>
          </w:p>
        </w:tc>
      </w:tr>
      <w:tr>
        <w:trPr>
          <w:trHeight w:val="886"/>
        </w:trPr>
        <w:tc>
          <w:tcPr>
            <w:tcW w:w="3920" w:type="dxa"/>
            <w:vAlign w:val="bottom"/>
          </w:tcPr>
          <w:p>
            <w:pPr>
              <w:spacing w:after="0"/>
              <w:rPr>
                <w:sz w:val="24"/>
                <w:szCs w:val="24"/>
                <w:color w:val="auto"/>
              </w:rPr>
            </w:pPr>
          </w:p>
        </w:tc>
        <w:tc>
          <w:tcPr>
            <w:tcW w:w="372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operating activities used $31.1 million in cash. The primary factors affecting our operating cash flows during this period were our net loss of $73.3 million, offset by our non-cash charges of $39.6 million, primarily consisting of depreciation and amortization of $7.8 million, stock-based compensation of $31.6 million, amortization of right-of-use asset of $3.6 million and inventory write down of $0.8 million. The changes in our operating assets and liabilities of $2.6 million were primarily due to a decrease in accounts receivable of $0.4 million,</w:t>
      </w:r>
    </w:p>
    <w:p>
      <w:pPr>
        <w:spacing w:after="0" w:line="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decrease in inventory of $3.9 million, an increase in prepaid expenses and other assets of $22.5 million, an increase in accounts payable of $2.3 million and a decrease in accrued and other liabilities of $29.5 million.</w:t>
      </w:r>
    </w:p>
    <w:p>
      <w:pPr>
        <w:spacing w:after="0" w:line="9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2023, operating activities used $113.7 million in cash. The primary factors affecting our operating cash flows during this period were our net loss of $335.1 million, impacted by our non-cash charges of $238.7 million, primarily consisting of goodwill impairment charges of $166.7 million, depreciation and amortization of $14.3 million, loss on write-off and disposal of property and equipment and right-of-use asset impairment of $1.2 million, gain on lease termination of $0.8 million, stock-based compensation of $46.6 million, amortization of right-of-use asset of $3.3 million and inventory write down of $8.2 million. The changes in our operating assets and liabilities of $17.3 million were primarily due to an increase in accounts receivable of $4.5 million, increase in inventory of $4.5 million, a decrease in accounts payable of $4.1 million and an increase in accrued and other liabilities of $10.2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240" w:firstLine="405"/>
        <w:spacing w:after="0" w:line="329" w:lineRule="auto"/>
        <w:rPr>
          <w:sz w:val="20"/>
          <w:szCs w:val="20"/>
          <w:color w:val="auto"/>
        </w:rPr>
      </w:pPr>
      <w:r>
        <w:rPr>
          <w:rFonts w:ascii="Times New Roman" w:cs="Times New Roman" w:eastAsia="Times New Roman" w:hAnsi="Times New Roman"/>
          <w:sz w:val="18"/>
          <w:szCs w:val="18"/>
          <w:color w:val="auto"/>
        </w:rPr>
        <w:t>During the nine months ended September 30, 2024, cash provided by investing activities was $34.9 million, consisting primarily of $122.1 million proceeds from short-term investments and purchases of short-term investments of $85.6 million.</w:t>
      </w:r>
    </w:p>
    <w:p>
      <w:pPr>
        <w:spacing w:after="0" w:line="67"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cash provided by investing activities was $63.5 million, which was attributed primarily to the Velodyne Merger and proceeds from sales of short-term investments.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cash used by financing activities was $9.4 million, consisting primarily of $33.8 million of proceeds from the issuance of common stock under the ATM Agreement and repayment of UBS Agreement $44.0 million.</w:t>
      </w:r>
    </w:p>
    <w:p>
      <w:pPr>
        <w:spacing w:after="0" w:line="108"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cash provided by financing activities was $3.4 million, consisting primarily of $2.9 million of proceeds from the issuance of common stock under the ATM Agreement, net of commissions and fees.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Our critical accounting estimates are described in Management’s Discussion and Analysis of Financial Condition and Results of Operations in our 2023 Annual Report. There have been no significant changes to our critical accounting policies and estimates since the filing of our 2023 Annual Report except for the revision in our revenue policies and addition of investments as a significant accounting policy, both in connection with Velodyne Merger, which is described in Note 2 - Summary of Significant Accounting Policies to our unaudited condensed consolidated financial statements included in this Quarterly Report.</w:t>
      </w:r>
    </w:p>
    <w:p>
      <w:pPr>
        <w:spacing w:after="0" w:line="12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Certain of these policies require the application of subjective or complex judgments, often as a result of the need to make estimates about the effect of matters that are inherently uncertain. These estimates and assumptions are based on historical experience, changes in the business environment and other factors that we believe to be reasonable under the circumstances. Different estimates that could have been applied in the current period or changes in the accounting estimates that are reasonably likely can result in a material impact on our financial condition and operating results in the current and future periods.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foreign currency exchange rates and to a lesser extent, inflation risk. The following analysis provides quantitative and qualitative information regarding these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75"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General inflation in the U.S., Europe and other geographies has risen to levels not experienced in recent decades. General inflation, including rising prices for inputs and rising wages, as well as rising interest rates negatively impact our business by increasing our operating costs. General inflation also negatively impacts our business by decreasing the capital for our customers to deploy to purchase our products. Inflation may cause our customers to reduce or delay orders for our products thereby causing a decrease in sales. Increased instability relating to this higher inflation as well as rising interest rates may enhance volatility in currency exchange rates, limit our suppliers’ and customers’ access to credit and limit our ability to access debt and equity financing. These uncertainties may make it difficult for us and our suppliers and customers to accurately plan future business activities and materially adversely impact our operating results and financial condition. While we adjust our prices to try to offset rising operating costs, we may not be able to fully offset such higher costs or demand may decline. Our inability to offset costs or consequential decline in demand could harm our business, results of operations or financial condition. We do not believe that inflation has had a material effect on our business, financial condition, or results of operations, other than its impact on the general economy. We cannot assure you, however, that our results of operations and financial condition will not be materially impacted by inflation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2024, we had cash and cash equivalents, restricted cash and short-term investments of $153.8 million, out of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 million consisted of institutional money market funds, $53.8 million commercial paper, and $53.2 million consisted of corporate debt and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agency securities, all of which carries a degree of interest rate risk. The primary goals of our investment policy are liquidity and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preservation. We do not enter into investments for trading or speculative purposes.</w:t>
      </w:r>
    </w:p>
    <w:p>
      <w:pPr>
        <w:spacing w:after="0" w:line="153"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These investments are subject to interest rate risk, as sharp increases in market interest rates could have an adverse impact on their fair value. Although the fair values of these instruments can fluctuate, we believe that the short-term, highly liquid nature of these investments, and our ability to hold these instruments to maturity, reduces our risk for potential material losses. A hypothetical 100 basis point change in interest rates would not have a material impact on our financial condition or results of operations due to the short-term nature of our investment portfolio.</w:t>
      </w:r>
    </w:p>
    <w:p>
      <w:pPr>
        <w:spacing w:after="0" w:line="126"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On August 12, 2024, we repaid in full, with cash on hand, all outstanding indebtedness and terminated all commitments and obligations under the UBS Agreement. As of September 30, 2024, we had no debt outstanding and therefore are not exposed to interest rate risk with respect to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 No strategy can completely insulate us from risks associated with such fluctuations and our currency exchange rate risk management activities could expose us to substantial losses if such rates move materially differently from our expectations.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7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the reports filed or submitted under the Securities Exchange Act of 1934, as amended,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that term is defined in Rules 13a-15(e) and 15d-15(e) under the Exchange Act) as of September 30, 2024. Based on that evaluation, our Chief Executive Officer and Chief Financial Officer concluded that our disclosure controls and procedures were not effective as of September 30, 2024 due to the material weaknesses in our internal control over financial reporting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and remediation measures</w:t>
      </w:r>
    </w:p>
    <w:p>
      <w:pPr>
        <w:spacing w:after="0" w:line="175"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under the Exchange Act).</w:t>
      </w:r>
    </w:p>
    <w:p>
      <w:pPr>
        <w:spacing w:after="0" w:line="108"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08"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material weakness also contributed to the following additional material weaknesses.</w:t>
      </w:r>
    </w:p>
    <w:p>
      <w:pPr>
        <w:spacing w:after="0" w:line="171"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w:t>
      </w:r>
    </w:p>
    <w:p>
      <w:pPr>
        <w:spacing w:after="0" w:line="122"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These material weaknesses resulted in adjustments to several account balances and disclosures in the consolidated financial statements for the years ended December 31, 2019 and 2018, and adjustments to the equity and warrant liabilities accounts and related disclosures in the unaudited condensed consolidated financial statements for the three months ended March 31, 2021. The material weakness related to the control environment also resulted in an immaterial adjustment, which was recorded prior to the issuance of the unaudited condensed consolidated financial statements as of June 30, 2024.</w:t>
      </w:r>
    </w:p>
    <w:p>
      <w:pPr>
        <w:spacing w:after="0" w:line="126"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Measures Taken</w:t>
      </w:r>
    </w:p>
    <w:p>
      <w:pPr>
        <w:spacing w:after="0" w:line="175"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We are continuing to execute a remediation plan to address the control deficiencies underlying these material weaknesses. These remediation measures are ongoing and include the following:</w:t>
      </w:r>
    </w:p>
    <w:p>
      <w:pPr>
        <w:spacing w:after="0" w:line="54" w:lineRule="exact"/>
        <w:rPr>
          <w:sz w:val="20"/>
          <w:szCs w:val="20"/>
          <w:color w:val="auto"/>
        </w:rPr>
      </w:pPr>
    </w:p>
    <w:p>
      <w:pPr>
        <w:ind w:left="660" w:right="1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recruit personnel with appropriate internal controls, accounting knowledge and experience commensurate with our accounting and reporting requirements, in addition to engaging and utilizing third party consultants and specialists. Our management also reallocated roles and responsibilities within the accounting team based on skills and experience of various personnel.</w:t>
      </w:r>
    </w:p>
    <w:p>
      <w:pPr>
        <w:spacing w:after="0" w:line="67"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operate entity level controls (ELCs) including Board and Audit Committee oversight, senior management review of financial and business performance and internal controls, and expansion of the internal audit team. We have designed and implemented these controls in the previous financial years.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provide internal control training for personnel responsible for implementing internal controls for the Company.</w:t>
      </w:r>
    </w:p>
    <w:p>
      <w:pPr>
        <w:spacing w:after="0" w:line="117"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operate internal controls for financial close and reporting including review of accounting policies, journal entry review controls, period end close procedures, financial statement preparation, review, and reporting, and controls within various business processes as they relate to financial reporting, including controls to ensure segregation of duties. This included controls around classification of balances in our financial statements and strengthening processes for management oversight over financial reporting and disclosure controls. We have designed and implemented these controls in the previous financial years.</w:t>
      </w:r>
    </w:p>
    <w:p>
      <w:pPr>
        <w:spacing w:after="0" w:line="12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These investments in resources have improved the stability of our accounting organization. While significant progress has been made in response to the material weaknesses, time is needed to demonstrate sustainability as it relates to our internal control over financial reporting and improvements made to our complement of resources, including demonstrating sustained operating effectiveness of our internal controls. We are committed to continuous improvement and will continue to diligently review our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Other than the remediation measures described above, there were no changes in our internal control over financial reporting (as such term is defined in Rules 13a-15(f) and 15d-15(f) under the Exchange Act)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200" w:firstLine="405"/>
        <w:spacing w:after="0" w:line="312" w:lineRule="auto"/>
        <w:rPr>
          <w:sz w:val="20"/>
          <w:szCs w:val="20"/>
          <w:color w:val="auto"/>
        </w:rPr>
      </w:pPr>
      <w:r>
        <w:rPr>
          <w:rFonts w:ascii="Times New Roman" w:cs="Times New Roman" w:eastAsia="Times New Roman" w:hAnsi="Times New Roman"/>
          <w:sz w:val="17"/>
          <w:szCs w:val="17"/>
          <w:color w:val="auto"/>
        </w:rPr>
        <w:t>We are, from time to time, party to various claims and legal proceedings arising in the ordinary course of our business. See Part I, Item 1 “Financial Statements (Unaudited) - Note 8, Commitments and Contingencies,” incorporated herein by reference, for a discussion of material legal proceedings.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described under the heading “Risk Factors” in Part I, Item 1A. of our 2023 Annual Report, the other information in this Quarterly Report, including our unaudited condensed consolidated financial statements and the related notes, as well as our other public filings with the SEC, before deciding to invest in our securities. There have been no material changes to the Company’s risk factors previously disclosed in our 2023 Annual Report. The occurrence of any of the events described therein could harm our business, financial condition, results of operations, liquidity or prospects. In such an event, the market price of our common stock could decline, and you may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420" w:right="6120" w:hanging="412"/>
        <w:spacing w:after="0" w:line="344" w:lineRule="auto"/>
        <w:tabs>
          <w:tab w:leader="none" w:pos="27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Disclosure in lieu of reporting on a Current Report on Form 8-K. </w:t>
      </w:r>
      <w:r>
        <w:rPr>
          <w:rFonts w:ascii="Times New Roman" w:cs="Times New Roman" w:eastAsia="Times New Roman" w:hAnsi="Times New Roman"/>
          <w:sz w:val="18"/>
          <w:szCs w:val="18"/>
          <w:color w:val="auto"/>
        </w:rPr>
        <w:t>None.</w:t>
      </w:r>
    </w:p>
    <w:p>
      <w:pPr>
        <w:ind w:left="420" w:right="2540" w:hanging="412"/>
        <w:spacing w:after="0" w:line="286" w:lineRule="auto"/>
        <w:tabs>
          <w:tab w:leader="none" w:pos="27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Material changes to the procedures by which security holders may recommend nominees to the board of directors. </w:t>
      </w:r>
      <w:r>
        <w:rPr>
          <w:rFonts w:ascii="Times New Roman" w:cs="Times New Roman" w:eastAsia="Times New Roman" w:hAnsi="Times New Roman"/>
          <w:sz w:val="18"/>
          <w:szCs w:val="18"/>
          <w:color w:val="auto"/>
        </w:rPr>
        <w:t>None.</w:t>
      </w:r>
    </w:p>
    <w:p>
      <w:pPr>
        <w:spacing w:after="0" w:line="46"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Insider trading arrangements and policies.</w:t>
      </w:r>
    </w:p>
    <w:p>
      <w:pPr>
        <w:spacing w:after="0" w:line="67"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officer of the Company, as defined in Rule 16a-1(f) of the Exchange Act, adopted or terminated a “Rule 10b5-1 trading arrangement” intended to satisfy the affirmative defense of Rule 10b5-1(c) or a “non-Rule 10b5-1 trading arrangement,” as each term is defined in Item 408(a) of Regulation S-K.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ind w:left="160"/>
        <w:spacing w:after="0"/>
        <w:tabs>
          <w:tab w:leader="none" w:pos="28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5572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060" w:type="dxa"/>
            <w:vAlign w:val="bottom"/>
            <w:gridSpan w:val="3"/>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4540" w:type="dxa"/>
            <w:vAlign w:val="bottom"/>
            <w:gridSpan w:val="28"/>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Agreement and Plan of Merger, dated as of December 21,</w:t>
              </w:r>
            </w:hyperlink>
          </w:p>
        </w:tc>
        <w:tc>
          <w:tcPr>
            <w:tcW w:w="0" w:type="dxa"/>
            <w:vAlign w:val="bottom"/>
          </w:tcPr>
          <w:p>
            <w:pPr>
              <w:spacing w:after="0"/>
              <w:rPr>
                <w:sz w:val="1"/>
                <w:szCs w:val="1"/>
                <w:color w:val="auto"/>
              </w:rPr>
            </w:pPr>
          </w:p>
        </w:tc>
      </w:tr>
      <w:tr>
        <w:trPr>
          <w:trHeight w:val="27"/>
        </w:trPr>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40" w:type="dxa"/>
            <w:vAlign w:val="bottom"/>
            <w:tcBorders>
              <w:bottom w:val="single" w:sz="8" w:color="0000FF"/>
            </w:tcBorders>
            <w:gridSpan w:val="16"/>
          </w:tcPr>
          <w:p>
            <w:pPr>
              <w:spacing w:after="0" w:line="202"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2020, by and among the Company, Beam Merger Sub, Inc.</w:t>
              </w:r>
            </w:hyperlink>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40" w:type="dxa"/>
            <w:vAlign w:val="bottom"/>
            <w:gridSpan w:val="28"/>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and Ouster, Inc.</w:t>
              </w:r>
            </w:hyperlink>
          </w:p>
        </w:tc>
        <w:tc>
          <w:tcPr>
            <w:tcW w:w="0" w:type="dxa"/>
            <w:vAlign w:val="bottom"/>
          </w:tcPr>
          <w:p>
            <w:pPr>
              <w:spacing w:after="0"/>
              <w:rPr>
                <w:sz w:val="1"/>
                <w:szCs w:val="1"/>
                <w:color w:val="auto"/>
              </w:rPr>
            </w:pPr>
          </w:p>
        </w:tc>
      </w:tr>
      <w:tr>
        <w:trPr>
          <w:trHeight w:val="20"/>
        </w:trPr>
        <w:tc>
          <w:tcPr>
            <w:tcW w:w="1060" w:type="dxa"/>
            <w:vAlign w:val="bottom"/>
            <w:gridSpan w:val="3"/>
            <w:vMerge w:val="restart"/>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hyperlink>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60" w:type="dxa"/>
            <w:vAlign w:val="bottom"/>
            <w:gridSpan w:val="3"/>
            <w:vMerge w:val="continue"/>
          </w:tcPr>
          <w:p>
            <w:pPr>
              <w:spacing w:after="0"/>
              <w:rPr>
                <w:sz w:val="21"/>
                <w:szCs w:val="21"/>
                <w:color w:val="auto"/>
              </w:rPr>
            </w:pPr>
          </w:p>
        </w:tc>
        <w:tc>
          <w:tcPr>
            <w:tcW w:w="4540" w:type="dxa"/>
            <w:vAlign w:val="bottom"/>
            <w:gridSpan w:val="28"/>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Agreement and Plan of Merger, dated November 4, 2022, by</w:t>
              </w:r>
            </w:hyperlink>
          </w:p>
        </w:tc>
        <w:tc>
          <w:tcPr>
            <w:tcW w:w="0" w:type="dxa"/>
            <w:vAlign w:val="bottom"/>
          </w:tcPr>
          <w:p>
            <w:pPr>
              <w:spacing w:after="0"/>
              <w:rPr>
                <w:sz w:val="1"/>
                <w:szCs w:val="1"/>
                <w:color w:val="auto"/>
              </w:rPr>
            </w:pPr>
          </w:p>
        </w:tc>
      </w:tr>
      <w:tr>
        <w:trPr>
          <w:trHeight w:val="203"/>
        </w:trPr>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4360" w:type="dxa"/>
            <w:vAlign w:val="bottom"/>
            <w:tcBorders>
              <w:top w:val="single" w:sz="8" w:color="0000FF"/>
            </w:tcBorders>
            <w:gridSpan w:val="21"/>
          </w:tcPr>
          <w:p>
            <w:pPr>
              <w:spacing w:after="0" w:line="202"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and among Velodyne Lidar, Inc., Ouster, Inc., Oban Merger</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Sub, Inc. and Oban Merger Sub II LLC.</w:t>
              </w:r>
            </w:hyperlink>
          </w:p>
        </w:tc>
        <w:tc>
          <w:tcPr>
            <w:tcW w:w="1400" w:type="dxa"/>
            <w:vAlign w:val="bottom"/>
            <w:tcBorders>
              <w:top w:val="single" w:sz="8" w:color="0000FF"/>
            </w:tcBorders>
            <w:gridSpan w:val="10"/>
          </w:tcPr>
          <w:p>
            <w:pPr>
              <w:spacing w:after="0"/>
              <w:rPr>
                <w:sz w:val="17"/>
                <w:szCs w:val="17"/>
                <w:color w:val="auto"/>
              </w:rPr>
            </w:pPr>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8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Certificate of Incorporation of Ouster, Inc.</w:t>
              </w:r>
            </w:hyperlink>
          </w:p>
        </w:tc>
        <w:tc>
          <w:tcPr>
            <w:tcW w:w="148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8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Certificate of Amendment to Certificate of Incorporation of</w:t>
              </w:r>
            </w:hyperlink>
          </w:p>
        </w:tc>
        <w:tc>
          <w:tcPr>
            <w:tcW w:w="24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Borders>
              <w:bottom w:val="single" w:sz="8" w:color="0000FF"/>
            </w:tcBorders>
            <w:gridSpan w:val="3"/>
          </w:tcPr>
          <w:p>
            <w:pPr>
              <w:spacing w:after="0" w:line="202" w:lineRule="exact"/>
              <w:rPr>
                <w:rFonts w:ascii="Times New Roman" w:cs="Times New Roman" w:eastAsia="Times New Roman" w:hAnsi="Times New Roman"/>
                <w:sz w:val="18"/>
                <w:szCs w:val="18"/>
                <w:color w:val="0000FF"/>
                <w:w w:val="97"/>
              </w:rPr>
            </w:pPr>
            <w:hyperlink r:id="rId81">
              <w:r>
                <w:rPr>
                  <w:rFonts w:ascii="Times New Roman" w:cs="Times New Roman" w:eastAsia="Times New Roman" w:hAnsi="Times New Roman"/>
                  <w:sz w:val="18"/>
                  <w:szCs w:val="18"/>
                  <w:color w:val="0000FF"/>
                  <w:w w:val="97"/>
                </w:rPr>
                <w:t>Ouster, Inc.</w:t>
              </w:r>
            </w:hyperlink>
          </w:p>
        </w:tc>
        <w:tc>
          <w:tcPr>
            <w:tcW w:w="37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rFonts w:ascii="Times New Roman" w:cs="Times New Roman" w:eastAsia="Times New Roman" w:hAnsi="Times New Roman"/>
                <w:sz w:val="18"/>
                <w:szCs w:val="18"/>
                <w:color w:val="0000FF"/>
                <w:w w:val="97"/>
              </w:rPr>
            </w:pPr>
            <w:hyperlink r:id="rId8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540" w:type="dxa"/>
            <w:vAlign w:val="bottom"/>
            <w:gridSpan w:val="28"/>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Second Amended and Restated Bylaws of Ouster, Inc.</w:t>
              </w:r>
            </w:hyperlink>
          </w:p>
        </w:tc>
        <w:tc>
          <w:tcPr>
            <w:tcW w:w="0" w:type="dxa"/>
            <w:vAlign w:val="bottom"/>
          </w:tcPr>
          <w:p>
            <w:pPr>
              <w:spacing w:after="0"/>
              <w:rPr>
                <w:sz w:val="1"/>
                <w:szCs w:val="1"/>
                <w:color w:val="auto"/>
              </w:rPr>
            </w:pPr>
          </w:p>
        </w:tc>
      </w:tr>
      <w:tr>
        <w:trPr>
          <w:trHeight w:val="203"/>
        </w:trPr>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40" w:type="dxa"/>
            <w:vAlign w:val="bottom"/>
            <w:tcBorders>
              <w:top w:val="single" w:sz="8" w:color="0000FF"/>
              <w:bottom w:val="single" w:sz="8" w:color="0000FF"/>
            </w:tcBorders>
            <w:gridSpan w:val="7"/>
          </w:tcPr>
          <w:p>
            <w:pPr>
              <w:spacing w:after="0" w:line="202"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(effective as of April 18, 2024)</w:t>
              </w:r>
            </w:hyperlink>
          </w:p>
        </w:tc>
        <w:tc>
          <w:tcPr>
            <w:tcW w:w="1660" w:type="dxa"/>
            <w:vAlign w:val="bottom"/>
            <w:tcBorders>
              <w:top w:val="single" w:sz="8" w:color="0000FF"/>
            </w:tcBorders>
            <w:gridSpan w:val="3"/>
          </w:tcPr>
          <w:p>
            <w:pPr>
              <w:spacing w:after="0"/>
              <w:rPr>
                <w:sz w:val="17"/>
                <w:szCs w:val="17"/>
                <w:color w:val="auto"/>
              </w:rPr>
            </w:pPr>
          </w:p>
        </w:tc>
        <w:tc>
          <w:tcPr>
            <w:tcW w:w="6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rFonts w:ascii="Times New Roman" w:cs="Times New Roman" w:eastAsia="Times New Roman" w:hAnsi="Times New Roman"/>
                <w:sz w:val="18"/>
                <w:szCs w:val="18"/>
                <w:color w:val="0000FF"/>
                <w:w w:val="97"/>
              </w:rPr>
            </w:pPr>
            <w:hyperlink r:id="rId8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540" w:type="dxa"/>
            <w:vAlign w:val="bottom"/>
            <w:gridSpan w:val="28"/>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Warrant Agreement, dated October 14, 2018, by and between</w:t>
              </w:r>
            </w:hyperlink>
          </w:p>
        </w:tc>
        <w:tc>
          <w:tcPr>
            <w:tcW w:w="0" w:type="dxa"/>
            <w:vAlign w:val="bottom"/>
          </w:tcPr>
          <w:p>
            <w:pPr>
              <w:spacing w:after="0"/>
              <w:rPr>
                <w:sz w:val="1"/>
                <w:szCs w:val="1"/>
                <w:color w:val="auto"/>
              </w:rPr>
            </w:pPr>
          </w:p>
        </w:tc>
      </w:tr>
      <w:tr>
        <w:trPr>
          <w:trHeight w:val="189"/>
        </w:trPr>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Borders>
              <w:top w:val="single" w:sz="8" w:color="0000FF"/>
              <w:bottom w:val="single" w:sz="8" w:color="0000FF"/>
            </w:tcBorders>
            <w:gridSpan w:val="20"/>
          </w:tcPr>
          <w:p>
            <w:pPr>
              <w:spacing w:after="0" w:line="189" w:lineRule="exact"/>
              <w:rPr>
                <w:rFonts w:ascii="Times New Roman" w:cs="Times New Roman" w:eastAsia="Times New Roman" w:hAnsi="Times New Roman"/>
                <w:sz w:val="18"/>
                <w:szCs w:val="18"/>
                <w:color w:val="0000FF"/>
                <w:w w:val="98"/>
              </w:rPr>
            </w:pPr>
            <w:hyperlink r:id="rId83">
              <w:r>
                <w:rPr>
                  <w:rFonts w:ascii="Times New Roman" w:cs="Times New Roman" w:eastAsia="Times New Roman" w:hAnsi="Times New Roman"/>
                  <w:sz w:val="18"/>
                  <w:szCs w:val="18"/>
                  <w:color w:val="0000FF"/>
                  <w:w w:val="98"/>
                </w:rPr>
                <w:t>Continental Stock Transfer &amp; Trust Company and Velodyne</w:t>
              </w:r>
            </w:hyperlink>
          </w:p>
        </w:tc>
        <w:tc>
          <w:tcPr>
            <w:tcW w:w="100" w:type="dxa"/>
            <w:vAlign w:val="bottom"/>
            <w:tcBorders>
              <w:top w:val="single" w:sz="8" w:color="0000FF"/>
            </w:tcBorders>
            <w:gridSpan w:val="3"/>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40" w:type="dxa"/>
            <w:vAlign w:val="bottom"/>
            <w:gridSpan w:val="28"/>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Lidar, Inc.</w:t>
              </w:r>
            </w:hyperlink>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84">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40" w:type="dxa"/>
            <w:vAlign w:val="bottom"/>
            <w:gridSpan w:val="28"/>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Warrant to Purchase Common Stock of Velodyne Lidar, Inc.,</w:t>
              </w:r>
            </w:hyperlink>
          </w:p>
        </w:tc>
        <w:tc>
          <w:tcPr>
            <w:tcW w:w="0" w:type="dxa"/>
            <w:vAlign w:val="bottom"/>
          </w:tcPr>
          <w:p>
            <w:pPr>
              <w:spacing w:after="0"/>
              <w:rPr>
                <w:sz w:val="1"/>
                <w:szCs w:val="1"/>
                <w:color w:val="auto"/>
              </w:rPr>
            </w:pPr>
          </w:p>
        </w:tc>
      </w:tr>
      <w:tr>
        <w:trPr>
          <w:trHeight w:val="189"/>
        </w:trPr>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80" w:type="dxa"/>
            <w:vAlign w:val="bottom"/>
            <w:tcBorders>
              <w:top w:val="single" w:sz="8" w:color="0000FF"/>
            </w:tcBorders>
            <w:gridSpan w:val="22"/>
          </w:tcPr>
          <w:p>
            <w:pPr>
              <w:spacing w:after="0" w:line="18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by and between Velodyne Lidar, Inc. and Amazon.com NV</w:t>
              </w:r>
            </w:hyperlink>
          </w:p>
        </w:tc>
        <w:tc>
          <w:tcPr>
            <w:tcW w:w="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4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Investment Holdings LLC, dated as of February 4, 2022</w:t>
              </w:r>
            </w:hyperlink>
          </w:p>
        </w:tc>
        <w:tc>
          <w:tcPr>
            <w:tcW w:w="220" w:type="dxa"/>
            <w:vAlign w:val="bottom"/>
            <w:tcBorders>
              <w:top w:val="single" w:sz="8" w:color="0000FF"/>
            </w:tcBorders>
            <w:gridSpan w:val="5"/>
          </w:tcPr>
          <w:p>
            <w:pPr>
              <w:spacing w:after="0"/>
              <w:rPr>
                <w:sz w:val="17"/>
                <w:szCs w:val="17"/>
                <w:color w:val="auto"/>
              </w:rPr>
            </w:pPr>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w:t>
            </w: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w w:val="99"/>
              </w:rPr>
              <w:t>13a-14(a)/15d-14(a) under the Securities Exchange Act of</w:t>
            </w:r>
          </w:p>
        </w:tc>
        <w:tc>
          <w:tcPr>
            <w:tcW w:w="20" w:type="dxa"/>
            <w:vAlign w:val="bottom"/>
            <w:tcBorders>
              <w:bottom w:val="single" w:sz="8" w:color="0000FF"/>
            </w:tcBorders>
          </w:tcPr>
          <w:p>
            <w:pPr>
              <w:spacing w:after="0"/>
              <w:rPr>
                <w:sz w:val="13"/>
                <w:szCs w:val="13"/>
                <w:color w:val="auto"/>
              </w:rPr>
            </w:pPr>
          </w:p>
        </w:tc>
        <w:tc>
          <w:tcPr>
            <w:tcW w:w="240" w:type="dxa"/>
            <w:vAlign w:val="bottom"/>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tcBorders>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8"/>
              </w:rPr>
              <w:t>1934, as amended</w:t>
            </w:r>
          </w:p>
        </w:tc>
        <w:tc>
          <w:tcPr>
            <w:tcW w:w="2900" w:type="dxa"/>
            <w:vAlign w:val="bottom"/>
            <w:gridSpan w:val="10"/>
          </w:tcPr>
          <w:p>
            <w:pPr>
              <w:spacing w:after="0"/>
              <w:rPr>
                <w:sz w:val="14"/>
                <w:szCs w:val="14"/>
                <w:color w:val="auto"/>
              </w:rPr>
            </w:pPr>
          </w:p>
        </w:tc>
        <w:tc>
          <w:tcPr>
            <w:tcW w:w="240" w:type="dxa"/>
            <w:vAlign w:val="bottom"/>
            <w:gridSpan w:val="9"/>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w:t>
            </w: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26"/>
          </w:tcPr>
          <w:p>
            <w:pPr>
              <w:spacing w:after="0" w:line="156" w:lineRule="exact"/>
              <w:rPr>
                <w:sz w:val="20"/>
                <w:szCs w:val="20"/>
                <w:color w:val="auto"/>
              </w:rPr>
            </w:pPr>
            <w:r>
              <w:rPr>
                <w:rFonts w:ascii="Times New Roman" w:cs="Times New Roman" w:eastAsia="Times New Roman" w:hAnsi="Times New Roman"/>
                <w:sz w:val="18"/>
                <w:szCs w:val="18"/>
                <w:color w:val="0000FF"/>
                <w:w w:val="99"/>
              </w:rPr>
              <w:t>14(a)/15d-14(a) under the Securities Exchange Act of 1934, as</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520" w:type="dxa"/>
            <w:vAlign w:val="bottom"/>
            <w:gridSpan w:val="27"/>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4480" w:type="dxa"/>
            <w:vAlign w:val="bottom"/>
            <w:tcBorders>
              <w:top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940" w:type="dxa"/>
            <w:vAlign w:val="bottom"/>
            <w:tcBorders>
              <w:top w:val="single" w:sz="8" w:color="0000FF"/>
            </w:tcBorders>
            <w:gridSpan w:val="5"/>
          </w:tcPr>
          <w:p>
            <w:pPr>
              <w:spacing w:after="0"/>
              <w:rPr>
                <w:sz w:val="14"/>
                <w:szCs w:val="14"/>
                <w:color w:val="auto"/>
              </w:rPr>
            </w:pPr>
          </w:p>
        </w:tc>
        <w:tc>
          <w:tcPr>
            <w:tcW w:w="440" w:type="dxa"/>
            <w:vAlign w:val="bottom"/>
            <w:gridSpan w:val="13"/>
          </w:tcPr>
          <w:p>
            <w:pPr>
              <w:spacing w:after="0"/>
              <w:rPr>
                <w:sz w:val="14"/>
                <w:szCs w:val="14"/>
                <w:color w:val="auto"/>
              </w:rPr>
            </w:pPr>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4440" w:type="dxa"/>
            <w:vAlign w:val="bottom"/>
            <w:tcBorders>
              <w:top w:val="single" w:sz="8" w:color="0000FF"/>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940" w:type="dxa"/>
            <w:vAlign w:val="bottom"/>
            <w:tcBorders>
              <w:top w:val="single" w:sz="8" w:color="0000FF"/>
            </w:tcBorders>
            <w:gridSpan w:val="5"/>
          </w:tcPr>
          <w:p>
            <w:pPr>
              <w:spacing w:after="0"/>
              <w:rPr>
                <w:sz w:val="14"/>
                <w:szCs w:val="14"/>
                <w:color w:val="auto"/>
              </w:rPr>
            </w:pPr>
          </w:p>
        </w:tc>
        <w:tc>
          <w:tcPr>
            <w:tcW w:w="54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45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540" w:type="dxa"/>
            <w:vAlign w:val="bottom"/>
            <w:gridSpan w:val="28"/>
          </w:tcPr>
          <w:p>
            <w:pPr>
              <w:spacing w:after="0" w:line="184" w:lineRule="exact"/>
              <w:rPr>
                <w:sz w:val="20"/>
                <w:szCs w:val="20"/>
                <w:color w:val="auto"/>
              </w:rPr>
            </w:pPr>
            <w:r>
              <w:rPr>
                <w:rFonts w:ascii="Times New Roman" w:cs="Times New Roman" w:eastAsia="Times New Roman" w:hAnsi="Times New Roman"/>
                <w:sz w:val="18"/>
                <w:szCs w:val="18"/>
                <w:color w:val="auto"/>
              </w:rPr>
              <w:t>does not appear in the Interactive Data file because its XBRL</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23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84"/>
        </w:trPr>
        <w:tc>
          <w:tcPr>
            <w:tcW w:w="106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540" w:type="dxa"/>
            <w:vAlign w:val="bottom"/>
            <w:gridSpan w:val="28"/>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38"/>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0" w:type="dxa"/>
            <w:vAlign w:val="bottom"/>
          </w:tcPr>
          <w:p>
            <w:pPr>
              <w:spacing w:after="0"/>
              <w:rPr>
                <w:sz w:val="1"/>
                <w:szCs w:val="1"/>
                <w:color w:val="auto"/>
              </w:rPr>
            </w:pPr>
          </w:p>
        </w:tc>
      </w:tr>
      <w:tr>
        <w:trPr>
          <w:trHeight w:val="216"/>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080" w:right="180" w:hanging="105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514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w:t>
            </w:r>
          </w:p>
        </w:tc>
        <w:tc>
          <w:tcPr>
            <w:tcW w:w="0" w:type="dxa"/>
            <w:vAlign w:val="bottom"/>
          </w:tcPr>
          <w:p>
            <w:pPr>
              <w:spacing w:after="0"/>
              <w:rPr>
                <w:sz w:val="1"/>
                <w:szCs w:val="1"/>
                <w:color w:val="auto"/>
              </w:rPr>
            </w:pPr>
          </w:p>
        </w:tc>
      </w:tr>
      <w:tr>
        <w:trPr>
          <w:trHeight w:val="180"/>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vMerge w:val="restart"/>
          </w:tcPr>
          <w:p>
            <w:pPr>
              <w:spacing w:after="0"/>
              <w:rPr>
                <w:sz w:val="15"/>
                <w:szCs w:val="15"/>
                <w:color w:val="auto"/>
              </w:rPr>
            </w:pPr>
          </w:p>
        </w:tc>
        <w:tc>
          <w:tcPr>
            <w:tcW w:w="11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 w:type="dxa"/>
            <w:vAlign w:val="bottom"/>
            <w:vMerge w:val="restart"/>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vMerge w:val="restart"/>
          </w:tcPr>
          <w:p>
            <w:pPr>
              <w:spacing w:after="0"/>
              <w:rPr>
                <w:sz w:val="15"/>
                <w:szCs w:val="15"/>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0" w:type="dxa"/>
            <w:vAlign w:val="bottom"/>
            <w:vMerge w:val="restart"/>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Furnished</w:t>
            </w:r>
          </w:p>
        </w:tc>
        <w:tc>
          <w:tcPr>
            <w:tcW w:w="0" w:type="dxa"/>
            <w:vAlign w:val="bottom"/>
          </w:tcPr>
          <w:p>
            <w:pPr>
              <w:spacing w:after="0"/>
              <w:rPr>
                <w:sz w:val="1"/>
                <w:szCs w:val="1"/>
                <w:color w:val="auto"/>
              </w:rPr>
            </w:pPr>
          </w:p>
        </w:tc>
      </w:tr>
      <w:tr>
        <w:trPr>
          <w:trHeight w:val="238"/>
        </w:trPr>
        <w:tc>
          <w:tcPr>
            <w:tcW w:w="9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37"/>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S-4/A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333-251611</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2/10/2021</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001-39463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11/7/2022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S-4 POS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333-251611</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3/10/2021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001-39463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4/20/2023</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001-39463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4/22/2024</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10/18/2018</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2/7/2022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325" w:lineRule="exact"/>
        <w:rPr>
          <w:sz w:val="20"/>
          <w:szCs w:val="20"/>
          <w:color w:val="auto"/>
        </w:rPr>
      </w:pPr>
    </w:p>
    <w:p>
      <w:pPr>
        <w:sectPr>
          <w:pgSz w:w="11900" w:h="16838" w:orient="portrait"/>
          <w:cols w:equalWidth="0" w:num="2">
            <w:col w:w="5600" w:space="100"/>
            <w:col w:w="5540"/>
          </w:cols>
          <w:pgMar w:left="320" w:top="229" w:right="339" w:bottom="1440" w:gutter="0" w:footer="0" w:header="0"/>
        </w:sectPr>
      </w:pPr>
    </w:p>
    <w:p>
      <w:pPr>
        <w:spacing w:after="0"/>
        <w:rPr>
          <w:sz w:val="20"/>
          <w:szCs w:val="20"/>
          <w:color w:val="auto"/>
        </w:rPr>
      </w:pPr>
      <w:r>
        <w:rPr>
          <w:rFonts w:ascii="Arial" w:cs="Arial" w:eastAsia="Arial" w:hAnsi="Arial"/>
          <w:sz w:val="22"/>
          <w:szCs w:val="22"/>
          <w:color w:val="auto"/>
        </w:rPr>
        <w:t>____________</w:t>
      </w:r>
    </w:p>
    <w:p>
      <w:pPr>
        <w:spacing w:after="0" w:line="39" w:lineRule="exact"/>
        <w:rPr>
          <w:sz w:val="20"/>
          <w:szCs w:val="20"/>
          <w:color w:val="auto"/>
        </w:rPr>
      </w:pPr>
    </w:p>
    <w:p>
      <w:pPr>
        <w:ind w:left="560" w:hanging="534"/>
        <w:spacing w:after="0"/>
        <w:tabs>
          <w:tab w:leader="none" w:pos="5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annexes, schedules, and certain exhibits to this Exhibit have been omitted pursuant to Item 601(b)(2) of Regulation S-K.</w:t>
      </w:r>
    </w:p>
    <w:p>
      <w:pPr>
        <w:spacing w:after="0" w:line="61" w:lineRule="exact"/>
        <w:rPr>
          <w:rFonts w:ascii="Times New Roman" w:cs="Times New Roman" w:eastAsia="Times New Roman" w:hAnsi="Times New Roman"/>
          <w:sz w:val="17"/>
          <w:szCs w:val="17"/>
          <w:color w:val="auto"/>
        </w:rPr>
      </w:pP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7"/>
          <w:szCs w:val="17"/>
          <w:color w:val="auto"/>
        </w:rPr>
      </w:pP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40"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20" w:type="dxa"/>
            <w:vAlign w:val="bottom"/>
          </w:tcPr>
          <w:p>
            <w:pPr>
              <w:spacing w:after="0"/>
              <w:rPr>
                <w:sz w:val="19"/>
                <w:szCs w:val="19"/>
                <w:color w:val="auto"/>
              </w:rPr>
            </w:pPr>
          </w:p>
        </w:tc>
        <w:tc>
          <w:tcPr>
            <w:tcW w:w="80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Ouster, Inc.</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20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Weinswig</w:t>
            </w:r>
          </w:p>
        </w:tc>
      </w:tr>
      <w:tr>
        <w:trPr>
          <w:trHeight w:val="216"/>
        </w:trPr>
        <w:tc>
          <w:tcPr>
            <w:tcW w:w="3120" w:type="dxa"/>
            <w:vAlign w:val="bottom"/>
          </w:tcPr>
          <w:p>
            <w:pPr>
              <w:spacing w:after="0"/>
              <w:rPr>
                <w:sz w:val="18"/>
                <w:szCs w:val="18"/>
                <w:color w:val="auto"/>
              </w:rPr>
            </w:pPr>
          </w:p>
        </w:tc>
        <w:tc>
          <w:tcPr>
            <w:tcW w:w="20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Name:</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Weinswig</w:t>
            </w:r>
          </w:p>
        </w:tc>
      </w:tr>
      <w:tr>
        <w:trPr>
          <w:trHeight w:val="182"/>
        </w:trPr>
        <w:tc>
          <w:tcPr>
            <w:tcW w:w="3120" w:type="dxa"/>
            <w:vAlign w:val="bottom"/>
          </w:tcPr>
          <w:p>
            <w:pPr>
              <w:spacing w:after="0"/>
              <w:rPr>
                <w:sz w:val="15"/>
                <w:szCs w:val="15"/>
                <w:color w:val="auto"/>
              </w:rPr>
            </w:pPr>
          </w:p>
        </w:tc>
        <w:tc>
          <w:tcPr>
            <w:tcW w:w="2080" w:type="dxa"/>
            <w:vAlign w:val="bottom"/>
          </w:tcPr>
          <w:p>
            <w:pPr>
              <w:ind w:left="1320"/>
              <w:spacing w:after="0" w:line="182" w:lineRule="exact"/>
              <w:rPr>
                <w:sz w:val="20"/>
                <w:szCs w:val="20"/>
                <w:color w:val="auto"/>
              </w:rPr>
            </w:pPr>
            <w:r>
              <w:rPr>
                <w:rFonts w:ascii="Times New Roman" w:cs="Times New Roman" w:eastAsia="Times New Roman" w:hAnsi="Times New Roman"/>
                <w:sz w:val="18"/>
                <w:szCs w:val="18"/>
                <w:color w:val="auto"/>
              </w:rPr>
              <w:t>Title:</w:t>
            </w:r>
          </w:p>
        </w:tc>
        <w:tc>
          <w:tcPr>
            <w:tcW w:w="60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 and principal accounting</w:t>
            </w:r>
          </w:p>
        </w:tc>
      </w:tr>
      <w:tr>
        <w:trPr>
          <w:trHeight w:val="236"/>
        </w:trPr>
        <w:tc>
          <w:tcPr>
            <w:tcW w:w="3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tc>
      </w:tr>
      <w:tr>
        <w:trPr>
          <w:trHeight w:val="911"/>
        </w:trPr>
        <w:tc>
          <w:tcPr>
            <w:tcW w:w="3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49</w:t>
            </w:r>
          </w:p>
        </w:tc>
      </w:tr>
    </w:tbl>
    <w:p>
      <w:pPr>
        <w:sectPr>
          <w:pgSz w:w="11900" w:h="16838" w:orient="portrait"/>
          <w:cols w:equalWidth="0" w:num="1">
            <w:col w:w="11220"/>
          </w:cols>
          <w:pgMar w:left="320" w:top="229" w:right="35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Angus Pacala, certify that:</w:t>
      </w:r>
    </w:p>
    <w:p>
      <w:pPr>
        <w:spacing w:after="0" w:line="306" w:lineRule="exact"/>
        <w:rPr>
          <w:sz w:val="20"/>
          <w:szCs w:val="20"/>
          <w:color w:val="auto"/>
        </w:rPr>
      </w:pPr>
    </w:p>
    <w:p>
      <w:pPr>
        <w:ind w:left="540" w:hanging="51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Ouster, Inc.;</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jc w:val="both"/>
        <w:ind w:left="540" w:right="240" w:hanging="514"/>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200" w:hanging="514"/>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220" w:hanging="514"/>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1060" w:right="160" w:hanging="521"/>
        <w:spacing w:after="0" w:line="266"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60" w:right="280" w:hanging="521"/>
        <w:spacing w:after="0" w:line="266"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jc w:val="both"/>
        <w:ind w:left="1060" w:right="440" w:hanging="521"/>
        <w:spacing w:after="0" w:line="282"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60" w:right="160" w:hanging="521"/>
        <w:spacing w:after="0" w:line="266"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120" w:hanging="514"/>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3" w:right="339" w:bottom="1440" w:gutter="0" w:footer="0" w:header="0"/>
        </w:sectPr>
      </w:pPr>
    </w:p>
    <w:bookmarkStart w:id="51" w:name="page52"/>
    <w:bookmarkEnd w:id="51"/>
    <w:p>
      <w:pPr>
        <w:spacing w:after="0" w:line="275" w:lineRule="exact"/>
        <w:rPr>
          <w:sz w:val="20"/>
          <w:szCs w:val="20"/>
          <w:color w:val="auto"/>
        </w:rPr>
      </w:pPr>
    </w:p>
    <w:p>
      <w:pPr>
        <w:ind w:left="1040" w:right="320" w:hanging="521"/>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40" w:hanging="521"/>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5200" w:val="left"/>
          <w:tab w:leader="none" w:pos="588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34290</wp:posOffset>
            </wp:positionV>
            <wp:extent cx="33858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Angus Pacala</w:t>
      </w:r>
    </w:p>
    <w:p>
      <w:pPr>
        <w:spacing w:after="0" w:line="6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Co-Founder and Chief Executive Officer</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0840"/>
          </w:cols>
          <w:pgMar w:left="340" w:top="1440" w:right="7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Weinswig, certify that:</w:t>
      </w:r>
    </w:p>
    <w:p>
      <w:pPr>
        <w:spacing w:after="0" w:line="306" w:lineRule="exact"/>
        <w:rPr>
          <w:sz w:val="20"/>
          <w:szCs w:val="20"/>
          <w:color w:val="auto"/>
        </w:rPr>
      </w:pPr>
    </w:p>
    <w:p>
      <w:pPr>
        <w:ind w:left="540" w:hanging="51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Ouster, Inc.;</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jc w:val="both"/>
        <w:ind w:left="540" w:right="240" w:hanging="514"/>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200" w:hanging="514"/>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220" w:hanging="514"/>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1060" w:right="160" w:hanging="521"/>
        <w:spacing w:after="0" w:line="266" w:lineRule="auto"/>
        <w:tabs>
          <w:tab w:leader="none" w:pos="10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60" w:right="280" w:hanging="521"/>
        <w:spacing w:after="0" w:line="266" w:lineRule="auto"/>
        <w:tabs>
          <w:tab w:leader="none" w:pos="10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jc w:val="both"/>
        <w:ind w:left="1060" w:right="440" w:hanging="521"/>
        <w:spacing w:after="0" w:line="282" w:lineRule="auto"/>
        <w:tabs>
          <w:tab w:leader="none" w:pos="10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60" w:right="160" w:hanging="521"/>
        <w:spacing w:after="0" w:line="266" w:lineRule="auto"/>
        <w:tabs>
          <w:tab w:leader="none" w:pos="10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120" w:hanging="514"/>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3" w:right="339" w:bottom="1440" w:gutter="0" w:footer="0" w:header="0"/>
        </w:sectPr>
      </w:pPr>
    </w:p>
    <w:bookmarkStart w:id="53" w:name="page54"/>
    <w:bookmarkEnd w:id="53"/>
    <w:p>
      <w:pPr>
        <w:spacing w:after="0" w:line="275" w:lineRule="exact"/>
        <w:rPr>
          <w:sz w:val="20"/>
          <w:szCs w:val="20"/>
          <w:color w:val="auto"/>
        </w:rPr>
      </w:pPr>
    </w:p>
    <w:p>
      <w:pPr>
        <w:ind w:left="1040" w:right="320" w:hanging="521"/>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40" w:hanging="521"/>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5200" w:val="left"/>
          <w:tab w:leader="none" w:pos="588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Weinswig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34290</wp:posOffset>
            </wp:positionV>
            <wp:extent cx="33858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Mark Weinswig</w:t>
      </w:r>
    </w:p>
    <w:p>
      <w:pPr>
        <w:spacing w:after="0" w:line="6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0840"/>
          </w:cols>
          <w:pgMar w:left="340" w:top="1440" w:right="719" w:bottom="1440" w:gutter="0" w:footer="0" w:header="0"/>
        </w:sectPr>
      </w:pPr>
    </w:p>
    <w:bookmarkStart w:id="54" w:name="page55"/>
    <w:bookmarkEnd w:id="54"/>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Ouster, Inc. (the “Company”) for the period ended September 30, 2024 as filed with the Securities and Exchange Commission on the date hereof (the “Report”), I certify, pursuant to 18 U.S.C. § 1350, as adopted pursuant to § 906 of the Sarbanes-Oxley Act of 2002, that:</w:t>
      </w:r>
    </w:p>
    <w:p>
      <w:pPr>
        <w:spacing w:after="0" w:line="257" w:lineRule="exact"/>
        <w:rPr>
          <w:sz w:val="20"/>
          <w:szCs w:val="20"/>
          <w:color w:val="auto"/>
        </w:rPr>
      </w:pPr>
    </w:p>
    <w:p>
      <w:pPr>
        <w:ind w:left="1060" w:hanging="521"/>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92" w:lineRule="exact"/>
        <w:rPr>
          <w:rFonts w:ascii="Times New Roman" w:cs="Times New Roman" w:eastAsia="Times New Roman" w:hAnsi="Times New Roman"/>
          <w:sz w:val="18"/>
          <w:szCs w:val="18"/>
          <w:color w:val="auto"/>
        </w:rPr>
      </w:pPr>
    </w:p>
    <w:p>
      <w:pPr>
        <w:ind w:left="1060" w:right="520" w:hanging="521"/>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5220" w:val="left"/>
          <w:tab w:leader="none" w:pos="59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Angus Pacala</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Co-Founder and Chief Executive Officer</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Ouster, Inc. (the “Company”) for the period ended September 30, 2024 as filed with the Securities and Exchange Commission on the date hereof (the “Report”), I certify, pursuant to 18 U.S.C. § 1350, as adopted pursuant to § 906 of the Sarbanes-Oxley Act of 2002, that:</w:t>
      </w:r>
    </w:p>
    <w:p>
      <w:pPr>
        <w:spacing w:after="0" w:line="257" w:lineRule="exact"/>
        <w:rPr>
          <w:sz w:val="20"/>
          <w:szCs w:val="20"/>
          <w:color w:val="auto"/>
        </w:rPr>
      </w:pPr>
    </w:p>
    <w:p>
      <w:pPr>
        <w:ind w:left="1060" w:hanging="521"/>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92" w:lineRule="exact"/>
        <w:rPr>
          <w:rFonts w:ascii="Times New Roman" w:cs="Times New Roman" w:eastAsia="Times New Roman" w:hAnsi="Times New Roman"/>
          <w:sz w:val="18"/>
          <w:szCs w:val="18"/>
          <w:color w:val="auto"/>
        </w:rPr>
      </w:pPr>
    </w:p>
    <w:p>
      <w:pPr>
        <w:ind w:left="1060" w:right="520" w:hanging="521"/>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5220" w:val="left"/>
          <w:tab w:leader="none" w:pos="59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Weinswig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Mark Weinswig</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Roman"/>
      <w:start w:val="2"/>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104"/>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78" Type="http://schemas.openxmlformats.org/officeDocument/2006/relationships/hyperlink" Target="https://www.sec.gov/Archives/edgar/data/1816581/000119312521036740/d10549ds4a.htm#rom10549_42" TargetMode="External"/><Relationship Id="rId79" Type="http://schemas.openxmlformats.org/officeDocument/2006/relationships/hyperlink" Target="https://www.sec.gov/Archives/edgar/data/1816581/000119312522278440/d386513dex21.htm" TargetMode="External"/><Relationship Id="rId80" Type="http://schemas.openxmlformats.org/officeDocument/2006/relationships/hyperlink" Target="https://www.sec.gov/Archives/edgar/data/0001816581/000119312521076326/d149743dex31.htm" TargetMode="External"/><Relationship Id="rId81" Type="http://schemas.openxmlformats.org/officeDocument/2006/relationships/hyperlink" Target="https://www.sec.gov/Archives/edgar/data/1816581/000119312523108331/d502108dex31.htm" TargetMode="External"/><Relationship Id="rId82" Type="http://schemas.openxmlformats.org/officeDocument/2006/relationships/hyperlink" Target="https://www.sec.gov/Archives/edgar/data/1816581/000119312524103286/d813445dex31.htm" TargetMode="External"/><Relationship Id="rId83" Type="http://schemas.openxmlformats.org/officeDocument/2006/relationships/hyperlink" Target="https://www.sec.gov/Archives/edgar/data/1745317/000114420418054354/tv505017_ex4-1.htm" TargetMode="External"/><Relationship Id="rId84" Type="http://schemas.openxmlformats.org/officeDocument/2006/relationships/hyperlink" Target="https://www.sec.gov/Archives/edgar/data/1745317/000119312522029612/d5484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2024-11-08T17:10:43Z</dcterms:created>
  <dcterms:modified xsi:type="dcterms:W3CDTF">2024-11-08T17:10:43Z</dcterms:modified>
</cp:coreProperties>
</file>