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7"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484"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484" w:gutter="0" w:footer="0" w:header="0"/>
          <w:type w:val="continuous"/>
        </w:sectPr>
      </w:pPr>
    </w:p>
    <w:tbl>
      <w:tblPr>
        <w:tblLayout w:type="fixed"/>
        <w:tblInd w:w="0" w:type="dxa"/>
        <w:tblCellMar>
          <w:top w:w="0" w:type="dxa"/>
          <w:left w:w="0" w:type="dxa"/>
          <w:bottom w:w="0" w:type="dxa"/>
          <w:right w:w="0" w:type="dxa"/>
        </w:tblCellMar>
      </w:tblPr>
      <w:tr>
        <w:trPr>
          <w:trHeight w:val="443"/>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36"/>
                <w:szCs w:val="36"/>
                <w:b w:val="1"/>
                <w:bCs w:val="1"/>
                <w:color w:val="auto"/>
                <w:w w:val="90"/>
              </w:rPr>
              <w:t>Ouster, Inc.</w:t>
            </w:r>
          </w:p>
        </w:tc>
        <w:tc>
          <w:tcPr>
            <w:tcW w:w="3260" w:type="dxa"/>
            <w:vAlign w:val="bottom"/>
          </w:tcPr>
          <w:p>
            <w:pPr>
              <w:spacing w:after="0"/>
              <w:rPr>
                <w:sz w:val="24"/>
                <w:szCs w:val="24"/>
                <w:color w:val="auto"/>
              </w:rPr>
            </w:pPr>
          </w:p>
        </w:tc>
      </w:tr>
      <w:tr>
        <w:trPr>
          <w:trHeight w:val="195"/>
        </w:trPr>
        <w:tc>
          <w:tcPr>
            <w:tcW w:w="7980" w:type="dxa"/>
            <w:vAlign w:val="bottom"/>
            <w:gridSpan w:val="6"/>
          </w:tcPr>
          <w:p>
            <w:pPr>
              <w:jc w:val="center"/>
              <w:ind w:left="319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60" w:type="dxa"/>
            <w:vAlign w:val="bottom"/>
          </w:tcPr>
          <w:p>
            <w:pPr>
              <w:spacing w:after="0"/>
              <w:rPr>
                <w:sz w:val="16"/>
                <w:szCs w:val="16"/>
                <w:color w:val="auto"/>
              </w:rPr>
            </w:pP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95"/>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3"/>
              </w:rPr>
              <w:t>Delaware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1"/>
              </w:rPr>
              <w:t>86-2528989</w:t>
            </w:r>
          </w:p>
        </w:tc>
      </w:tr>
      <w:tr>
        <w:trPr>
          <w:trHeight w:val="252"/>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1"/>
              </w:rPr>
              <w:t>(State or other jurisdiction</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tcPr>
          <w:p>
            <w:pPr>
              <w:jc w:val="center"/>
              <w:ind w:right="355"/>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0"/>
              </w:rPr>
              <w:t>of incorporation)</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2"/>
              </w:rPr>
              <w:t>Identification No.)</w:t>
            </w:r>
          </w:p>
        </w:tc>
      </w:tr>
      <w:tr>
        <w:trPr>
          <w:trHeight w:val="319"/>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9"/>
              </w:rPr>
              <w:t>350 Treat Avenue</w:t>
            </w:r>
          </w:p>
        </w:tc>
        <w:tc>
          <w:tcPr>
            <w:tcW w:w="32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380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9"/>
              </w:rPr>
              <w:t>San Francisco, California 94110</w:t>
            </w:r>
          </w:p>
        </w:tc>
        <w:tc>
          <w:tcPr>
            <w:tcW w:w="3260" w:type="dxa"/>
            <w:vAlign w:val="bottom"/>
          </w:tcPr>
          <w:p>
            <w:pPr>
              <w:spacing w:after="0"/>
              <w:rPr>
                <w:sz w:val="18"/>
                <w:szCs w:val="18"/>
                <w:color w:val="auto"/>
              </w:rPr>
            </w:pPr>
          </w:p>
        </w:tc>
      </w:tr>
      <w:tr>
        <w:trPr>
          <w:trHeight w:val="216"/>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2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0"/>
              </w:rPr>
              <w:t>(415) 949-0108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60" w:type="dxa"/>
            <w:vAlign w:val="bottom"/>
          </w:tcPr>
          <w:p>
            <w:pPr>
              <w:spacing w:after="0"/>
              <w:rPr>
                <w:sz w:val="20"/>
                <w:szCs w:val="20"/>
                <w:color w:val="auto"/>
              </w:rPr>
            </w:pPr>
          </w:p>
        </w:tc>
      </w:tr>
      <w:tr>
        <w:trPr>
          <w:trHeight w:val="346"/>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N/A</w:t>
            </w:r>
          </w:p>
        </w:tc>
        <w:tc>
          <w:tcPr>
            <w:tcW w:w="3260" w:type="dxa"/>
            <w:vAlign w:val="bottom"/>
          </w:tcPr>
          <w:p>
            <w:pPr>
              <w:spacing w:after="0"/>
              <w:rPr>
                <w:sz w:val="24"/>
                <w:szCs w:val="24"/>
                <w:color w:val="auto"/>
              </w:rPr>
            </w:pPr>
          </w:p>
        </w:tc>
      </w:tr>
      <w:tr>
        <w:trPr>
          <w:trHeight w:val="226"/>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18"/>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tcPr>
          <w:p>
            <w:pPr>
              <w:jc w:val="center"/>
              <w:ind w:right="455"/>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41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88"/>
              </w:rPr>
              <w:t>Warrants to purchase common stock</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 WS</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56"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May 5, 2022, the registrant had 173,664,057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5" w:right="339" w:bottom="48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60" w:type="dxa"/>
            <w:vAlign w:val="bottom"/>
            <w:gridSpan w:val="8"/>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vMerge w:val="restart"/>
          </w:tcPr>
          <w:p>
            <w:pPr>
              <w:ind w:left="17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60" w:type="dxa"/>
            <w:vAlign w:val="bottom"/>
            <w:gridSpan w:val="8"/>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920" w:type="dxa"/>
            <w:vAlign w:val="bottom"/>
            <w:gridSpan w:val="9"/>
          </w:tcPr>
          <w:p>
            <w:pPr>
              <w:spacing w:after="0"/>
              <w:rPr>
                <w:sz w:val="16"/>
                <w:szCs w:val="16"/>
                <w:color w:val="auto"/>
              </w:rPr>
            </w:pPr>
          </w:p>
        </w:tc>
        <w:tc>
          <w:tcPr>
            <w:tcW w:w="860" w:type="dxa"/>
            <w:vAlign w:val="bottom"/>
          </w:tcPr>
          <w:p>
            <w:pPr>
              <w:jc w:val="right"/>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580" w:type="dxa"/>
            <w:vAlign w:val="bottom"/>
            <w:gridSpan w:val="7"/>
          </w:tcPr>
          <w:p>
            <w:pPr>
              <w:spacing w:after="0"/>
              <w:rPr>
                <w:sz w:val="19"/>
                <w:szCs w:val="19"/>
                <w:color w:val="auto"/>
              </w:rPr>
            </w:pPr>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2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(Unaudited)</w:t>
              </w:r>
            </w:hyperlink>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Changes in Redeemable Convertible Preferred Stock and Stockholders’ Equity </w:t>
              </w:r>
            </w:hyperlink>
            <w:r>
              <w:rPr>
                <w:rFonts w:ascii="Arial" w:cs="Arial" w:eastAsia="Arial" w:hAnsi="Arial"/>
                <w:sz w:val="18"/>
                <w:szCs w:val="18"/>
                <w:color w:val="0000FF"/>
                <w:w w:val="90"/>
              </w:rPr>
              <w:t>(Deficit)</w:t>
            </w:r>
          </w:p>
        </w:tc>
        <w:tc>
          <w:tcPr>
            <w:tcW w:w="220" w:type="dxa"/>
            <w:vAlign w:val="bottom"/>
          </w:tcPr>
          <w:p>
            <w:pPr>
              <w:spacing w:after="0"/>
              <w:rPr>
                <w:sz w:val="21"/>
                <w:szCs w:val="21"/>
                <w:color w:val="auto"/>
              </w:rPr>
            </w:pPr>
          </w:p>
        </w:tc>
        <w:tc>
          <w:tcPr>
            <w:tcW w:w="86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(Unaudited)</w:t>
              </w:r>
            </w:hyperlink>
          </w:p>
        </w:tc>
        <w:tc>
          <w:tcPr>
            <w:tcW w:w="8340" w:type="dxa"/>
            <w:vAlign w:val="bottom"/>
            <w:gridSpan w:val="10"/>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34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(Unaudited)</w:t>
              </w:r>
            </w:hyperlink>
          </w:p>
        </w:tc>
        <w:tc>
          <w:tcPr>
            <w:tcW w:w="4800" w:type="dxa"/>
            <w:vAlign w:val="bottom"/>
            <w:gridSpan w:val="5"/>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4520" w:type="dxa"/>
            <w:vAlign w:val="bottom"/>
            <w:gridSpan w:val="4"/>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9420" w:type="dxa"/>
            <w:vAlign w:val="bottom"/>
            <w:gridSpan w:val="1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50"/>
        </w:trPr>
        <w:tc>
          <w:tcPr>
            <w:tcW w:w="920" w:type="dxa"/>
            <w:vAlign w:val="bottom"/>
            <w:tcBorders>
              <w:top w:val="single" w:sz="8" w:color="0000FF"/>
            </w:tcBorders>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2980" w:type="dxa"/>
            <w:vAlign w:val="bottom"/>
            <w:gridSpan w:val="2"/>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4.</w:t>
              </w:r>
            </w:hyperlink>
          </w:p>
        </w:tc>
        <w:tc>
          <w:tcPr>
            <w:tcW w:w="400" w:type="dxa"/>
            <w:vAlign w:val="bottom"/>
            <w:tcBorders>
              <w:top w:val="single" w:sz="8" w:color="0000FF"/>
            </w:tcBorders>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2"/>
          </w:tcPr>
          <w:p>
            <w:pPr>
              <w:spacing w:after="0"/>
              <w:rPr>
                <w:sz w:val="21"/>
                <w:szCs w:val="21"/>
                <w:color w:val="auto"/>
              </w:rPr>
            </w:pPr>
          </w:p>
        </w:tc>
        <w:tc>
          <w:tcPr>
            <w:tcW w:w="5080" w:type="dxa"/>
            <w:vAlign w:val="bottom"/>
            <w:gridSpan w:val="6"/>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2400" w:type="dxa"/>
            <w:vAlign w:val="bottom"/>
          </w:tcPr>
          <w:p>
            <w:pPr>
              <w:jc w:val="right"/>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4.</w:t>
              </w:r>
            </w:hyperlink>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5.</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6.</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24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w:t>
              </w:r>
            </w:hyperlink>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Ouster, Inc. (the “Company” or “Ouster”) intend such forward-looking statements to be covered by the safe harbor provisions for forward-looking statements contained in Section 27A of the Securities Act of 1933, as amended (the “Securities Act”), and Section 21E of the Securities Exchange Act of</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i w:val="1"/>
          <w:iCs w:val="1"/>
          <w:color w:val="auto"/>
        </w:rPr>
        <w:t>1934, as amended (the “Exchange Act”). All statements contained in this Quarterly Report on Form 10-Q other than statements of historical fact, including statements regarding Ouster’s future operating results and financial position, its business strategy and plans, potential acquisitions, market growth and trends, and its objectives for future operations, are forward-looking statements. The words “believe,” “may,” “will,” “estimate,” “continue,” “anticipate,” “intend,” “expect,” “could,” “would,” “project,” “plan,” “potentially,” “preliminary,”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cancellation or postponement of contracts or unsuccessful implementations; the adoption of its products and the growth of the lidar market generally; its ability to grow its sales and marketing organization; substantial research and development costs needed to develop and commercialize new products; the competitive environment in which it operates; selection of its products for inclusion in target markets; its future capital needs; its ability to use tax attributes; its dependence on key third party suppliers, in particular Benchmark Electronics, Inc., and manufacturers; its ability to maintain inventory and the risk of inventory write-downs; inaccurate forecasts of market growth; its ability to manage growth; the creditworthiness of its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and risks related to certain of its warrants being accounted for as liabilities. Other risk factors include the important factors described in the Company’s Annual Report on Form 10-K filed with the Securities and Exchange Commission (the “SEC”) on February 28, 2022, that may cause its actual results, performance or achievements to differ materially and adversely from those expressed or implied by the forward-looking statements.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“Ouster,” “the Company,” “we,” “our” and “us” refer to Ouster, Inc.</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186,266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207,358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9,469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16,208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Warrant liabilities (At March 31, 2022 and December 31, 2021 related party $2,058 and $2,669,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Redeemable convertible preferred stock, $0.0001 par value per share; 100,000,000 shares authorized at March 31,</w:t>
            </w: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2022 and December 31, 2021; Nil shares issued and outstanding at March 31, 2022 and December 31, 2021,</w:t>
            </w: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respectively (aggregate liquidation preference of nil at March 31, 2022 and December 31, 2021,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$0.0001 par value; 1,000,000,000 shares authorized at March 31, 2022 and December 31,</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2021, respectively; 173,602,503 and 172,200,417 shares issued and outstanding at March 31, 2022 and</w:t>
            </w:r>
          </w:p>
        </w:tc>
        <w:tc>
          <w:tcPr>
            <w:tcW w:w="26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2021,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572,933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564,045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283,909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 expense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170,906,196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55,688,281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Redeemable Convertible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7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vMerge w:val="restart"/>
          </w:tcPr>
          <w:p>
            <w:pPr>
              <w:spacing w:after="0"/>
              <w:rPr>
                <w:sz w:val="5"/>
                <w:szCs w:val="5"/>
                <w:color w:val="auto"/>
              </w:rPr>
            </w:pPr>
          </w:p>
        </w:tc>
        <w:tc>
          <w:tcPr>
            <w:tcW w:w="1700" w:type="dxa"/>
            <w:vAlign w:val="bottom"/>
            <w:gridSpan w:val="4"/>
            <w:vMerge w:val="restart"/>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8"/>
                <w:szCs w:val="8"/>
                <w:color w:val="auto"/>
              </w:rPr>
            </w:pPr>
          </w:p>
        </w:tc>
        <w:tc>
          <w:tcPr>
            <w:tcW w:w="19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10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Accumulated</w:t>
            </w:r>
          </w:p>
        </w:tc>
        <w:tc>
          <w:tcPr>
            <w:tcW w:w="120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8"/>
                <w:szCs w:val="8"/>
                <w:color w:val="auto"/>
              </w:rPr>
            </w:pPr>
          </w:p>
        </w:tc>
        <w:tc>
          <w:tcPr>
            <w:tcW w:w="980" w:type="dxa"/>
            <w:vAlign w:val="bottom"/>
          </w:tcPr>
          <w:p>
            <w:pPr>
              <w:jc w:val="center"/>
              <w:ind w:right="58"/>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980" w:type="dxa"/>
            <w:vAlign w:val="bottom"/>
            <w:gridSpan w:val="2"/>
          </w:tcPr>
          <w:p>
            <w:pPr>
              <w:ind w:left="200"/>
              <w:spacing w:after="0" w:line="175"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ind w:left="200"/>
              <w:spacing w:after="0" w:line="175"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Deficit</w:t>
            </w: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comprehensive loss</w:t>
            </w:r>
          </w:p>
        </w:tc>
        <w:tc>
          <w:tcPr>
            <w:tcW w:w="12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172,200,417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564,045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(303,356)</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260,700</w:t>
            </w:r>
          </w:p>
        </w:tc>
        <w:tc>
          <w:tcPr>
            <w:tcW w:w="0" w:type="dxa"/>
            <w:vAlign w:val="bottom"/>
          </w:tcPr>
          <w:p>
            <w:pPr>
              <w:spacing w:after="0"/>
              <w:rPr>
                <w:sz w:val="1"/>
                <w:szCs w:val="1"/>
                <w:color w:val="auto"/>
              </w:rPr>
            </w:pPr>
          </w:p>
        </w:tc>
      </w:tr>
      <w:tr>
        <w:trPr>
          <w:trHeight w:val="122"/>
        </w:trPr>
        <w:tc>
          <w:tcPr>
            <w:tcW w:w="292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common stock upon exercise of stock</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822,702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8"/>
        </w:trPr>
        <w:tc>
          <w:tcPr>
            <w:tcW w:w="2920" w:type="dxa"/>
            <w:vAlign w:val="bottom"/>
          </w:tcPr>
          <w:p>
            <w:pPr>
              <w:ind w:left="360"/>
              <w:spacing w:after="0"/>
              <w:rPr>
                <w:sz w:val="20"/>
                <w:szCs w:val="20"/>
                <w:color w:val="auto"/>
              </w:rPr>
            </w:pPr>
            <w:r>
              <w:rPr>
                <w:rFonts w:ascii="Arial" w:cs="Arial" w:eastAsia="Arial" w:hAnsi="Arial"/>
                <w:sz w:val="13"/>
                <w:szCs w:val="13"/>
                <w:color w:val="auto"/>
              </w:rPr>
              <w:t>options</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7"/>
              </w:rPr>
              <w:t>Issuance of common stock upon exercise of restricted</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812,491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awards - net of tax withholding</w:t>
            </w:r>
          </w:p>
        </w:tc>
        <w:tc>
          <w:tcPr>
            <w:tcW w:w="9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(233,107)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68"/>
        </w:trPr>
        <w:tc>
          <w:tcPr>
            <w:tcW w:w="2920" w:type="dxa"/>
            <w:vAlign w:val="bottom"/>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0" w:type="dxa"/>
            <w:vAlign w:val="bottom"/>
          </w:tcPr>
          <w:p>
            <w:pPr>
              <w:spacing w:after="0"/>
              <w:rPr>
                <w:sz w:val="1"/>
                <w:szCs w:val="1"/>
                <w:color w:val="auto"/>
              </w:rPr>
            </w:pPr>
          </w:p>
        </w:tc>
      </w:tr>
      <w:tr>
        <w:trPr>
          <w:trHeight w:val="169"/>
        </w:trPr>
        <w:tc>
          <w:tcPr>
            <w:tcW w:w="292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4"/>
        </w:trPr>
        <w:tc>
          <w:tcPr>
            <w:tcW w:w="292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173,602,503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572,933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237,179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920" w:type="dxa"/>
            <w:vAlign w:val="bottom"/>
          </w:tcPr>
          <w:p>
            <w:pPr>
              <w:spacing w:after="0"/>
              <w:rPr>
                <w:sz w:val="24"/>
                <w:szCs w:val="24"/>
                <w:color w:val="auto"/>
              </w:rPr>
            </w:pPr>
          </w:p>
        </w:tc>
        <w:tc>
          <w:tcPr>
            <w:tcW w:w="202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6"/>
              </w:rPr>
              <w:t>Redeemable Convertible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2020" w:type="dxa"/>
            <w:vAlign w:val="bottom"/>
            <w:gridSpan w:val="5"/>
            <w:vMerge w:val="continue"/>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vMerge w:val="restart"/>
          </w:tcPr>
          <w:p>
            <w:pPr>
              <w:spacing w:after="0"/>
              <w:rPr>
                <w:sz w:val="5"/>
                <w:szCs w:val="5"/>
                <w:color w:val="auto"/>
              </w:rPr>
            </w:pPr>
          </w:p>
        </w:tc>
        <w:tc>
          <w:tcPr>
            <w:tcW w:w="1700" w:type="dxa"/>
            <w:vAlign w:val="bottom"/>
            <w:gridSpan w:val="4"/>
            <w:vMerge w:val="restart"/>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8"/>
                <w:szCs w:val="8"/>
                <w:color w:val="auto"/>
              </w:rPr>
            </w:pPr>
          </w:p>
        </w:tc>
        <w:tc>
          <w:tcPr>
            <w:tcW w:w="19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10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Accumulated</w:t>
            </w:r>
          </w:p>
        </w:tc>
        <w:tc>
          <w:tcPr>
            <w:tcW w:w="120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8"/>
                <w:szCs w:val="8"/>
                <w:color w:val="auto"/>
              </w:rPr>
            </w:pPr>
          </w:p>
        </w:tc>
        <w:tc>
          <w:tcPr>
            <w:tcW w:w="980" w:type="dxa"/>
            <w:vAlign w:val="bottom"/>
          </w:tcPr>
          <w:p>
            <w:pPr>
              <w:jc w:val="center"/>
              <w:ind w:right="78"/>
              <w:spacing w:after="0" w:line="102"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980" w:type="dxa"/>
            <w:vAlign w:val="bottom"/>
            <w:gridSpan w:val="2"/>
          </w:tcPr>
          <w:p>
            <w:pPr>
              <w:ind w:left="200"/>
              <w:spacing w:after="0" w:line="175"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ind w:left="200"/>
              <w:spacing w:after="0" w:line="175"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Deficit</w:t>
            </w: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comprehensive loss</w:t>
            </w:r>
          </w:p>
        </w:tc>
        <w:tc>
          <w:tcPr>
            <w:tcW w:w="12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1"/>
        </w:trPr>
        <w:tc>
          <w:tcPr>
            <w:tcW w:w="2920" w:type="dxa"/>
            <w:vAlign w:val="bottom"/>
          </w:tcPr>
          <w:p>
            <w:pPr>
              <w:ind w:left="20"/>
              <w:spacing w:after="0" w:line="141" w:lineRule="exact"/>
              <w:rPr>
                <w:sz w:val="20"/>
                <w:szCs w:val="20"/>
                <w:color w:val="auto"/>
              </w:rPr>
            </w:pPr>
            <w:r>
              <w:rPr>
                <w:rFonts w:ascii="Arial" w:cs="Arial" w:eastAsia="Arial" w:hAnsi="Arial"/>
                <w:sz w:val="13"/>
                <w:szCs w:val="13"/>
                <w:color w:val="auto"/>
              </w:rPr>
              <w:t>Balance — December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88,434,754</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39,225</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33,327,294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133,468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(209,375)</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(75,907)</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4"/>
              </w:rPr>
              <w:t>Issuance of common stock upon exercise of stock</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727,114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options</w:t>
            </w:r>
          </w:p>
        </w:tc>
        <w:tc>
          <w:tcPr>
            <w:tcW w:w="9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2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(220,561)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7"/>
        </w:trPr>
        <w:tc>
          <w:tcPr>
            <w:tcW w:w="2920" w:type="dxa"/>
            <w:vAlign w:val="bottom"/>
          </w:tcPr>
          <w:p>
            <w:pPr>
              <w:ind w:left="180"/>
              <w:spacing w:after="0" w:line="137" w:lineRule="exact"/>
              <w:rPr>
                <w:sz w:val="20"/>
                <w:szCs w:val="20"/>
                <w:color w:val="auto"/>
              </w:rPr>
            </w:pPr>
            <w:r>
              <w:rPr>
                <w:rFonts w:ascii="Arial" w:cs="Arial" w:eastAsia="Arial" w:hAnsi="Arial"/>
                <w:sz w:val="13"/>
                <w:szCs w:val="13"/>
                <w:color w:val="auto"/>
                <w:w w:val="92"/>
              </w:rPr>
              <w:t>Issuance of redeemable convertible preferred stock</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4,232,947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58,097</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920" w:type="dxa"/>
            <w:vAlign w:val="bottom"/>
          </w:tcPr>
          <w:p>
            <w:pPr>
              <w:ind w:left="360"/>
              <w:spacing w:after="0"/>
              <w:rPr>
                <w:sz w:val="20"/>
                <w:szCs w:val="20"/>
                <w:color w:val="auto"/>
              </w:rPr>
            </w:pPr>
            <w:r>
              <w:rPr>
                <w:rFonts w:ascii="Arial" w:cs="Arial" w:eastAsia="Arial" w:hAnsi="Arial"/>
                <w:sz w:val="13"/>
                <w:szCs w:val="13"/>
                <w:color w:val="auto"/>
              </w:rPr>
              <w:t>upon exercise of warrants</w:t>
            </w: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8"/>
              </w:rPr>
              <w:t>Conversion of redeemable convertible preferred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97,334</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to common stock</w:t>
            </w: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92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 merger and private</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20" w:type="dxa"/>
            <w:vAlign w:val="bottom"/>
          </w:tcPr>
          <w:p>
            <w:pPr>
              <w:ind w:left="180"/>
              <w:spacing w:after="0" w:line="122" w:lineRule="exact"/>
              <w:rPr>
                <w:sz w:val="20"/>
                <w:szCs w:val="20"/>
                <w:color w:val="auto"/>
              </w:rPr>
            </w:pPr>
            <w:r>
              <w:rPr>
                <w:rFonts w:ascii="Arial" w:cs="Arial" w:eastAsia="Arial" w:hAnsi="Arial"/>
                <w:sz w:val="13"/>
                <w:szCs w:val="13"/>
                <w:color w:val="auto"/>
                <w:w w:val="91"/>
              </w:rPr>
              <w:t>offering, net of acquired private placement warrants</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34,947,657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272,061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272,064</w:t>
            </w:r>
          </w:p>
        </w:tc>
        <w:tc>
          <w:tcPr>
            <w:tcW w:w="0" w:type="dxa"/>
            <w:vAlign w:val="bottom"/>
          </w:tcPr>
          <w:p>
            <w:pPr>
              <w:spacing w:after="0"/>
              <w:rPr>
                <w:sz w:val="1"/>
                <w:szCs w:val="1"/>
                <w:color w:val="auto"/>
              </w:rPr>
            </w:pPr>
          </w:p>
        </w:tc>
      </w:tr>
      <w:tr>
        <w:trPr>
          <w:trHeight w:val="168"/>
        </w:trPr>
        <w:tc>
          <w:tcPr>
            <w:tcW w:w="2920" w:type="dxa"/>
            <w:vAlign w:val="bottom"/>
          </w:tcPr>
          <w:p>
            <w:pPr>
              <w:ind w:left="180"/>
              <w:spacing w:after="0"/>
              <w:rPr>
                <w:sz w:val="20"/>
                <w:szCs w:val="20"/>
                <w:color w:val="auto"/>
              </w:rPr>
            </w:pPr>
            <w:r>
              <w:rPr>
                <w:rFonts w:ascii="Arial" w:cs="Arial" w:eastAsia="Arial" w:hAnsi="Arial"/>
                <w:sz w:val="13"/>
                <w:szCs w:val="13"/>
                <w:color w:val="auto"/>
              </w:rPr>
              <w:t>of $19,377</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 costs in connection with the merger</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0" w:type="dxa"/>
            <w:vAlign w:val="bottom"/>
          </w:tcPr>
          <w:p>
            <w:pPr>
              <w:spacing w:after="0"/>
              <w:rPr>
                <w:sz w:val="1"/>
                <w:szCs w:val="1"/>
                <w:color w:val="auto"/>
              </w:rPr>
            </w:pPr>
          </w:p>
        </w:tc>
      </w:tr>
      <w:tr>
        <w:trPr>
          <w:trHeight w:val="168"/>
        </w:trPr>
        <w:tc>
          <w:tcPr>
            <w:tcW w:w="292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5,256</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9"/>
        </w:trPr>
        <w:tc>
          <w:tcPr>
            <w:tcW w:w="29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(20,957)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194"/>
        </w:trPr>
        <w:tc>
          <w:tcPr>
            <w:tcW w:w="292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(230,332)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251,755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2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(32,397)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(20,957)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right-of-use asset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 on notes and convertible debt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Inventory write down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from disposal of property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Operating lease liability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the merger and private offering</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291,454</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Payment of offering costs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(26,116)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debt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issuance of promissory notes to related parties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promissory notes to related parties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258,799</w:t>
            </w:r>
          </w:p>
        </w:tc>
        <w:tc>
          <w:tcPr>
            <w:tcW w:w="0" w:type="dxa"/>
            <w:vAlign w:val="bottom"/>
          </w:tcPr>
          <w:p>
            <w:pPr>
              <w:spacing w:after="0"/>
              <w:rPr>
                <w:sz w:val="1"/>
                <w:szCs w:val="1"/>
                <w:color w:val="auto"/>
              </w:rPr>
            </w:pPr>
          </w:p>
        </w:tc>
      </w:tr>
      <w:tr>
        <w:trPr>
          <w:trHeight w:val="206"/>
        </w:trPr>
        <w:tc>
          <w:tcPr>
            <w:tcW w:w="8280" w:type="dxa"/>
            <w:vAlign w:val="bottom"/>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245,803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184,656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162,795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258,445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Private placement warrants acquired as part of the merger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19,377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Issuance of redeemable convertible preferred stock upon exercise of warrants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6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97,322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Offering costs not yet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2021 and the notes related thereto, included in the Company’s Annual Report on Form 10-K filed with the Securities and Exchange Commission (“SEC”) on February 28, 2022.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such rules and regulations. The results of operations for any interim period are not necessarily indicative of the results to be expected for the year ending December 31, 2022 or for any other future years or interim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Ouster has been actively monitoring the COVID-19 pandemic on a global scale and continues to evaluate the long-term impacts on the business while keeping abreast of the latest developments, particularly the variants of the virus, to ensure preparedness for Ouster’s employees and its business. We maintain our commitment to protect the health and safety of our employees and customers. We continue to adapt and enhance our safety protocols as we follow the guidance from local authorities. 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events that are by nature uncertain, including as a result of new information that continues to emerge concerning the virus, its variants, the deployment and effectiveness of vaccination roll-outs, vaccination hesitancy, and the actions taken to contain the virus or treat it, as well as the economic impact on local, regional, national and international customers and markets. Thus, the Company is not able to estimate the future consequences on its operations, its financial condition, or its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The Company has experienced recurring losses from operations, and negative cash flows from operations. As of March 31, 2022, the Company had an accumulated deficit of approximately $335.8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March 31, 2022 are sufficient for the Company to continue as a going concern for at least one year from the date these unaudited condensed consolidated financial statements are available for issuance.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ind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 received gross proceeds of $299.9 million from the Merger and private offering, offset by $8.5 million of pre-merger costs relating to CLA and offerings costs of $26.6 million.</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2022, there were no significant changes made to the Company’s significant accounting policies as disclosed in the Company’s Annual Report on Form 10-K for the year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August 2020, the FASB issued Accounting Standards Update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2021. The Company adopted this ASU as of January 1, 2022 using a modified retrospective method of transition, which did not have an impact on its condensed consolidated financial statements and related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and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accounts receivable in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from the Company’s major customers representing 10% or more of total revenue was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B</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revenue in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r>
      <w:tr>
        <w:trPr>
          <w:trHeight w:val="225"/>
        </w:trPr>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1954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540"/>
        <w:spacing w:after="0"/>
        <w:tabs>
          <w:tab w:leader="none" w:pos="21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1954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5" w:lineRule="exact"/>
        <w:rPr>
          <w:sz w:val="20"/>
          <w:szCs w:val="20"/>
          <w:color w:val="auto"/>
        </w:rPr>
      </w:pPr>
    </w:p>
    <w:p>
      <w:pPr>
        <w:ind w:left="1320"/>
        <w:spacing w:after="0"/>
        <w:tabs>
          <w:tab w:leader="none" w:pos="26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28 %</w:t>
      </w:r>
    </w:p>
    <w:p>
      <w:pPr>
        <w:spacing w:after="0" w:line="1127" w:lineRule="exact"/>
        <w:rPr>
          <w:sz w:val="20"/>
          <w:szCs w:val="20"/>
          <w:color w:val="auto"/>
        </w:rPr>
      </w:pPr>
    </w:p>
    <w:p>
      <w:pPr>
        <w:sectPr>
          <w:pgSz w:w="11900" w:h="16838" w:orient="portrait"/>
          <w:cols w:equalWidth="0" w:num="2">
            <w:col w:w="7640" w:space="520"/>
            <w:col w:w="3080"/>
          </w:cols>
          <w:pgMar w:left="320" w:top="125" w:right="339" w:bottom="1440" w:gutter="0" w:footer="0" w:header="0"/>
          <w:type w:val="continuous"/>
        </w:sectPr>
      </w:pPr>
    </w:p>
    <w:p>
      <w:pPr>
        <w:ind w:right="140"/>
        <w:spacing w:after="0" w:line="263" w:lineRule="auto"/>
        <w:rPr>
          <w:sz w:val="20"/>
          <w:szCs w:val="20"/>
          <w:color w:val="auto"/>
        </w:rPr>
      </w:pPr>
      <w:r>
        <w:rPr>
          <w:rFonts w:ascii="Arial" w:cs="Arial" w:eastAsia="Arial" w:hAnsi="Arial"/>
          <w:sz w:val="18"/>
          <w:szCs w:val="18"/>
          <w:color w:val="auto"/>
        </w:rPr>
        <w:t>One supplier accounted for approximately 31% of total purchases during the three months ended March 31, 2022 and accounted for 52% of total accounts payable as of March 31, 2022. One supplier accounted for approximately 17% of total purchases during the three months ended March 31, 2021 and accounted for 55% of total accounts payable balance as of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0" w:lineRule="exact"/>
        <w:rPr>
          <w:sz w:val="20"/>
          <w:szCs w:val="20"/>
          <w:color w:val="auto"/>
        </w:rPr>
      </w:pPr>
    </w:p>
    <w:p>
      <w:pPr>
        <w:ind w:left="980" w:hanging="567"/>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980" w:right="360" w:hanging="567"/>
        <w:spacing w:after="0" w:line="308"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rFonts w:ascii="Arial" w:cs="Arial" w:eastAsia="Arial" w:hAnsi="Arial"/>
          <w:sz w:val="17"/>
          <w:szCs w:val="17"/>
          <w:color w:val="auto"/>
        </w:rPr>
      </w:pPr>
    </w:p>
    <w:p>
      <w:pPr>
        <w:ind w:left="980" w:hanging="567"/>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31, 2022, the Company’s Level 3 liabilities consisted of the Private Placement warrant liability. The determination of the fair value of warrant liability is discussed in Note 6.</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December 31, 2021, the Company’s Level 3 liabilities consisted of the redeemable convertible preferred stock warrant liability. The determination of the fair value of warrant liability is discussed in Note 6.</w:t>
      </w:r>
    </w:p>
    <w:p>
      <w:pPr>
        <w:spacing w:after="0" w:line="11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4"/>
              </w:rPr>
              <w:t>March 31, 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152,984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152,984</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5,881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5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3"/>
              </w:rPr>
              <w:t>December 31, 2021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177,513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177,513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6).</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1"/>
                <w:szCs w:val="11"/>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Private Placement</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 Liability</w:t>
            </w:r>
          </w:p>
        </w:tc>
        <w:tc>
          <w:tcPr>
            <w:tcW w:w="1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24"/>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Change in the fair value included in other income (expense), net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as of March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1"/>
                <w:szCs w:val="11"/>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Private Placement</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 Liability</w:t>
            </w:r>
          </w:p>
        </w:tc>
        <w:tc>
          <w:tcPr>
            <w:tcW w:w="1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24"/>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Private placement warrant liability acquired as part of the merger</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the fair value included in other income (expense),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Issuance of preferred stock upon exercise of warrants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Fair value as of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financial instruments that are not re-measured at fair value include accounts receivable, accounts payable, accrued and other current liabilities, convertible notes and debt. The carrying values of these financial instruments approximate their fair values.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177,513</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182,644</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maintains a cash sweep account which is included in money market funds as of March 31, 2022. Cash is invested in the short-term money market funds, which is a cash sweep for uninvested cash that earns interest.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Restricted cash consists of certificates of deposit held by a bank as security for outstanding letters of credit. The Company had a restricted cash balance of $2.0 million as of March 31, 2022 and December 31, 2021, respectively, which has been excluded from the Company’s cash and cash equivalents balances. The Company presented $1.0 million and $0.3 million of the total amount of restricted cash within current assets on the condensed consolidated balance sheets as of March 31, 2022 and March 31, 2021, respectively. The remaining restricted cash balance of $1.0 million was included in non-current assets on the condensed consolidated balance sheets as of March 31, 2022 and March 31,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Reconciliation of cash, cash equivalents and restricted cash as shown in the condensed consolidated statement of cash flows to the respective accounts within the condensed consolidated balance sheet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257,165</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162,795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258,445</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inventory balance as of March 31, 2022 and December 31, 2021 includes a write down of $1.8 million and $1.7 million, respectively, for obsolete, scrap, or returned inventory. During the three months ended March 31, 2022 and 2021, $0.2 million and nil of inventory write downs were charged to cost of revenue,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Prepaid insurance</w:t>
            </w: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 from contract manufacturer</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Grant receivable</w:t>
            </w: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Security deposit</w:t>
            </w:r>
          </w:p>
        </w:tc>
        <w:tc>
          <w:tcPr>
            <w:tcW w:w="3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Value-added tax (VAT) receivable</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prepaid and other current assets</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360" w:type="dxa"/>
            <w:vAlign w:val="bottom"/>
          </w:tcPr>
          <w:p>
            <w:pPr>
              <w:jc w:val="center"/>
              <w:ind w:left="935"/>
              <w:spacing w:after="0"/>
              <w:rPr>
                <w:sz w:val="20"/>
                <w:szCs w:val="20"/>
                <w:color w:val="auto"/>
              </w:rPr>
            </w:pPr>
            <w:r>
              <w:rPr>
                <w:rFonts w:ascii="Arial" w:cs="Arial" w:eastAsia="Arial" w:hAnsi="Arial"/>
                <w:sz w:val="14"/>
                <w:szCs w:val="14"/>
                <w:b w:val="1"/>
                <w:bCs w:val="1"/>
                <w:color w:val="auto"/>
                <w:w w:val="94"/>
              </w:rPr>
              <w:t>Estimated Useful Life</w:t>
            </w:r>
          </w:p>
        </w:tc>
        <w:tc>
          <w:tcPr>
            <w:tcW w:w="2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392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jc w:val="center"/>
              <w:ind w:left="935"/>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vehicle hardware</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Software</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91"/>
              </w:rPr>
              <w:t>Shorter of useful life or lease term</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r>
      <w:tr>
        <w:trPr>
          <w:trHeight w:val="223"/>
        </w:trPr>
        <w:tc>
          <w:tcPr>
            <w:tcW w:w="39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20,794</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43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r>
      <w:tr>
        <w:trPr>
          <w:trHeight w:val="21"/>
        </w:trPr>
        <w:tc>
          <w:tcPr>
            <w:tcW w:w="3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Depreciation expense associated with property and equipment was $1.3 million and $1.1 million in the three months ended March 31, 2022 and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 Net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fourth quarter of 2021, the Company completed the acquisition of Sense Photonics Inc. (“Sense”), a privately held lidar technology company for autonomous vehicles. The transaction has been accounted for as a business combination. The Company purchased all of the outstanding shares of the capital stock of Sense and settled all Sense debt for total consideration of $72.8 million. Goodwill represents the excess of the purchase price over the fair value of the identifiable assets and assumed liabilities acquired and is primarily attributable to the assembled workforce and expected synergies at the time of the acquisition. Goodwill is not deductible for tax purposes. Sense’s revenue and pretax loss for the period from the acquisition date of October 22, 2021 to December 31, 2021 and March 31, 2022 were not material. In the three-month period ended March 31, 2022, the Company did not adjust the preliminary fair values of acquired assets that were recognized as of December 31, 2021.</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acquired intangible assets, net as of March 31, 2022 and December 31, 2021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3360" w:type="dxa"/>
            <w:vAlign w:val="bottom"/>
          </w:tcPr>
          <w:p>
            <w:pPr>
              <w:jc w:val="center"/>
              <w:ind w:left="997"/>
              <w:spacing w:after="0" w:line="135" w:lineRule="exact"/>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3360" w:type="dxa"/>
            <w:vAlign w:val="bottom"/>
          </w:tcPr>
          <w:p>
            <w:pPr>
              <w:jc w:val="center"/>
              <w:ind w:left="997"/>
              <w:spacing w:after="0" w:line="135" w:lineRule="exact"/>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$1.1 million during the three months ended March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Years:</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(the remainder of 2022)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8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Uninvoiced receipts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no longer was attainable or ceased to fairly reflect the costs of the lender, in which case the applicable interest rate would be Prime Rate plus 6.0%. In an event of default, annual interest was increased by 5.0% above the otherwise applicable rate. The loan’s annual effective interest rate was approximately 16.4% for the three months ended March 31, 2021.</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conjunction with the Runway Loan and Security Agreement, OTI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the Company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13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warrants were exercised on March 11, 2021 and the warrant liability was remeasured to fair value with the increase recognized as a loss of $0.6 million for the three months ended March 31, 2021 within other income (expense), net in the consolidated statements of operations and comprehensive loss. The warrant liability was remeasured to fair value as of March 31, 2021 and the reduction was recognized as a gain of $0.2 million.</w:t>
      </w:r>
    </w:p>
    <w:p>
      <w:pPr>
        <w:spacing w:after="0" w:line="9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March 31, 2022 and December 31, 2021, the outstanding principal balance of the loan was nil,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issued a $5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Redeemable Convertible Preferred Stock Warrants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27, 2018, in connection with the execution of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Merger, the warrants were exercised in full in accordance with their terms.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3, 2020, in connection with the closing of the Series B redeemable convertible preferred stock, OTI issued a warrant to purchase 4,513,993 shares of Series B redeemable convertible preferred stock of the Company at an exercise price of $0.3323 per share (the “Series B warrants”). The Series B warrants could be exercised prior to the earliest to occur of (i) the</w:t>
      </w:r>
    </w:p>
    <w:p>
      <w:pPr>
        <w:spacing w:after="0" w:line="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10-year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three months ended March 31, 2021, classified within other income (expense), net in the consolidated statements of operations and comprehensive loss. Upon exercise redeemable convertible preferred stock converted into common stock pursuant to the conversion rate effective immediately prior to the Merger.</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Initial Issuance</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Subsequent</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11,</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11,</w:t>
            </w:r>
          </w:p>
        </w:tc>
      </w:tr>
      <w:tr>
        <w:trPr>
          <w:trHeight w:val="188"/>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8.44</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2.00</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five years from the completion of the Merger, or earlier upon redemption or liquidation. Each Private Placement warrant is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13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Private Placement warrants were initially recognized as a liability at a fair value of $19.4 million and the Private Placement warrant liability was remeasured to fair value as of March 31, 2022 and 2021, resulting in a gain of $1.7 million and $4.6 million for the three months ended March 31, 2022 and 2021, respectively, classified within other income (expense), net in the condensed consolidated statements of operations and comprehensive loss.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11, 2021</w:t>
            </w:r>
          </w:p>
        </w:tc>
        <w:tc>
          <w:tcPr>
            <w:tcW w:w="2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12.00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Exercise price of warrant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6"/>
        </w:trPr>
        <w:tc>
          <w:tcPr>
            <w:tcW w:w="50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43.00 %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57.00 %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56.81 %</w:t>
            </w: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CLA, in its IPO in August 2020, issued 20,000,000 units that each consisted one Class A ordinary share and one half warrant to purchase a Class A ordinary share, which the Company refers to as CLA warrants before the Merger and Public warrants after the Merger. These warrants may only be exercised for a whole number of shares, and no fractional warrants were issued or issuable upon separation of the units and only whole warrants will trade. The warrants became exercisable 12 months following the closing of the Company’s IPO, and will expire five years from the completion of the Merger, or earlier upon redemption or liquidation. Each Public warrant is exercisable at a price of $11.50 per share. On March 11, 2021, upon the closing of the Merger pursuant to the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Merger in the amount of $17.9 million.</w:t>
      </w:r>
    </w:p>
    <w:p>
      <w:pPr>
        <w:spacing w:after="0" w:line="20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lease agreements (collectively the “350 Treat Building Lease” and the “2741 16th Street Lease”),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March 31, 2022 and December 31, 2021. The outstanding amount of the letters of credit was $2.0 million as of March 31, 2022 and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2022, the Company had non-cancelable purchase commitments to a third-party contract manufacturer for approximately $21.3 million and to other vendors for approximately $9.1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 Should the SEC pursue this matter further, it could have a material impact on our business and operations. At this time, we are unable to estimate the probability or the amount of liability, if any, related to this matter.</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involved in various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Based on the opinion of legal counsel and other factors, management believes that the final disposition of these existing matters will not have a material adverse effect on the business, results of operations, financial condition, or cash flows of the Company.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 For other claims regarding proceedings that are in an initial phase, the Company is unable to estimate the range of possible loss, if any, but at this time believes that any loss related to such claims will not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there were no material litigation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March 31, 2022 and December 31, 2021.</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and Common Stock</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Immediately prior to the Merger, OTI’s certificate of incorporation, as amended, authorized it to issue 342,367,887 shares of $0.00001 par value, with 210,956,516 shares designated as common stock and 131,411,372 shares of redeemable convertible preferred stock.</w:t>
      </w:r>
    </w:p>
    <w:p>
      <w:pPr>
        <w:spacing w:after="0" w:line="1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March 31, 2022 and December 31, 2021, the Company does not have any redeemable convertible preferred stock outstanding.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31, 2022, the Company has three equity incentive plans, the 2015 Stock Plan (the “2015 Plan”), the 2021 Incentive Award Plan (the “2021 Plan”) and the Sense 2017 Equity Incentive Plan (the “Sense Plan” and together the “Plans”).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Plans provide for the grant of stock options, stock appreciation rights, restricted stock awards (“RSA”), restricted stock units (“RSU”), performance stock unit awards and other forms of equity compensation (collectively, “equity awards”). In addition, the 2021 Plan provides for the grant of performance bonus awards. All awards within the Plans may be granted to employees, including officers, as well as directors and consultants, within the limits defined in the Plans.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spacing w:after="0" w:line="1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12, 2020, the Company issued $1.1 million partial recourse promissory notes to certain executives and employees. The promissory notes carried 0.38% annual cash interest and were due on the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$0.3 million under each of their respective notes. Additional compensation expense of $0.3 million was recognized in general and administrative expenses for the three months ended March 31, 2021 for the value of the loans forgiven. No obligations under the promissory notes for non-executive noteholders were outstanding as of March 31, 2022 and December 31, 2021.</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three months ended March 31, 2022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4"/>
                <w:szCs w:val="14"/>
                <w:color w:val="auto"/>
              </w:rPr>
            </w:pPr>
          </w:p>
        </w:tc>
        <w:tc>
          <w:tcPr>
            <w:tcW w:w="12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Underlying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4"/>
                <w:szCs w:val="14"/>
                <w:color w:val="auto"/>
              </w:rPr>
            </w:pPr>
          </w:p>
        </w:tc>
        <w:tc>
          <w:tcPr>
            <w:tcW w:w="12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Price per Share</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Term (in years)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24,129,096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100,992</w:t>
            </w:r>
          </w:p>
        </w:tc>
        <w:tc>
          <w:tcPr>
            <w:tcW w:w="0" w:type="dxa"/>
            <w:vAlign w:val="bottom"/>
          </w:tcPr>
          <w:p>
            <w:pPr>
              <w:spacing w:after="0"/>
              <w:rPr>
                <w:sz w:val="1"/>
                <w:szCs w:val="1"/>
                <w:color w:val="auto"/>
              </w:rPr>
            </w:pPr>
          </w:p>
        </w:tc>
      </w:tr>
      <w:tr>
        <w:trPr>
          <w:trHeight w:val="213"/>
        </w:trPr>
        <w:tc>
          <w:tcPr>
            <w:tcW w:w="4320" w:type="dxa"/>
            <w:vAlign w:val="bottom"/>
          </w:tcPr>
          <w:p>
            <w:pPr>
              <w:ind w:left="460"/>
              <w:spacing w:after="0"/>
              <w:rPr>
                <w:sz w:val="20"/>
                <w:szCs w:val="20"/>
                <w:color w:val="auto"/>
              </w:rPr>
            </w:pPr>
            <w:r>
              <w:rPr>
                <w:rFonts w:ascii="Arial" w:cs="Arial" w:eastAsia="Arial" w:hAnsi="Arial"/>
                <w:sz w:val="16"/>
                <w:szCs w:val="16"/>
                <w:color w:val="auto"/>
              </w:rPr>
              <w:t>Options exercised</w:t>
            </w:r>
          </w:p>
        </w:tc>
        <w:tc>
          <w:tcPr>
            <w:tcW w:w="1760" w:type="dxa"/>
            <w:vAlign w:val="bottom"/>
          </w:tcPr>
          <w:p>
            <w:pPr>
              <w:jc w:val="right"/>
              <w:spacing w:after="0"/>
              <w:rPr>
                <w:sz w:val="20"/>
                <w:szCs w:val="20"/>
                <w:color w:val="auto"/>
              </w:rPr>
            </w:pPr>
            <w:r>
              <w:rPr>
                <w:rFonts w:ascii="Arial" w:cs="Arial" w:eastAsia="Arial" w:hAnsi="Arial"/>
                <w:sz w:val="16"/>
                <w:szCs w:val="16"/>
                <w:color w:val="auto"/>
              </w:rPr>
              <w:t>(797,380)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Options cancelled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color w:val="auto"/>
              </w:rPr>
              <w:t>Outstanding—March 31, 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23,253,963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84,888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vest—March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23,253,963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84,888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Exercisable—March 31, 2022</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9,954,974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37,186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Options Outstanding</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99"/>
              <w:spacing w:after="0" w:line="158" w:lineRule="exact"/>
              <w:rPr>
                <w:sz w:val="20"/>
                <w:szCs w:val="20"/>
                <w:color w:val="auto"/>
              </w:rPr>
            </w:pPr>
            <w:r>
              <w:rPr>
                <w:rFonts w:ascii="Arial" w:cs="Arial" w:eastAsia="Arial" w:hAnsi="Arial"/>
                <w:sz w:val="16"/>
                <w:szCs w:val="16"/>
                <w:b w:val="1"/>
                <w:bCs w:val="1"/>
                <w:color w:val="auto"/>
                <w:w w:val="91"/>
              </w:rPr>
              <w:t>Weighted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88"/>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86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Exercise</w:t>
            </w:r>
          </w:p>
        </w:tc>
        <w:tc>
          <w:tcPr>
            <w:tcW w:w="22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Options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92"/>
              </w:rPr>
              <w:t>Remaining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88"/>
              </w:rPr>
              <w:t>Average</w:t>
            </w:r>
          </w:p>
        </w:tc>
        <w:tc>
          <w:tcPr>
            <w:tcW w:w="14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94"/>
              </w:rPr>
              <w:t>Contractual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8"/>
              </w:rPr>
              <w:t>Exercise</w:t>
            </w: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Outstanding</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1"/>
              </w:rPr>
              <w:t>Life (Years)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Exercisable</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5,037,657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3,256,438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3"/>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0.21</w:t>
            </w:r>
          </w:p>
        </w:tc>
        <w:tc>
          <w:tcPr>
            <w:tcW w:w="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9,300,668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3,454,922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7,524,114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2,664,790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40,581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40,418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3"/>
        </w:trPr>
        <w:tc>
          <w:tcPr>
            <w:tcW w:w="4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10.26</w:t>
            </w:r>
          </w:p>
        </w:tc>
        <w:tc>
          <w:tcPr>
            <w:tcW w:w="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645,797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23,253,963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9,954,974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2022, there was approximately $21.2 million of unamortized stock-based compensation expense related to unvested stock options that is expected to be recognized over a weighted average period of 2.4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r>
              <w:rPr>
                <w:rFonts w:ascii="Arial" w:cs="Arial" w:eastAsia="Arial" w:hAnsi="Arial"/>
                <w:sz w:val="18"/>
                <w:szCs w:val="18"/>
                <w:i w:val="1"/>
                <w:iCs w:val="1"/>
                <w:color w:val="auto"/>
              </w:rPr>
              <w:t>Restricted Stock Unit (“RSU”) Awards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60" w:type="dxa"/>
            <w:vAlign w:val="bottom"/>
          </w:tcPr>
          <w:p>
            <w:pPr>
              <w:spacing w:after="0"/>
              <w:rPr>
                <w:sz w:val="20"/>
                <w:szCs w:val="20"/>
                <w:color w:val="auto"/>
              </w:rPr>
            </w:pPr>
            <w:r>
              <w:rPr>
                <w:rFonts w:ascii="Arial" w:cs="Arial" w:eastAsia="Arial" w:hAnsi="Arial"/>
                <w:sz w:val="18"/>
                <w:szCs w:val="18"/>
                <w:color w:val="auto"/>
              </w:rPr>
              <w:t>A summary of RSU activity is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32"/>
        </w:trPr>
        <w:tc>
          <w:tcPr>
            <w:tcW w:w="74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Value (per share)</w:t>
            </w:r>
          </w:p>
        </w:tc>
        <w:tc>
          <w:tcPr>
            <w:tcW w:w="0" w:type="dxa"/>
            <w:vAlign w:val="bottom"/>
          </w:tcPr>
          <w:p>
            <w:pPr>
              <w:spacing w:after="0" w:line="20" w:lineRule="exact"/>
              <w:rPr>
                <w:sz w:val="1"/>
                <w:szCs w:val="1"/>
                <w:color w:val="auto"/>
              </w:rPr>
            </w:pPr>
          </w:p>
        </w:tc>
      </w:tr>
      <w:tr>
        <w:trPr>
          <w:trHeight w:val="230"/>
        </w:trPr>
        <w:tc>
          <w:tcPr>
            <w:tcW w:w="746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9,326,572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520" w:type="dxa"/>
            <w:vAlign w:val="bottom"/>
          </w:tcPr>
          <w:p>
            <w:pPr>
              <w:jc w:val="right"/>
              <w:spacing w:after="0"/>
              <w:rPr>
                <w:sz w:val="20"/>
                <w:szCs w:val="20"/>
                <w:color w:val="auto"/>
              </w:rPr>
            </w:pPr>
            <w:r>
              <w:rPr>
                <w:rFonts w:ascii="Arial" w:cs="Arial" w:eastAsia="Arial" w:hAnsi="Arial"/>
                <w:sz w:val="18"/>
                <w:szCs w:val="18"/>
                <w:color w:val="auto"/>
              </w:rPr>
              <w:t>3,983,474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Stock compensation expense is recognized on a straight-line basis over the vesting period of each RSU. As of March 31, 2022, total compensation expense related to unvested RSUs granted to employees, but not yet recognized, was $68.1 million, with a weighted-average remaining vesting period of 3.2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RSUs settle into shares of common stock upon vesting.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3,761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3,248</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3,952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8,750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5,256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80" w:type="dxa"/>
            <w:vAlign w:val="bottom"/>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5,901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2,840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4,937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8,750</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5,256</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5"/>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80" w:type="dxa"/>
            <w:vAlign w:val="bottom"/>
          </w:tcPr>
          <w:p>
            <w:pPr>
              <w:ind w:left="68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170,906,196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55,688,281</w:t>
            </w: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common share—basic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25,577,679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24,626,748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15,999,900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15,999,996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8,597,445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959,874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440" w:type="dxa"/>
            <w:vAlign w:val="bottom"/>
          </w:tcPr>
          <w:p>
            <w:pPr>
              <w:jc w:val="right"/>
              <w:spacing w:after="0"/>
              <w:rPr>
                <w:sz w:val="20"/>
                <w:szCs w:val="20"/>
                <w:color w:val="auto"/>
              </w:rPr>
            </w:pPr>
            <w:r>
              <w:rPr>
                <w:rFonts w:ascii="Arial" w:cs="Arial" w:eastAsia="Arial" w:hAnsi="Arial"/>
                <w:sz w:val="18"/>
                <w:szCs w:val="18"/>
                <w:color w:val="auto"/>
              </w:rPr>
              <w:t>1,595,966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3,935,428</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Vested and early exercised options subject to nonrecourse notes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1,761,436</w:t>
            </w:r>
          </w:p>
        </w:tc>
      </w:tr>
      <w:tr>
        <w:trPr>
          <w:trHeight w:val="248"/>
        </w:trPr>
        <w:tc>
          <w:tcPr>
            <w:tcW w:w="8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51,782,635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47,318,414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months ended March 31, 2022 and 2021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 from sale of lidar sensor kits, which are recognized at a point in time, was $8.6 million and $6.6 million in three months ended March 31, 2022 and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North and South America, excluding United States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and Pacific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Europe, Middle East and Africa</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2,883</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3,133</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8,558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6,611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See Note 9, Stock-based compensation for details of partial recourse promissory notes issued by the Company to certain executives and employees.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7"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On April 29, 2022, the Company and its subsidiary, Sense, entered into a loan and security agreement with Hercules Capital, Inc. (“Hercules”) pursuant to which Hercules agreed to make available to the Company a secured term loan facility in the amount of up to $50.0 million, subject to certain terms and conditions. Advances under the loan and security agreement bear interest at the rate of interest equal to greater of either (i) (x) the prime rate as reported in The Wall Street Journal plus (y) 6.15%, and (ii) 9.40%, subject to compliance with financial covenants and other conditions. The loan and security agreement includes covenants, limitations, and events of default customary for similar facilities. The loan and security agreement matures on May 1, 2026.</w:t>
      </w:r>
    </w:p>
    <w:p>
      <w:pPr>
        <w:spacing w:after="0" w:line="19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accordance with the terms of the loan and security agreement, $20.0 million was funded by Hercules on the closing date. The Company may borrow an additional $20.0 million on or before March 15, 2023, subject satisfying certain conditions. An additional $10.0 million may be drawn on or before June 15, 2023, subject to satisfying certain conditions relating to the achievement of trailing twelve month revenue and profit milestones.</w:t>
      </w:r>
    </w:p>
    <w:p>
      <w:pPr>
        <w:spacing w:after="0" w:line="11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On April 29, 2022, the Company entered into an At-Market-Issuance Sales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filed with the Securities and Exchange Commission (“SEC”) on February 28, 2022. This discussion may contain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Ouster’s Annual Report on Form 10-K dated and filed with the SEC on February 28, 2022.</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“Merger”), as further described below.</w:t>
      </w:r>
    </w:p>
    <w:p>
      <w:pPr>
        <w:spacing w:after="0" w:line="21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over 650 customers in the twelve months ended March 31, 2022.</w:t>
      </w:r>
    </w:p>
    <w:p>
      <w:pPr>
        <w:spacing w:after="0" w:line="134"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33"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Our product offering today includes our OS scanning product line and our DF solid-state product line. With our unique digital lidar technology, we offer numerous customization options across our products, all enabled by flexible technology and embedded software. Today we offer short, medium, and long-range lidar products at varying price points and with tailored capabilities to meet the different needs of our diverse customer base.</w:t>
      </w:r>
    </w:p>
    <w:p>
      <w:pPr>
        <w:spacing w:after="0" w:line="9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believe the simplicity of our digital lidar design gives us a meaningful advantage in costs related to manufacturing, supply chain and production yields. The same digital lidar components underpin our entire product portfolio which drives economies of scale in our supply chains. With virtually unlimited software-defined products driving low-cost customization, we are able to increase stock keeping units (“SKUs”) for industry-specific applications, expanding our product offering with minimal manufacturing or inventory changes. We currently offer many different software-defined product SKUs, all based on this common architecture and shared core componentry.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2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won and are actively negotiating several multi-year sales contracts, including certain Strategic Customer Agreements (“SCAs”), which establish a multi-year purchase and supply framework for Ouster and the customer, and include details about customer programs and applications where the customer intends to use Ouster products. SCAs also include multi-year non-binding customer forecasts (typically of three to five years in length) giving Ouster visibility to the customer's long-term purchasing requirements, mutually agreed upon pricing over the duration of the agreement, and, in certain cases, include multi-year binding purchase commitments.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approximately 280 employees serving over 650 customers globally in the twelve months ended March 31, 2022.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75"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On December 21, 2020, OTI entered into the Merger Agreement with CLA, and Merger Sub, a subsidiary of CLA.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0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1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 billion of shares of Ouster common stock (at a deemed value of $10.00 per share), which, in the case of OTI Awards, were shares underlying awards based on Ouster common stock, representing a fully-diluted pre-transaction shares. Upon the closing of the Merger, the Company received gross proceeds of $299.9 million from the Merger and private offering, offset by $8.5 million of pre-merger costs relating to CLA and transaction costs of $26.6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Sense Acquisition</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October 22, 2021, we completed the acquisition of Sense Photonics, Inc. (“Sense”). Under the terms of the merger agreement, we acquired 100% of Sense and all of its property for approximately 10 million shares of Ouster common stock or approximately $63.0 million in equity value based on the closing price of $6.55 per share as of the day the transaction closed on October 22, 2021, inclusive of 0.8 million shares underlying assumed options, after closing adjustments. This acquisition is expected to help Ouster expand its presence in the automotive vertical by executing on our hiring goals and product roadmap on a faster timeline.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Beginning in 2020, the worldwide spread of the pandemic caused by the novel coronavirus (“COVID-19”), including its variants, and the measures intended to contain the spread of COVID-19, have resulted in a global slowdown of economic activity and caused disruptions to our business.</w:t>
      </w:r>
    </w:p>
    <w:p>
      <w:pPr>
        <w:spacing w:after="0" w:line="7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For example, our suppliers are located worldwide, and some of our key suppliers have been affected by the pandemic resulting in supply chain disruptions. We have experienced and continue to experience some unfavorable purchase price variance and situational expedite fees in order to meet production and delivery timelines. While we may see additional or new pressures on our supply chain both related and unrelated to the pandemic, we are actively taking steps to mitigate the impact of the materials shortages on our business.</w:t>
      </w:r>
    </w:p>
    <w:p>
      <w:pPr>
        <w:spacing w:after="0" w:line="13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At times during the pandemic,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the impact of new variants of the disease and the actions taken to contain, prevent or treat COVID-19, rate and success of vaccination efforts, vaccination reticence, any resurgence of the pandemic in areas where we, Benchmark or our suppliers operate, and the economic impact on local, regional, national and international customers and markets.</w:t>
      </w:r>
    </w:p>
    <w:p>
      <w:pPr>
        <w:spacing w:after="0" w:line="11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Going forward, the situation remains uncertain, rapidly changing and hard to predict, and the COVID-19 pandemic may have a material negative impact on our future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6"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i w:val="1"/>
          <w:iCs w:val="1"/>
          <w:color w:val="auto"/>
        </w:rPr>
        <w:t xml:space="preserve">Supply Chain Continuity. </w:t>
      </w:r>
      <w:r>
        <w:rPr>
          <w:rFonts w:ascii="Arial" w:cs="Arial" w:eastAsia="Arial" w:hAnsi="Arial"/>
          <w:sz w:val="16"/>
          <w:szCs w:val="16"/>
          <w:color w:val="auto"/>
        </w:rPr>
        <w:t>Beginning in 2021, a surge in demand for electronics containing semiconductor chips and stockpiling of chips by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created disruptions in the supply chain, which has resulted in a global chip shortage impacting our industry. Some chip manufacturers are estimating that this supply shortage may continue through mid-2023.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2021 and the three months ended March 31, 2022 and may continue to do so. We anticipate fluctuation in our cost of goods sold over the next 12-18 months as a result of ongoing supply chain constraints. These constraints have caused and may in the future cause us to implement certain temporary price surcharges. Over time, we expect our overall average selling prices to decline as our volume increases.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114"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1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Number of Customers in Production. </w:t>
      </w:r>
      <w:r>
        <w:rPr>
          <w:rFonts w:ascii="Arial" w:cs="Arial" w:eastAsia="Arial" w:hAnsi="Arial"/>
          <w:sz w:val="16"/>
          <w:szCs w:val="16"/>
          <w:color w:val="auto"/>
        </w:rPr>
        <w:t>For certain strategic customers and markets, our products must be integrated into a broader platform, which then</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i w:val="1"/>
          <w:iCs w:val="1"/>
          <w:color w:val="auto"/>
        </w:rPr>
        <w:t xml:space="preserve">Customer’s Sales Volumes. </w:t>
      </w:r>
      <w:r>
        <w:rPr>
          <w:rFonts w:ascii="Arial" w:cs="Arial" w:eastAsia="Arial" w:hAnsi="Arial"/>
          <w:sz w:val="16"/>
          <w:szCs w:val="16"/>
          <w:color w:val="auto"/>
        </w:rPr>
        <w:t>Our customer base is diversified and we will continue to penetrate into diverse end markets to increase our sales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07"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i w:val="1"/>
          <w:iCs w:val="1"/>
          <w:color w:val="auto"/>
        </w:rPr>
        <w:t xml:space="preserve">Average Selling Prices (“ASPs”), Product Costs and Margins. </w:t>
      </w:r>
      <w:r>
        <w:rPr>
          <w:rFonts w:ascii="Arial" w:cs="Arial" w:eastAsia="Arial" w:hAnsi="Arial"/>
          <w:sz w:val="17"/>
          <w:szCs w:val="17"/>
          <w:color w:val="auto"/>
        </w:rPr>
        <w:t>Our product costs and gross margins depend largely on the volumes of sensors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supply chain constraints discussed above. We expect these customer-specific selling price fluctuations combined with our volume-driven product costs may drive fluctuations in revenue and gross margins on a quarterly basis. However, notwithstanding any short-term price surcharge on our products, we expect that over time our volume-driven product costs will lead to gross margin improvement as our sales volume increases.</w:t>
      </w:r>
    </w:p>
    <w:p>
      <w:pPr>
        <w:spacing w:after="0" w:line="12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Competition</w:t>
      </w:r>
      <w:r>
        <w:rPr>
          <w:rFonts w:ascii="Arial" w:cs="Arial" w:eastAsia="Arial" w:hAnsi="Arial"/>
          <w:sz w:val="16"/>
          <w:szCs w:val="16"/>
          <w:color w:val="auto"/>
        </w:rPr>
        <w:t>. Lidar is an emerging market, and there are competitors for the growing market. Competitors may offer lidar products at lower prices</w:t>
      </w:r>
      <w:r>
        <w:rPr>
          <w:rFonts w:ascii="Arial" w:cs="Arial" w:eastAsia="Arial" w:hAnsi="Arial"/>
          <w:sz w:val="16"/>
          <w:szCs w:val="16"/>
          <w:i w:val="1"/>
          <w:iCs w:val="1"/>
          <w:color w:val="auto"/>
        </w:rPr>
        <w:t xml:space="preserve"> </w:t>
      </w:r>
      <w:r>
        <w:rPr>
          <w:rFonts w:ascii="Arial" w:cs="Arial" w:eastAsia="Arial" w:hAnsi="Arial"/>
          <w:sz w:val="16"/>
          <w:szCs w:val="16"/>
          <w:color w:val="auto"/>
        </w:rPr>
        <w:t>than ours, including pricing that may be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enter, and have entered, into commercial relationships with key customers and potential customers and have built relationships and dependencies between themselves and those key customers and potential customers. This has created downward pressure on our ASPs, 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spacing w:after="0" w:line="112"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Continued Investment and Innovation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we are a leading digital lidar provider. Our financial performance is significantly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robust demand for our digital lidar solution. We estimate a multibillion 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22"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12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product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1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Subject to quarterly fluctuations and volatility, we expect unit costs to improve as we manufacture higher unit volumes of sensors and a greater portion of our sensors are produced by our contract manufacturer in Thailand.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Research and development (“R&amp;D”) activities are primarily conducted at our San Francisco based headquarters and our additional R&amp;D facility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Edinburgh, Scotland and consist of the following activities:</w:t>
      </w:r>
    </w:p>
    <w:p>
      <w:pPr>
        <w:spacing w:after="0" w:line="103"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 will grow over time; however, we expect R&amp;D as a percentage of revenue to decrease annually as our business grows.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 international expansion and compliance with the applicable provisions of the Sarbanes-Oxley Act (“SOX”) and other U.S. Securities and Exchange Commission (“SEC”) rules and regulations.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measure and recognize stock-based compensation expense for stock-based awards over the requisite service periods based on the estimated grant date fair value using the Black-Scholes-Merton option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Merger.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its deferred tax assets as it is more likely than not that some, or all, of our deferred tax assets will not be realized. We continue to maintain a full valuation allowance against its net deferred tax assets. Income tax provision for the three months ended March 31, 2022 and 2021, respectively, was not material to the Company’s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condensed consolidated results of operations data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3,426</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 of total revenue)</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 expense</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(379)%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30</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3,761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3,248</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3,952</w:t>
            </w: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8,750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5,256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b w:val="1"/>
                <w:bCs w:val="1"/>
                <w:color w:val="auto"/>
              </w:rPr>
              <w:t>%</w:t>
            </w:r>
          </w:p>
        </w:tc>
      </w:tr>
      <w:tr>
        <w:trPr>
          <w:trHeight w:val="183"/>
        </w:trPr>
        <w:tc>
          <w:tcPr>
            <w:tcW w:w="5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29 %</w:t>
            </w:r>
          </w:p>
        </w:tc>
      </w:tr>
      <w:tr>
        <w:trPr>
          <w:trHeight w:val="256"/>
        </w:trPr>
        <w:tc>
          <w:tcPr>
            <w:tcW w:w="5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by geographic location: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8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w w:val="92"/>
              </w:rPr>
              <w:t>54 %</w:t>
            </w:r>
          </w:p>
        </w:tc>
      </w:tr>
      <w:tr>
        <w:trPr>
          <w:trHeight w:val="230"/>
        </w:trPr>
        <w:tc>
          <w:tcPr>
            <w:tcW w:w="5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North and South America, excluding United States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25</w:t>
            </w:r>
          </w:p>
        </w:tc>
      </w:tr>
      <w:tr>
        <w:trPr>
          <w:trHeight w:val="229"/>
        </w:trPr>
        <w:tc>
          <w:tcPr>
            <w:tcW w:w="5180" w:type="dxa"/>
            <w:vAlign w:val="bottom"/>
          </w:tcPr>
          <w:p>
            <w:pPr>
              <w:ind w:left="460"/>
              <w:spacing w:after="0"/>
              <w:rPr>
                <w:sz w:val="20"/>
                <w:szCs w:val="20"/>
                <w:color w:val="auto"/>
              </w:rPr>
            </w:pPr>
            <w:r>
              <w:rPr>
                <w:rFonts w:ascii="Arial" w:cs="Arial" w:eastAsia="Arial" w:hAnsi="Arial"/>
                <w:sz w:val="18"/>
                <w:szCs w:val="18"/>
                <w:color w:val="auto"/>
              </w:rPr>
              <w:t>Asia and Pacific</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Arial" w:cs="Arial" w:eastAsia="Arial" w:hAnsi="Arial"/>
                <w:sz w:val="18"/>
                <w:szCs w:val="18"/>
                <w:color w:val="auto"/>
              </w:rPr>
              <w:t>88</w:t>
            </w:r>
          </w:p>
        </w:tc>
      </w:tr>
      <w:tr>
        <w:trPr>
          <w:trHeight w:val="230"/>
        </w:trPr>
        <w:tc>
          <w:tcPr>
            <w:tcW w:w="5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 Middle East and Africa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2"/>
              </w:rPr>
              <w:t>29 %</w:t>
            </w: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Product revenue increased by $1.9 million, or 29%, to $8.6 million for the three months ended March 31, 2022 from $6.6 million for the comparable period in the prior year. The increase in product revenue was driven by an increase in volume of 58%, which we attribute primarily to the expansion of our sales team into new geographic regions and the increase of high volume, long-term deals as some of our customers begin to move into a production stage with their autonomous products. Our average selling price declined by 20% as we moved towards negotiated customer pricing with customers reaching the production stage with their autonomous products and we expect reductions in the cost of goods sold as we grow our volumes.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Revenue increased across the geographic regions of United States; North and South America, excluding United States; and Asia and Pacific; by $1.0 million, $0.1 million, and $1.1 million, respectively. The revenue increases in those geographic regions were a result of recent sales expansion. Revenue decreased in Europe, Middle East and Africa due to a large one time contract which was fulfilled during the three months ended March 31, 2021 and represented 57% of the revenue from Europe, Middle East and Africa in the first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7"/>
        </w:trPr>
        <w:tc>
          <w:tcPr>
            <w:tcW w:w="5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90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79"/>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Cost of product revenue increased by $1.1 million, or 23%, to $6.0 million for the three months ended March 31, 2022 from $4.9 million for the comparable period in the prior year and cost per unit decreased by 23%. The increase in cost of product revenue was primarily due to an increase of $0.5 million purchase price variance due to the supply chain shortage, increases related to volume of $1.0 million in material costs, $0.1 million in freight costs and $1.1 million in manufacturing overhead costs and an increase of $0.1 million in cost per unit in freight. The increases were partially offset by a decrease of $1.7 million in per unit costs of materials, labor and overhead and other costs related to product revenue.</w:t>
      </w:r>
    </w:p>
    <w:p>
      <w:pPr>
        <w:spacing w:after="0" w:line="122"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Gross margin increased from 26% for the three months ended March 31, 2021 to 30% for the three months ended March 31, 2022. The increase in product gross margin is due to the 23% decrease in cost per unit partially offset by the 20% decrease in average selling price.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2"/>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107</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Research and development expenses increased by $11.2 million, or 238%, to $15.9 million for the three months ended March 31, 2022 from $4.7 million for the comparable period in the prior year. The increase was primarily attributable to a $4.6 million increase in payroll and benefits related costs, a $2.9 million increase in stock-based compensation expense, a $2.4 million increase in contractor, prototype, and equipment costs related to product development, a $0.7 million in depreciation and amortization expense, and a $0.6 million increase in other materials and supplies, facilities, professional fees and other miscellaneous costs attributable to research and development functions.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Sales and marketing expenses increased by $3.7 million, or 107%, to $7.1 million for the three months ended March 31, 2022 from $3.4 million for the comparable period in the prior year. The increase was primarily attributable to an increase of $2.1 million in payroll and personnel-related costs and $1.3 million in stock-based compensation expense driven by the addition of sales personnel in all our global regions, as well as a $0.3 million increase in other expenses associated with our marketing and business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General and administrative expenses increased by $3.9 million, or 39%, to $13.8 million for the three months ended March 31, 2022 from $9.9 million for the comparable period in the prior year. The increase was primarily due to an increase of $1.4 million in payroll and personnel-related costs, an increase of $1.3 million in insurance premiums, an increase of $0.6 million in depreciation expenses, an increase of $0.5 million in professional services fees, and an increase of $0.8 million in office, facility and other expenses, partially offset by a decrease of $0.7 million in stock based compensation expenses.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2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w:t>
            </w:r>
          </w:p>
        </w:tc>
      </w:tr>
      <w:tr>
        <w:trPr>
          <w:trHeight w:val="183"/>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income was $0.2 million for the three months ended March 31, 2022 compared to $0.001 million for the comparable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interest income was primarily related to an increase in our cash and cash equivalent balances.</w:t>
      </w:r>
    </w:p>
    <w:p>
      <w:pPr>
        <w:spacing w:after="0" w:line="15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Interest expense was nil for the three months ended March 31, 2022 compared to $0.5 million for the comparable period in the prior year. The decrease was primarily because we recorded interest expense on our debt and convertible notes and amortization of debt issuance costs and discount for the comparable period in the prior year.</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Other income (expense), net was $1.7 million for the three months ended March 31, 2022 compared to $4.2 million for the comparable period in the prior year. During the three months ended March 31, 2022, we recorded a gain of $1.7 million for the fair value change of Private Placement warrant liability which was offset by $0.1 million gain from disposal of property and equipment. During the three months ended March 31, 2021, we recorded a loss of $8.8 million for the fair value change of redeemable convertible preferred stock warrant liability, partially offset by a gain of $4.7 million for the fair value change of Private Placement warrant liability which was recorded as other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We were subject to income tax in the United States, California, and miscellaneous foreign jurisdictions for the three months ended March 31, 2022 and 2021. Our income tax expense for three months ended March 31, 2022 and 2021 was not material to the Company’s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Upon closing of the Merger, we received gross proceeds of $299.9 million from the Merger and private offering, offset by $8.5 million of pre-merger costs relating to CLA and transactions costs of $26.6 million.</w:t>
      </w:r>
    </w:p>
    <w:p>
      <w:pPr>
        <w:spacing w:after="0" w:line="20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April 29, 2022, we entered into an open market sale agreement with B. Riley Securities, Inc., Cantor Fitzgerald &amp; Co. and Oppenheimer &amp; Co. Inc., pursuant to which we may offer and sell shares of our common stock with an aggregate offering price of up to $150.0 million under an “at the market” offering program (the “ATM Offering”). Subject to the terms and conditions of the agreement, we may sell the shares in amounts and at times to be determined by us but we have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its funding. We currently intend to use the net proceeds from any sale of shares pursuant to the ATM Offering for working capital and general corporate purposes.</w:t>
      </w:r>
    </w:p>
    <w:p>
      <w:pPr>
        <w:spacing w:after="0" w:line="2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29, 2022, we entered into a loan and security agreement (the “Loan Agreement”) with Hercules Capital, Inc. (“Hercules”). The Loan Agreement provides us with the term loan of up to $50.0 million, subject to terms and conditions. $20.0 million has been drawn to date under the Loan Agreement, and can be used for general working capital purposes. For additional information, see “Debt Arrangements”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sources of liquidity are expected to be our cash and cash equivalents, cash generated from product revenues, sales of common stock under our at-the market equity offering program and our loan agreement executed with Hercules.</w:t>
      </w:r>
    </w:p>
    <w:p>
      <w:pPr>
        <w:spacing w:after="0" w:line="19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March 31, 2022, we had an accumulated deficit of $335.8 million and cash and cash equivalents of $160.8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 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March 31, 2022 and December 31, 2021, the outstanding principal balance of the loan was nil.</w:t>
      </w:r>
    </w:p>
    <w:p>
      <w:pPr>
        <w:spacing w:after="0" w:line="11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described above, on April 29, 2022, we entered into the Loan Agreement with Hercules. The Loan Agreement provides us with a term loan facility of up to $50.0 million, subject to terms and conditions (the “Term Loan Facility”). $20.0 million has been drawn to date under the Loan Agreement, and can be used for general working capital purposes. We may borrow an additional $20.0 million on or before March 15, 2023, subject satisfying certain conditions. An additional $10.0 million may be drawn on or before June 15, 2023, subject to satisfying certain conditions relating to the achievement of trailing twelve month revenue and profit milestones.</w:t>
      </w:r>
    </w:p>
    <w:p>
      <w:pPr>
        <w:spacing w:after="0" w:line="134"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Advances under the Term Loan Facility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w:t>
      </w:r>
    </w:p>
    <w:p>
      <w:pPr>
        <w:spacing w:after="0" w:line="111"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Interest on amounts borrowed under the Loan Agreement is payable on a monthly basis until June 1, 2025. After June 1, 2025, payments consist of equal monthly installments of principal and interest payable until the secured obligations are repaid in full. However, if the Company achieves certain equity proceed, revenue or profit targets for the twelve-month period ending December 31, 2023, then the interest-only payments will continue and the Company will be obligated to repay the aggregate principal amount on May 1, 2026. The entire principal balance and all accrued but unpaid interest hereunder, shall be due and payable on May 1, 2026. On the earliest to occur of May 1, 2026, the date on which the obligations under the Loan Agreement are paid and the date on which such obligations become due and payable, the Company is also required to pay Hercules an end of term charge from $1.5 million to $3.7 million, depending on the amount borrowed.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40" w:firstLine="405"/>
        <w:spacing w:after="0" w:line="286" w:lineRule="auto"/>
        <w:rPr>
          <w:sz w:val="20"/>
          <w:szCs w:val="20"/>
          <w:color w:val="auto"/>
        </w:rPr>
      </w:pPr>
      <w:r>
        <w:rPr>
          <w:rFonts w:ascii="Arial" w:cs="Arial" w:eastAsia="Arial" w:hAnsi="Arial"/>
          <w:sz w:val="17"/>
          <w:szCs w:val="17"/>
          <w:color w:val="auto"/>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spacing w:after="0" w:line="11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If the Company fails to maintain an unrestricted cash balance of $60 million, the Loan Agreement has a revenue financial covenant that requires the Company to achieve certain trailing twelve-month revenue targets tested quarterly.</w:t>
      </w:r>
    </w:p>
    <w:p>
      <w:pPr>
        <w:spacing w:after="0" w:line="116"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All obligations under the Loan Agreement are unconditionally guaranteed by the Company’s subsidiary Sense Photonics, Inc. The Term Loan Facility is secured by substantially all of the Company’s and the guarantors’ existing and after-acquired assets, including all intellectual property, all securities in existing and future domestic subsidiaries and 65.0% of the securities in foreign subsidiaries, subject to certain exceptions and exclusions.</w:t>
      </w:r>
    </w:p>
    <w:p>
      <w:pPr>
        <w:spacing w:after="0" w:line="9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Loan Agreement contains customary covenants for transactions of this type and other covenants agreed to by the parties, including, among others, (i) the provision of annual, quarterly and monthly financial statements, management rights and insurance policies and (ii) restrictions on incurring debt, granting liens, making acquisitions, making loans, paying dividends, dissolving, and entering into leases and asset sales. The Loan Agreement also provides for customary events of default, including, among others, payment, bankruptcy, covenant, representation and warranty, change of control, judgment and material adverse effect defaults.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7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March 31, 2022,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7, Commitments and Contingencies and our Annual Report on Form 10-K as filed with the SEC on February 28, 2022.</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Flow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828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0"/>
              </w:rPr>
              <w:t>Net cash provided by (used in):</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2"/>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(21,827)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(12,399)</w:t>
            </w:r>
          </w:p>
        </w:tc>
      </w:tr>
      <w:tr>
        <w:trPr>
          <w:trHeight w:val="230"/>
        </w:trPr>
        <w:tc>
          <w:tcPr>
            <w:tcW w:w="8280" w:type="dxa"/>
            <w:vAlign w:val="bottom"/>
            <w:shd w:val="clear" w:color="auto" w:fill="CCEEFF"/>
          </w:tcPr>
          <w:p>
            <w:pPr>
              <w:jc w:val="center"/>
              <w:ind w:right="5910"/>
              <w:spacing w:after="0"/>
              <w:rPr>
                <w:sz w:val="20"/>
                <w:szCs w:val="20"/>
                <w:color w:val="auto"/>
              </w:rPr>
            </w:pPr>
            <w:r>
              <w:rPr>
                <w:rFonts w:ascii="Arial" w:cs="Arial" w:eastAsia="Arial" w:hAnsi="Arial"/>
                <w:sz w:val="18"/>
                <w:szCs w:val="18"/>
                <w:color w:val="auto"/>
                <w:w w:val="93"/>
              </w:rPr>
              <w:t>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8280" w:type="dxa"/>
            <w:vAlign w:val="bottom"/>
          </w:tcPr>
          <w:p>
            <w:pPr>
              <w:jc w:val="center"/>
              <w:ind w:right="5850"/>
              <w:spacing w:after="0"/>
              <w:rPr>
                <w:sz w:val="20"/>
                <w:szCs w:val="20"/>
                <w:color w:val="auto"/>
              </w:rPr>
            </w:pPr>
            <w:r>
              <w:rPr>
                <w:rFonts w:ascii="Arial" w:cs="Arial" w:eastAsia="Arial" w:hAnsi="Arial"/>
                <w:sz w:val="18"/>
                <w:szCs w:val="18"/>
                <w:color w:val="auto"/>
                <w:w w:val="93"/>
              </w:rPr>
              <w:t>Financing activities</w:t>
            </w:r>
          </w:p>
        </w:tc>
        <w:tc>
          <w:tcPr>
            <w:tcW w:w="3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258,799</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During the three months ended March 31, 2022, operating activities used $21.8 million in cash. The primary factors affecting our operating cash flows during this period were our net loss of $32.4 million, impacted by our non-cash charges of $10.1 million primarily consisting of stock-based compensation of $8.8 million, a $1.7 million change in fair value of warrant liabilities, depreciation and amortization of $2.4 million, change in right-of-use asset of $0.6 million, inventory write down of $0.2 million and gain from disposal of property and equipment of $0.1 million. The changes in our operating assets and liabilities of $0.4 million were primarily due to a decrease in prepaid expenses and other assets of $2.5 million, a decrease in operating lease liability of $0.8 million, an increase in inventories of $4.4 million, an increase in accounts payable and accrued and other liabilities of $2.3 million, and a decrease in accounts receivable of $0.8 million.</w:t>
      </w:r>
    </w:p>
    <w:p>
      <w:pPr>
        <w:spacing w:after="0" w:line="14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the three months ended March 31, 2021, operating activities used $12.4 million in cash. Non-cash charges of 11.3 million primarily consisting of stock-based compensation of $5.3 million, a $4.1 million change in fair value of warrant liabilities, depreciation and amortization of $1.1 million, change in right-of-use asset of $0.5 million, interest expense and amortization of debt issuance costs and debt discount of $0.3 million. The changes in our operating assets and liabilities of $2.8 million were primarily due to an increase in prepaid expenses and other assets of $1.2 million, a decrease in operating lease liability of $0.7 million, an increase in inventories of $0.5 million, a decrease in accounts payable and accrued and other liabilities of $0.3 million, and an increase in accounts receivable of $0.1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three months ended March 31, 2022, cash used in investing activities was $0.1 million, which was related to purchases of property and equipment, partially offset by sales of property and equipment.</w:t>
      </w:r>
    </w:p>
    <w:p>
      <w:pPr>
        <w:spacing w:after="0" w:line="11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three months ended March 31, 2021, cash used in investing activities was $0.6 million, which was related to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During the three months ended March 31, 2022, cash provided by financing activities was $0.1 million, consisting primarily of proceeds from exercise of stock options of $0.2 million, partially offset by repurchase of shares of common stock and taxes paid related to net share settlement of equity awards of $0.1 million.</w:t>
      </w:r>
    </w:p>
    <w:p>
      <w:pPr>
        <w:spacing w:after="0" w:line="130"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During the three months ended March 31, 2021, cash provided by financing activities was $258.8 million consisting primarily of $291.5 million proceeds (net of $8.4 million of pre-Merger costs relating to CLA) from the Merger and PIPE Investment offset by offerings costs of $26.1 million, and proceeds from exercise of stock options of $0.5 million, partially offset by repayment of debt of $7.0 million. There were promissory notes to related parties of $5.0 million that were issued and repaid during the three months ended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in our Annual Report on Form 10-K for the year ended December 31, 2021. There have been no significant changes to our critical accounting policies since the filing of our Annual Report on Form 10-K for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Please 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right="360" w:firstLine="405"/>
        <w:spacing w:after="0" w:line="301" w:lineRule="auto"/>
        <w:rPr>
          <w:sz w:val="20"/>
          <w:szCs w:val="20"/>
          <w:color w:val="auto"/>
        </w:rPr>
      </w:pPr>
      <w:r>
        <w:rPr>
          <w:rFonts w:ascii="Arial" w:cs="Arial" w:eastAsia="Arial" w:hAnsi="Arial"/>
          <w:sz w:val="16"/>
          <w:szCs w:val="16"/>
          <w:color w:val="auto"/>
        </w:rPr>
        <w:t>As of March 31, 2022, we had cash and cash equivalents of approximately $160.8 million, out of which $153.0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 In addition, subsequent to quarter end, we received $20.0 million under the Loan Agreement. These borrowings bear interest at variable rates which will carry interest rate risk going forward.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March 31, 2022 due to the material weaknesses in our internal control over financial reporting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Plan</w:t>
      </w:r>
    </w:p>
    <w:p>
      <w:pPr>
        <w:spacing w:after="0" w:line="17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0"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1" w:lineRule="exact"/>
        <w:rPr>
          <w:sz w:val="20"/>
          <w:szCs w:val="20"/>
          <w:color w:val="auto"/>
        </w:rPr>
      </w:pPr>
    </w:p>
    <w:p>
      <w:pPr>
        <w:ind w:left="1140" w:hanging="322"/>
        <w:spacing w:after="0" w:line="273" w:lineRule="auto"/>
        <w:tabs>
          <w:tab w:leader="none" w:pos="113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69" w:lineRule="exact"/>
        <w:rPr>
          <w:rFonts w:ascii="Arial" w:cs="Arial" w:eastAsia="Arial" w:hAnsi="Arial"/>
          <w:sz w:val="17"/>
          <w:szCs w:val="17"/>
          <w:color w:val="auto"/>
        </w:rPr>
      </w:pPr>
    </w:p>
    <w:p>
      <w:pPr>
        <w:ind w:left="1140" w:right="20" w:hanging="322"/>
        <w:spacing w:after="0" w:line="288" w:lineRule="auto"/>
        <w:tabs>
          <w:tab w:leader="none" w:pos="1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1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taken several measures to remediate the foregoing material weaknesses. To date, our efforts have included the following:</w:t>
      </w:r>
    </w:p>
    <w:p>
      <w:pPr>
        <w:spacing w:after="0" w:line="117" w:lineRule="exact"/>
        <w:rPr>
          <w:sz w:val="20"/>
          <w:szCs w:val="20"/>
          <w:color w:val="auto"/>
        </w:rPr>
      </w:pPr>
    </w:p>
    <w:p>
      <w:pPr>
        <w:ind w:left="1140" w:right="520" w:hanging="322"/>
        <w:spacing w:after="0" w:line="308" w:lineRule="auto"/>
        <w:tabs>
          <w:tab w:leader="none" w:pos="113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Recruiting additional personnel with appropriate internal controls and accounting knowledge and experience commensurate with our accounting and reporting requirements, in addition to engaging and utilizing third party consultants and specialists.</w:t>
      </w:r>
    </w:p>
    <w:p>
      <w:pPr>
        <w:spacing w:after="0" w:line="38" w:lineRule="exact"/>
        <w:rPr>
          <w:rFonts w:ascii="Arial" w:cs="Arial" w:eastAsia="Arial" w:hAnsi="Arial"/>
          <w:sz w:val="17"/>
          <w:szCs w:val="17"/>
          <w:color w:val="auto"/>
        </w:rPr>
      </w:pPr>
    </w:p>
    <w:p>
      <w:pPr>
        <w:ind w:left="1140" w:right="120" w:hanging="322"/>
        <w:spacing w:after="0" w:line="342" w:lineRule="auto"/>
        <w:tabs>
          <w:tab w:leader="none" w:pos="1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Enhancing entity level controls (ELCs) including increasing Board and Audit Committee oversight, expanding senior management review of financial and business performance, creating an internal audit function and charter, and providing code of conduct trainings.</w:t>
      </w:r>
    </w:p>
    <w:p>
      <w:pPr>
        <w:spacing w:after="0" w:line="15" w:lineRule="exact"/>
        <w:rPr>
          <w:rFonts w:ascii="Arial" w:cs="Arial" w:eastAsia="Arial" w:hAnsi="Arial"/>
          <w:sz w:val="16"/>
          <w:szCs w:val="16"/>
          <w:color w:val="auto"/>
        </w:rPr>
      </w:pPr>
    </w:p>
    <w:p>
      <w:pPr>
        <w:ind w:left="1140" w:right="620" w:hanging="322"/>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Strengthening IT governance and designing IT general controls including restricted user access to our internal systems for financial reporting, change management, program development and computer operations.</w:t>
      </w:r>
    </w:p>
    <w:p>
      <w:pPr>
        <w:spacing w:after="0" w:line="62" w:lineRule="exact"/>
        <w:rPr>
          <w:rFonts w:ascii="Arial" w:cs="Arial" w:eastAsia="Arial" w:hAnsi="Arial"/>
          <w:sz w:val="18"/>
          <w:szCs w:val="18"/>
          <w:color w:val="auto"/>
        </w:rPr>
      </w:pPr>
    </w:p>
    <w:p>
      <w:pPr>
        <w:jc w:val="both"/>
        <w:ind w:left="1140" w:right="480" w:hanging="322"/>
        <w:spacing w:after="0" w:line="342" w:lineRule="auto"/>
        <w:tabs>
          <w:tab w:leader="none" w:pos="1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spacing w:after="0" w:line="7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Other than execution of the material weakness remediation plan activities described above, there has been no change in our internal control over financial reporting (as that term is defined in Rules 13a-15(f) and 15d-15(f) under the Exchange Act) during the three months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10, 2021, we received a letter from the SEC notifying us of an investigation and document subpoena. The subpoena seeks documents regarding projected financial information in CLA’s Form S-4 registration statement filed on December 22, 2020. We have complied with the SEC’s requests to date; however, the SEC may request additional documents or information. Should the SEC pursue this matter further, it could have a material impact on our business and operations.</w:t>
      </w:r>
    </w:p>
    <w:p>
      <w:pPr>
        <w:spacing w:after="0" w:line="13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time to time, we have been and may again become involved in legal proceedings arising in the ordinary course of our business. There is no material litigation, arbitration or governmental proceeding currently pending or to Ouster’s knowledge, threatened against us or any members of Ouster’s management team in their capacity as such. See Part I, Item 1 “Financial Statements (Unaudited) — Note 7. Commitments and Contingencies”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from the risk factors disclosed in the Company’s Annual Report on Form 10-K filed with the SEC on February 28,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securities during the three months ended March 31, 2022 that were not registered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66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4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8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Exhibit</w:t>
            </w:r>
          </w:p>
        </w:tc>
        <w:tc>
          <w:tcPr>
            <w:tcW w:w="34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Description</w:t>
            </w:r>
          </w:p>
        </w:tc>
        <w:tc>
          <w:tcPr>
            <w:tcW w:w="3880" w:type="dxa"/>
            <w:vAlign w:val="bottom"/>
            <w:vMerge w:val="restart"/>
          </w:tcPr>
          <w:p>
            <w:pPr>
              <w:ind w:left="1820"/>
              <w:spacing w:after="0"/>
              <w:rPr>
                <w:sz w:val="20"/>
                <w:szCs w:val="20"/>
                <w:color w:val="auto"/>
              </w:rPr>
            </w:pPr>
            <w:r>
              <w:rPr>
                <w:rFonts w:ascii="Arial" w:cs="Arial" w:eastAsia="Arial" w:hAnsi="Arial"/>
                <w:sz w:val="18"/>
                <w:szCs w:val="18"/>
                <w:b w:val="1"/>
                <w:bCs w:val="1"/>
                <w:color w:val="auto"/>
                <w:w w:val="89"/>
              </w:rPr>
              <w:t>Incorporated by Reference</w:t>
            </w:r>
          </w:p>
        </w:tc>
        <w:tc>
          <w:tcPr>
            <w:tcW w:w="0" w:type="dxa"/>
            <w:vAlign w:val="bottom"/>
          </w:tcPr>
          <w:p>
            <w:pPr>
              <w:spacing w:after="0"/>
              <w:rPr>
                <w:sz w:val="1"/>
                <w:szCs w:val="1"/>
                <w:color w:val="auto"/>
              </w:rPr>
            </w:pPr>
          </w:p>
        </w:tc>
      </w:tr>
      <w:tr>
        <w:trPr>
          <w:trHeight w:val="234"/>
        </w:trPr>
        <w:tc>
          <w:tcPr>
            <w:tcW w:w="198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Number</w:t>
            </w:r>
          </w:p>
        </w:tc>
        <w:tc>
          <w:tcPr>
            <w:tcW w:w="344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3.2</w:t>
        </w:r>
      </w:hyperlink>
    </w:p>
    <w:p>
      <w:pPr>
        <w:spacing w:after="0" w:line="63" w:lineRule="exact"/>
        <w:rPr>
          <w:sz w:val="20"/>
          <w:szCs w:val="20"/>
          <w:color w:val="auto"/>
        </w:rPr>
      </w:pPr>
    </w:p>
    <w:p>
      <w:pPr>
        <w:ind w:left="20"/>
        <w:spacing w:after="0"/>
        <w:rPr>
          <w:rFonts w:ascii="Arial" w:cs="Arial" w:eastAsia="Arial" w:hAnsi="Arial"/>
          <w:sz w:val="16"/>
          <w:szCs w:val="16"/>
          <w:color w:val="0000FF"/>
        </w:rPr>
      </w:pPr>
      <w:hyperlink w:anchor="page43">
        <w:r>
          <w:rPr>
            <w:rFonts w:ascii="Arial" w:cs="Arial" w:eastAsia="Arial" w:hAnsi="Arial"/>
            <w:sz w:val="16"/>
            <w:szCs w:val="16"/>
            <w:u w:val="single" w:color="auto"/>
            <w:color w:val="0000FF"/>
          </w:rPr>
          <w:t>10.1</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vMerge w:val="restart"/>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80" w:type="dxa"/>
            <w:vAlign w:val="bottom"/>
            <w:vMerge w:val="restart"/>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vMerge w:val="restart"/>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80" w:type="dxa"/>
            <w:vAlign w:val="bottom"/>
            <w:vMerge w:val="restart"/>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83"/>
        </w:trPr>
        <w:tc>
          <w:tcPr>
            <w:tcW w:w="4240" w:type="dxa"/>
            <w:vAlign w:val="bottom"/>
            <w:gridSpan w:val="7"/>
          </w:tcPr>
          <w:p>
            <w:pPr>
              <w:spacing w:after="0" w:line="163"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Agreement and Plan of Merger, dated as of December</w:t>
              </w:r>
            </w:hyperlink>
          </w:p>
        </w:tc>
        <w:tc>
          <w:tcPr>
            <w:tcW w:w="118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7"/>
              </w:rPr>
              <w:t>S-4/A</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15"/>
                <w:szCs w:val="15"/>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5"/>
                <w:szCs w:val="15"/>
                <w:color w:val="auto"/>
              </w:rPr>
            </w:pP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89"/>
              </w:rPr>
              <w:t>2/10/2021</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21, 2020, by and among the Company, Beam Merger</w:t>
              </w:r>
            </w:hyperlink>
          </w:p>
        </w:tc>
        <w:tc>
          <w:tcPr>
            <w:tcW w:w="60" w:type="dxa"/>
            <w:vAlign w:val="bottom"/>
            <w:tcBorders>
              <w:top w:val="single" w:sz="8" w:color="0000FF"/>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Sub, Inc. and Ouster, Inc.</w:t>
              </w:r>
            </w:hyperlink>
          </w:p>
        </w:tc>
        <w:tc>
          <w:tcPr>
            <w:tcW w:w="240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0000FF"/>
            </w:tcBorders>
            <w:gridSpan w:val="3"/>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Certificate of Incorporation of Ouster, Inc.</w:t>
              </w:r>
            </w:hyperlink>
          </w:p>
        </w:tc>
        <w:tc>
          <w:tcPr>
            <w:tcW w:w="1180" w:type="dxa"/>
            <w:vAlign w:val="bottom"/>
            <w:gridSpan w:val="4"/>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0000FF"/>
            </w:tcBorders>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Bylaws of Ouster, Inc.</w:t>
              </w:r>
            </w:hyperlink>
          </w:p>
        </w:tc>
        <w:tc>
          <w:tcPr>
            <w:tcW w:w="2620" w:type="dxa"/>
            <w:vAlign w:val="bottom"/>
            <w:gridSpan w:val="6"/>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Loan and Security Agreement, dated April 29, 2022, by</w:t>
              </w:r>
            </w:hyperlink>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7"/>
        </w:trPr>
        <w:tc>
          <w:tcPr>
            <w:tcW w:w="4020" w:type="dxa"/>
            <w:vAlign w:val="bottom"/>
            <w:gridSpan w:val="6"/>
          </w:tcPr>
          <w:p>
            <w:pPr>
              <w:spacing w:after="0" w:line="157" w:lineRule="exact"/>
              <w:rPr>
                <w:rFonts w:ascii="Arial" w:cs="Arial" w:eastAsia="Arial" w:hAnsi="Arial"/>
                <w:sz w:val="18"/>
                <w:szCs w:val="18"/>
                <w:u w:val="single" w:color="auto"/>
                <w:color w:val="0000FF"/>
                <w:w w:val="92"/>
              </w:rPr>
            </w:pPr>
            <w:hyperlink w:anchor="page43">
              <w:r>
                <w:rPr>
                  <w:rFonts w:ascii="Arial" w:cs="Arial" w:eastAsia="Arial" w:hAnsi="Arial"/>
                  <w:sz w:val="18"/>
                  <w:szCs w:val="18"/>
                  <w:u w:val="single" w:color="auto"/>
                  <w:color w:val="0000FF"/>
                  <w:w w:val="92"/>
                </w:rPr>
                <w:t>and between the Company, Sense Photonics, Inc. and</w:t>
              </w:r>
            </w:hyperlink>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Hercules Capital, Inc.</w:t>
        </w:r>
      </w:hyperlink>
    </w:p>
    <w:p>
      <w:pPr>
        <w:spacing w:after="0" w:line="1" w:lineRule="exact"/>
        <w:rPr>
          <w:sz w:val="20"/>
          <w:szCs w:val="20"/>
          <w:color w:val="auto"/>
        </w:rPr>
      </w:pPr>
    </w:p>
    <w:p>
      <w:pPr>
        <w:sectPr>
          <w:pgSz w:w="11900" w:h="16838" w:orient="portrait"/>
          <w:cols w:equalWidth="0" w:num="2">
            <w:col w:w="420" w:space="660"/>
            <w:col w:w="101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060" w:type="dxa"/>
            <w:vAlign w:val="bottom"/>
            <w:gridSpan w:val="2"/>
          </w:tcPr>
          <w:p>
            <w:pPr>
              <w:spacing w:after="0" w:line="176" w:lineRule="exact"/>
              <w:rPr>
                <w:rFonts w:ascii="Arial" w:cs="Arial" w:eastAsia="Arial" w:hAnsi="Arial"/>
                <w:sz w:val="18"/>
                <w:szCs w:val="18"/>
                <w:color w:val="0000FF"/>
              </w:rPr>
            </w:pPr>
            <w:hyperlink w:anchor="page10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3720" w:type="dxa"/>
            <w:vAlign w:val="bottom"/>
            <w:tcBorders>
              <w:bottom w:val="single" w:sz="8" w:color="0000FF"/>
            </w:tcBorders>
            <w:gridSpan w:val="6"/>
          </w:tcPr>
          <w:p>
            <w:pPr>
              <w:spacing w:after="0" w:line="176" w:lineRule="exact"/>
              <w:rPr>
                <w:rFonts w:ascii="Arial" w:cs="Arial" w:eastAsia="Arial" w:hAnsi="Arial"/>
                <w:sz w:val="18"/>
                <w:szCs w:val="18"/>
                <w:color w:val="0000FF"/>
                <w:w w:val="92"/>
              </w:rPr>
            </w:pPr>
            <w:hyperlink w:anchor="page100">
              <w:r>
                <w:rPr>
                  <w:rFonts w:ascii="Arial" w:cs="Arial" w:eastAsia="Arial" w:hAnsi="Arial"/>
                  <w:sz w:val="18"/>
                  <w:szCs w:val="18"/>
                  <w:color w:val="0000FF"/>
                  <w:w w:val="92"/>
                </w:rPr>
                <w:t>Certification of Chief Executive Officer pursuant to</w:t>
              </w:r>
            </w:hyperlink>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80" w:type="dxa"/>
            <w:vAlign w:val="bottom"/>
          </w:tcPr>
          <w:p>
            <w:pPr>
              <w:jc w:val="center"/>
              <w:ind w:left="2610"/>
              <w:spacing w:after="0" w:line="176" w:lineRule="exact"/>
              <w:rPr>
                <w:sz w:val="20"/>
                <w:szCs w:val="20"/>
                <w:color w:val="auto"/>
              </w:rPr>
            </w:pPr>
            <w:r>
              <w:rPr>
                <w:rFonts w:ascii="Arial" w:cs="Arial" w:eastAsia="Arial" w:hAnsi="Arial"/>
                <w:sz w:val="18"/>
                <w:szCs w:val="18"/>
                <w:color w:val="auto"/>
              </w:rPr>
              <w:t>*</w:t>
            </w:r>
          </w:p>
        </w:tc>
      </w:tr>
      <w:tr>
        <w:trPr>
          <w:trHeight w:val="136"/>
        </w:trPr>
        <w:tc>
          <w:tcPr>
            <w:tcW w:w="32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Borders>
              <w:top w:val="single" w:sz="8" w:color="0000FF"/>
            </w:tcBorders>
            <w:gridSpan w:val="6"/>
          </w:tcPr>
          <w:p>
            <w:pPr>
              <w:spacing w:after="0" w:line="136" w:lineRule="exact"/>
              <w:rPr>
                <w:rFonts w:ascii="Arial" w:cs="Arial" w:eastAsia="Arial" w:hAnsi="Arial"/>
                <w:sz w:val="15"/>
                <w:szCs w:val="15"/>
                <w:color w:val="0000FF"/>
              </w:rPr>
            </w:pPr>
            <w:hyperlink w:anchor="page100">
              <w:r>
                <w:rPr>
                  <w:rFonts w:ascii="Arial" w:cs="Arial" w:eastAsia="Arial" w:hAnsi="Arial"/>
                  <w:sz w:val="15"/>
                  <w:szCs w:val="15"/>
                  <w:color w:val="0000FF"/>
                </w:rPr>
                <w:t>Rules 13a-14(a)/15d-14(a) under the Securities</w:t>
              </w:r>
            </w:hyperlink>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880" w:type="dxa"/>
            <w:vAlign w:val="bottom"/>
          </w:tcPr>
          <w:p>
            <w:pPr>
              <w:spacing w:after="0"/>
              <w:rPr>
                <w:sz w:val="11"/>
                <w:szCs w:val="1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Exchange Act of 1934, as amended</w:t>
              </w:r>
            </w:hyperlink>
          </w:p>
        </w:tc>
        <w:tc>
          <w:tcPr>
            <w:tcW w:w="8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9"/>
        </w:trPr>
        <w:tc>
          <w:tcPr>
            <w:tcW w:w="1060" w:type="dxa"/>
            <w:vAlign w:val="bottom"/>
            <w:gridSpan w:val="2"/>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6800" w:type="dxa"/>
            <w:vAlign w:val="bottom"/>
            <w:gridSpan w:val="9"/>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Certification of Chief Financial Officer pursuant to</w:t>
              </w:r>
            </w:hyperlink>
          </w:p>
        </w:tc>
        <w:tc>
          <w:tcPr>
            <w:tcW w:w="2880" w:type="dxa"/>
            <w:vAlign w:val="bottom"/>
          </w:tcPr>
          <w:p>
            <w:pPr>
              <w:jc w:val="center"/>
              <w:ind w:left="2610"/>
              <w:spacing w:after="0" w:line="196" w:lineRule="exact"/>
              <w:rPr>
                <w:sz w:val="20"/>
                <w:szCs w:val="20"/>
                <w:color w:val="auto"/>
              </w:rPr>
            </w:pPr>
            <w:r>
              <w:rPr>
                <w:rFonts w:ascii="Arial" w:cs="Arial" w:eastAsia="Arial" w:hAnsi="Arial"/>
                <w:sz w:val="18"/>
                <w:szCs w:val="18"/>
                <w:color w:val="auto"/>
              </w:rPr>
              <w:t>*</w:t>
            </w:r>
          </w:p>
        </w:tc>
      </w:tr>
      <w:tr>
        <w:trPr>
          <w:trHeight w:val="156"/>
        </w:trPr>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680" w:type="dxa"/>
            <w:vAlign w:val="bottom"/>
            <w:tcBorders>
              <w:top w:val="single" w:sz="8" w:color="0000FF"/>
            </w:tcBorders>
            <w:gridSpan w:val="5"/>
          </w:tcPr>
          <w:p>
            <w:pPr>
              <w:spacing w:after="0" w:line="156" w:lineRule="exact"/>
              <w:rPr>
                <w:rFonts w:ascii="Arial" w:cs="Arial" w:eastAsia="Arial" w:hAnsi="Arial"/>
                <w:sz w:val="18"/>
                <w:szCs w:val="18"/>
                <w:color w:val="0000FF"/>
                <w:w w:val="97"/>
              </w:rPr>
            </w:pPr>
            <w:hyperlink w:anchor="page102">
              <w:r>
                <w:rPr>
                  <w:rFonts w:ascii="Arial" w:cs="Arial" w:eastAsia="Arial" w:hAnsi="Arial"/>
                  <w:sz w:val="18"/>
                  <w:szCs w:val="18"/>
                  <w:color w:val="0000FF"/>
                  <w:w w:val="97"/>
                </w:rPr>
                <w:t>Rules 13a-14(a)/15d-14(a) under the Securities</w:t>
              </w:r>
            </w:hyperlink>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Exchange Act of 1934, as amended</w:t>
              </w:r>
            </w:hyperlink>
          </w:p>
        </w:tc>
        <w:tc>
          <w:tcPr>
            <w:tcW w:w="820" w:type="dxa"/>
            <w:vAlign w:val="bottom"/>
            <w:tcBorders>
              <w:top w:val="single" w:sz="8" w:color="0000FF"/>
            </w:tcBorders>
          </w:tcPr>
          <w:p>
            <w:pPr>
              <w:spacing w:after="0"/>
              <w:rPr>
                <w:sz w:val="13"/>
                <w:szCs w:val="13"/>
                <w:color w:val="auto"/>
              </w:rPr>
            </w:pPr>
          </w:p>
        </w:tc>
        <w:tc>
          <w:tcPr>
            <w:tcW w:w="52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10"/>
        </w:trPr>
        <w:tc>
          <w:tcPr>
            <w:tcW w:w="1060" w:type="dxa"/>
            <w:vAlign w:val="bottom"/>
            <w:gridSpan w:val="2"/>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6800" w:type="dxa"/>
            <w:vAlign w:val="bottom"/>
            <w:gridSpan w:val="9"/>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Certification of Chief Executive Officer pursuant to 18</w:t>
              </w:r>
            </w:hyperlink>
          </w:p>
        </w:tc>
        <w:tc>
          <w:tcPr>
            <w:tcW w:w="2880" w:type="dxa"/>
            <w:vAlign w:val="bottom"/>
          </w:tcPr>
          <w:p>
            <w:pPr>
              <w:jc w:val="center"/>
              <w:ind w:left="2610"/>
              <w:spacing w:after="0" w:line="196" w:lineRule="exact"/>
              <w:rPr>
                <w:sz w:val="20"/>
                <w:szCs w:val="20"/>
                <w:color w:val="auto"/>
              </w:rPr>
            </w:pPr>
            <w:r>
              <w:rPr>
                <w:rFonts w:ascii="Arial" w:cs="Arial" w:eastAsia="Arial" w:hAnsi="Arial"/>
                <w:sz w:val="18"/>
                <w:szCs w:val="18"/>
                <w:color w:val="auto"/>
              </w:rPr>
              <w:t>**</w:t>
            </w:r>
          </w:p>
        </w:tc>
      </w:tr>
      <w:tr>
        <w:trPr>
          <w:trHeight w:val="20"/>
        </w:trPr>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0" w:type="dxa"/>
            <w:vAlign w:val="bottom"/>
            <w:gridSpan w:val="9"/>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U.S.C. Section 1350, as adopted pursuant to Section 906</w:t>
              </w:r>
            </w:hyperlink>
          </w:p>
        </w:tc>
        <w:tc>
          <w:tcPr>
            <w:tcW w:w="288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104">
              <w:r>
                <w:rPr>
                  <w:rFonts w:ascii="Arial" w:cs="Arial" w:eastAsia="Arial" w:hAnsi="Arial"/>
                  <w:sz w:val="18"/>
                  <w:szCs w:val="18"/>
                  <w:color w:val="0000FF"/>
                  <w:w w:val="91"/>
                </w:rPr>
                <w:t>of the Sarbanes-Oxley Act of 2002</w:t>
              </w:r>
            </w:hyperlink>
          </w:p>
        </w:tc>
        <w:tc>
          <w:tcPr>
            <w:tcW w:w="1540" w:type="dxa"/>
            <w:vAlign w:val="bottom"/>
            <w:tcBorders>
              <w:top w:val="single" w:sz="8" w:color="0000FF"/>
            </w:tcBorders>
            <w:gridSpan w:val="6"/>
          </w:tcPr>
          <w:p>
            <w:pPr>
              <w:spacing w:after="0"/>
              <w:rPr>
                <w:sz w:val="13"/>
                <w:szCs w:val="13"/>
                <w:color w:val="auto"/>
              </w:rPr>
            </w:pPr>
          </w:p>
        </w:tc>
        <w:tc>
          <w:tcPr>
            <w:tcW w:w="27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10"/>
        </w:trPr>
        <w:tc>
          <w:tcPr>
            <w:tcW w:w="1060" w:type="dxa"/>
            <w:vAlign w:val="bottom"/>
            <w:gridSpan w:val="2"/>
          </w:tcPr>
          <w:p>
            <w:pPr>
              <w:spacing w:after="0" w:line="196" w:lineRule="exact"/>
              <w:rPr>
                <w:rFonts w:ascii="Arial" w:cs="Arial" w:eastAsia="Arial" w:hAnsi="Arial"/>
                <w:sz w:val="18"/>
                <w:szCs w:val="18"/>
                <w:color w:val="0000FF"/>
              </w:rPr>
            </w:pPr>
            <w:hyperlink w:anchor="page10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6800" w:type="dxa"/>
            <w:vAlign w:val="bottom"/>
            <w:gridSpan w:val="9"/>
          </w:tcPr>
          <w:p>
            <w:pPr>
              <w:spacing w:after="0" w:line="196" w:lineRule="exact"/>
              <w:rPr>
                <w:rFonts w:ascii="Arial" w:cs="Arial" w:eastAsia="Arial" w:hAnsi="Arial"/>
                <w:sz w:val="18"/>
                <w:szCs w:val="18"/>
                <w:color w:val="0000FF"/>
              </w:rPr>
            </w:pPr>
            <w:hyperlink w:anchor="page105">
              <w:r>
                <w:rPr>
                  <w:rFonts w:ascii="Arial" w:cs="Arial" w:eastAsia="Arial" w:hAnsi="Arial"/>
                  <w:sz w:val="18"/>
                  <w:szCs w:val="18"/>
                  <w:color w:val="0000FF"/>
                </w:rPr>
                <w:t>Certification of Chief Financial Officer pursuant to 18</w:t>
              </w:r>
            </w:hyperlink>
          </w:p>
        </w:tc>
        <w:tc>
          <w:tcPr>
            <w:tcW w:w="2880" w:type="dxa"/>
            <w:vAlign w:val="bottom"/>
          </w:tcPr>
          <w:p>
            <w:pPr>
              <w:jc w:val="center"/>
              <w:ind w:left="2610"/>
              <w:spacing w:after="0" w:line="196" w:lineRule="exact"/>
              <w:rPr>
                <w:sz w:val="20"/>
                <w:szCs w:val="20"/>
                <w:color w:val="auto"/>
              </w:rPr>
            </w:pPr>
            <w:r>
              <w:rPr>
                <w:rFonts w:ascii="Arial" w:cs="Arial" w:eastAsia="Arial" w:hAnsi="Arial"/>
                <w:sz w:val="18"/>
                <w:szCs w:val="18"/>
                <w:color w:val="auto"/>
              </w:rPr>
              <w:t>**</w:t>
            </w:r>
          </w:p>
        </w:tc>
      </w:tr>
      <w:tr>
        <w:trPr>
          <w:trHeight w:val="20"/>
        </w:trPr>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0" w:type="dxa"/>
            <w:vAlign w:val="bottom"/>
            <w:gridSpan w:val="9"/>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U.S.C. Section 1350, as adopted pursuant to Section 906</w:t>
              </w:r>
            </w:hyperlink>
          </w:p>
        </w:tc>
        <w:tc>
          <w:tcPr>
            <w:tcW w:w="288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05">
              <w:r>
                <w:rPr>
                  <w:rFonts w:ascii="Arial" w:cs="Arial" w:eastAsia="Arial" w:hAnsi="Arial"/>
                  <w:sz w:val="18"/>
                  <w:szCs w:val="18"/>
                  <w:color w:val="0000FF"/>
                  <w:w w:val="90"/>
                </w:rPr>
                <w:t>of the Sarbanes-Oxley Act of 2002</w:t>
              </w:r>
            </w:hyperlink>
          </w:p>
        </w:tc>
        <w:tc>
          <w:tcPr>
            <w:tcW w:w="1560" w:type="dxa"/>
            <w:vAlign w:val="bottom"/>
            <w:tcBorders>
              <w:top w:val="single" w:sz="8" w:color="0000FF"/>
            </w:tcBorders>
            <w:gridSpan w:val="7"/>
          </w:tcPr>
          <w:p>
            <w:pPr>
              <w:spacing w:after="0"/>
              <w:rPr>
                <w:sz w:val="13"/>
                <w:szCs w:val="13"/>
                <w:color w:val="auto"/>
              </w:rPr>
            </w:pPr>
          </w:p>
        </w:tc>
        <w:tc>
          <w:tcPr>
            <w:tcW w:w="27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80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w:t>
            </w:r>
          </w:p>
        </w:tc>
        <w:tc>
          <w:tcPr>
            <w:tcW w:w="2880" w:type="dxa"/>
            <w:vAlign w:val="bottom"/>
          </w:tcPr>
          <w:p>
            <w:pPr>
              <w:jc w:val="center"/>
              <w:ind w:left="2610"/>
              <w:spacing w:after="0"/>
              <w:rPr>
                <w:sz w:val="20"/>
                <w:szCs w:val="20"/>
                <w:color w:val="auto"/>
              </w:rPr>
            </w:pPr>
            <w:r>
              <w:rPr>
                <w:rFonts w:ascii="Arial" w:cs="Arial" w:eastAsia="Arial" w:hAnsi="Arial"/>
                <w:sz w:val="18"/>
                <w:szCs w:val="18"/>
                <w:color w:val="auto"/>
              </w:rPr>
              <w:t>*</w:t>
            </w:r>
          </w:p>
        </w:tc>
      </w:tr>
      <w:tr>
        <w:trPr>
          <w:trHeight w:val="188"/>
        </w:trPr>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0" w:type="dxa"/>
            <w:vAlign w:val="bottom"/>
            <w:gridSpan w:val="9"/>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28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0" w:type="dxa"/>
            <w:vAlign w:val="bottom"/>
            <w:gridSpan w:val="9"/>
          </w:tcPr>
          <w:p>
            <w:pPr>
              <w:spacing w:after="0" w:line="189" w:lineRule="exact"/>
              <w:rPr>
                <w:sz w:val="20"/>
                <w:szCs w:val="20"/>
                <w:color w:val="auto"/>
              </w:rPr>
            </w:pPr>
            <w:r>
              <w:rPr>
                <w:rFonts w:ascii="Arial" w:cs="Arial" w:eastAsia="Arial" w:hAnsi="Arial"/>
                <w:sz w:val="18"/>
                <w:szCs w:val="18"/>
                <w:color w:val="auto"/>
              </w:rPr>
              <w:t>because its XBRL tags are embedded within the Inline</w:t>
            </w:r>
          </w:p>
        </w:tc>
        <w:tc>
          <w:tcPr>
            <w:tcW w:w="288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0" w:type="dxa"/>
            <w:vAlign w:val="bottom"/>
            <w:gridSpan w:val="9"/>
          </w:tcPr>
          <w:p>
            <w:pPr>
              <w:spacing w:after="0"/>
              <w:rPr>
                <w:sz w:val="20"/>
                <w:szCs w:val="20"/>
                <w:color w:val="auto"/>
              </w:rPr>
            </w:pPr>
            <w:r>
              <w:rPr>
                <w:rFonts w:ascii="Arial" w:cs="Arial" w:eastAsia="Arial" w:hAnsi="Arial"/>
                <w:sz w:val="18"/>
                <w:szCs w:val="18"/>
                <w:color w:val="auto"/>
              </w:rPr>
              <w:t>XBRL document.</w:t>
            </w:r>
          </w:p>
        </w:tc>
        <w:tc>
          <w:tcPr>
            <w:tcW w:w="2880" w:type="dxa"/>
            <w:vAlign w:val="bottom"/>
          </w:tcPr>
          <w:p>
            <w:pPr>
              <w:spacing w:after="0"/>
              <w:rPr>
                <w:sz w:val="20"/>
                <w:szCs w:val="20"/>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8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2880" w:type="dxa"/>
            <w:vAlign w:val="bottom"/>
          </w:tcPr>
          <w:p>
            <w:pPr>
              <w:jc w:val="center"/>
              <w:ind w:left="261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8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880" w:type="dxa"/>
            <w:vAlign w:val="bottom"/>
          </w:tcPr>
          <w:p>
            <w:pPr>
              <w:jc w:val="center"/>
              <w:ind w:left="2610"/>
              <w:spacing w:after="0"/>
              <w:rPr>
                <w:sz w:val="20"/>
                <w:szCs w:val="20"/>
                <w:color w:val="auto"/>
              </w:rPr>
            </w:pPr>
            <w:r>
              <w:rPr>
                <w:rFonts w:ascii="Arial" w:cs="Arial" w:eastAsia="Arial" w:hAnsi="Arial"/>
                <w:sz w:val="18"/>
                <w:szCs w:val="18"/>
                <w:color w:val="auto"/>
              </w:rPr>
              <w:t>*</w:t>
            </w:r>
          </w:p>
        </w:tc>
      </w:tr>
      <w:tr>
        <w:trPr>
          <w:trHeight w:val="215"/>
        </w:trPr>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2880" w:type="dxa"/>
            <w:vAlign w:val="bottom"/>
          </w:tcPr>
          <w:p>
            <w:pPr>
              <w:spacing w:after="0"/>
              <w:rPr>
                <w:sz w:val="18"/>
                <w:szCs w:val="18"/>
                <w:color w:val="auto"/>
              </w:rPr>
            </w:pPr>
          </w:p>
        </w:tc>
      </w:tr>
      <w:tr>
        <w:trPr>
          <w:trHeight w:val="190"/>
        </w:trPr>
        <w:tc>
          <w:tcPr>
            <w:tcW w:w="1060" w:type="dxa"/>
            <w:vAlign w:val="bottom"/>
            <w:gridSpan w:val="2"/>
          </w:tcPr>
          <w:p>
            <w:pPr>
              <w:spacing w:after="0" w:line="190" w:lineRule="exact"/>
              <w:rPr>
                <w:sz w:val="20"/>
                <w:szCs w:val="20"/>
                <w:color w:val="auto"/>
              </w:rPr>
            </w:pPr>
            <w:r>
              <w:rPr>
                <w:rFonts w:ascii="Arial" w:cs="Arial" w:eastAsia="Arial" w:hAnsi="Arial"/>
                <w:sz w:val="18"/>
                <w:szCs w:val="18"/>
                <w:color w:val="auto"/>
              </w:rPr>
              <w:t>101.DEF</w:t>
            </w:r>
          </w:p>
        </w:tc>
        <w:tc>
          <w:tcPr>
            <w:tcW w:w="6800" w:type="dxa"/>
            <w:vAlign w:val="bottom"/>
            <w:gridSpan w:val="9"/>
          </w:tcPr>
          <w:p>
            <w:pPr>
              <w:spacing w:after="0" w:line="190" w:lineRule="exact"/>
              <w:rPr>
                <w:sz w:val="20"/>
                <w:szCs w:val="20"/>
                <w:color w:val="auto"/>
              </w:rPr>
            </w:pPr>
            <w:r>
              <w:rPr>
                <w:rFonts w:ascii="Arial" w:cs="Arial" w:eastAsia="Arial" w:hAnsi="Arial"/>
                <w:sz w:val="18"/>
                <w:szCs w:val="18"/>
                <w:color w:val="auto"/>
              </w:rPr>
              <w:t>Inline XBRL Taxonomy Extension Definition Linkbase</w:t>
            </w:r>
          </w:p>
        </w:tc>
        <w:tc>
          <w:tcPr>
            <w:tcW w:w="2880" w:type="dxa"/>
            <w:vAlign w:val="bottom"/>
          </w:tcPr>
          <w:p>
            <w:pPr>
              <w:jc w:val="center"/>
              <w:ind w:left="2610"/>
              <w:spacing w:after="0" w:line="190" w:lineRule="exact"/>
              <w:rPr>
                <w:sz w:val="20"/>
                <w:szCs w:val="20"/>
                <w:color w:val="auto"/>
              </w:rPr>
            </w:pPr>
            <w:r>
              <w:rPr>
                <w:rFonts w:ascii="Arial" w:cs="Arial" w:eastAsia="Arial" w:hAnsi="Arial"/>
                <w:sz w:val="18"/>
                <w:szCs w:val="18"/>
                <w:color w:val="auto"/>
              </w:rPr>
              <w:t>*</w:t>
            </w:r>
          </w:p>
        </w:tc>
      </w:tr>
      <w:tr>
        <w:trPr>
          <w:trHeight w:val="215"/>
        </w:trPr>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2880" w:type="dxa"/>
            <w:vAlign w:val="bottom"/>
          </w:tcPr>
          <w:p>
            <w:pPr>
              <w:spacing w:after="0"/>
              <w:rPr>
                <w:sz w:val="18"/>
                <w:szCs w:val="18"/>
                <w:color w:val="auto"/>
              </w:rPr>
            </w:pPr>
          </w:p>
        </w:tc>
      </w:tr>
      <w:tr>
        <w:trPr>
          <w:trHeight w:val="244"/>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800" w:type="dxa"/>
            <w:vAlign w:val="bottom"/>
            <w:gridSpan w:val="9"/>
          </w:tcPr>
          <w:p>
            <w:pPr>
              <w:spacing w:after="0"/>
              <w:rPr>
                <w:sz w:val="20"/>
                <w:szCs w:val="20"/>
                <w:color w:val="auto"/>
              </w:rPr>
            </w:pPr>
            <w:r>
              <w:rPr>
                <w:rFonts w:ascii="Arial" w:cs="Arial" w:eastAsia="Arial" w:hAnsi="Arial"/>
                <w:sz w:val="18"/>
                <w:szCs w:val="18"/>
                <w:color w:val="auto"/>
              </w:rPr>
              <w:t>Inline XBRL Taxonomy Label Linkbase Document</w:t>
            </w:r>
          </w:p>
        </w:tc>
        <w:tc>
          <w:tcPr>
            <w:tcW w:w="2880" w:type="dxa"/>
            <w:vAlign w:val="bottom"/>
          </w:tcPr>
          <w:p>
            <w:pPr>
              <w:jc w:val="center"/>
              <w:ind w:left="261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8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c>
          <w:tcPr>
            <w:tcW w:w="2880" w:type="dxa"/>
            <w:vAlign w:val="bottom"/>
          </w:tcPr>
          <w:p>
            <w:pPr>
              <w:jc w:val="center"/>
              <w:ind w:left="2610"/>
              <w:spacing w:after="0"/>
              <w:rPr>
                <w:sz w:val="20"/>
                <w:szCs w:val="20"/>
                <w:color w:val="auto"/>
              </w:rPr>
            </w:pPr>
            <w:r>
              <w:rPr>
                <w:rFonts w:ascii="Arial" w:cs="Arial" w:eastAsia="Arial" w:hAnsi="Arial"/>
                <w:sz w:val="18"/>
                <w:szCs w:val="18"/>
                <w:color w:val="auto"/>
              </w:rPr>
              <w:t>*</w:t>
            </w: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20"/>
                <w:szCs w:val="20"/>
                <w:color w:val="auto"/>
              </w:rPr>
            </w:pPr>
          </w:p>
        </w:tc>
      </w:tr>
    </w:tbl>
    <w:p>
      <w:pPr>
        <w:ind w:left="1080" w:right="6340" w:hanging="1054"/>
        <w:spacing w:after="0" w:line="22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560" w:right="60" w:hanging="534"/>
        <w:spacing w:after="0" w:line="235"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ind w:left="560" w:right="440" w:hanging="534"/>
        <w:spacing w:after="0" w:line="245"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601(a)(5) of Regulation S-K or redacted pursuant to Item 601(b)(10)(iv) of Regulation S-K.</w:t>
      </w:r>
    </w:p>
    <w:p>
      <w:pPr>
        <w:spacing w:after="0" w:line="9" w:lineRule="exact"/>
        <w:rPr>
          <w:sz w:val="20"/>
          <w:szCs w:val="20"/>
          <w:color w:val="auto"/>
        </w:rPr>
      </w:pPr>
    </w:p>
    <w:p>
      <w:pPr>
        <w:ind w:left="560" w:hanging="5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0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Ouster, Inc.</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Date: May 6, 2022</w:t>
            </w:r>
          </w:p>
        </w:tc>
        <w:tc>
          <w:tcPr>
            <w:tcW w:w="2300" w:type="dxa"/>
            <w:vAlign w:val="bottom"/>
          </w:tcPr>
          <w:p>
            <w:pPr>
              <w:ind w:left="154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Brunelle</w:t>
            </w:r>
          </w:p>
        </w:tc>
      </w:tr>
      <w:tr>
        <w:trPr>
          <w:trHeight w:val="222"/>
        </w:trPr>
        <w:tc>
          <w:tcPr>
            <w:tcW w:w="2900" w:type="dxa"/>
            <w:vAlign w:val="bottom"/>
          </w:tcPr>
          <w:p>
            <w:pPr>
              <w:spacing w:after="0"/>
              <w:rPr>
                <w:sz w:val="19"/>
                <w:szCs w:val="19"/>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Anna Brunelle</w:t>
            </w:r>
          </w:p>
        </w:tc>
      </w:tr>
      <w:tr>
        <w:trPr>
          <w:trHeight w:val="176"/>
        </w:trPr>
        <w:tc>
          <w:tcPr>
            <w:tcW w:w="2900" w:type="dxa"/>
            <w:vAlign w:val="bottom"/>
          </w:tcPr>
          <w:p>
            <w:pPr>
              <w:spacing w:after="0"/>
              <w:rPr>
                <w:sz w:val="15"/>
                <w:szCs w:val="15"/>
                <w:color w:val="auto"/>
              </w:rPr>
            </w:pPr>
          </w:p>
        </w:tc>
        <w:tc>
          <w:tcPr>
            <w:tcW w:w="2300" w:type="dxa"/>
            <w:vAlign w:val="bottom"/>
          </w:tcPr>
          <w:p>
            <w:pPr>
              <w:ind w:left="154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2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04"/>
        </w:trPr>
        <w:tc>
          <w:tcPr>
            <w:tcW w:w="2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20"/>
          </w:cols>
          <w:pgMar w:left="320" w:top="125" w:right="359" w:bottom="1440" w:gutter="0" w:footer="0" w:header="0"/>
        </w:sectPr>
      </w:pPr>
    </w:p>
    <w:bookmarkStart w:id="42" w:name="page43"/>
    <w:bookmarkEnd w:id="42"/>
    <w:p>
      <w:pPr>
        <w:spacing w:after="0" w:line="176" w:lineRule="exact"/>
        <w:rPr>
          <w:sz w:val="20"/>
          <w:szCs w:val="20"/>
          <w:color w:val="auto"/>
        </w:rPr>
      </w:pPr>
    </w:p>
    <w:p>
      <w:pPr>
        <w:jc w:val="center"/>
        <w:spacing w:after="0" w:line="249" w:lineRule="auto"/>
        <w:rPr>
          <w:sz w:val="20"/>
          <w:szCs w:val="20"/>
          <w:color w:val="auto"/>
        </w:rPr>
      </w:pPr>
      <w:r>
        <w:rPr>
          <w:rFonts w:ascii="Arial" w:cs="Arial" w:eastAsia="Arial" w:hAnsi="Arial"/>
          <w:sz w:val="19"/>
          <w:szCs w:val="19"/>
          <w:b w:val="1"/>
          <w:bCs w:val="1"/>
          <w:color w:val="auto"/>
        </w:rPr>
        <w:t>Certain confidential information in this document, marked by “[***]”, has been excluded pursuant to Regulation S-K, Item 601(b) (10). Such excluded information is not material and is treated by the Registrant as confidential or private.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LOAN AND SECURITY AGREEMENT</w:t>
      </w:r>
    </w:p>
    <w:p>
      <w:pPr>
        <w:spacing w:after="0" w:line="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THIS LOAN AND SECURITY AGREEMENT is made and dated as of April 29, 2022 and is entered into by and among OUSTER, INC., a Delaware corporation (the “Borrower”), SENSE PHOTONICS, INC., a Delaware corporation (“Sense Photonics”, together with each of Borrower’s Subsidiaries that delivers a Joinder Agreement pursuant to Section 7.13 of the Agreement (each a “Guarantor” and, collectively, “Guarantors”), the several banks and other financial institutions or entities from time to time parties to this Agreement (each a “Lender” and, collectively, “Lenders”) and HERCULES CAPITAL, INC., a Maryland corporation, in its capacity as administrative agent and collateral agent for itself and the Lenders (in such capacity, the “Agent”).</w:t>
      </w:r>
    </w:p>
    <w:p>
      <w:pPr>
        <w:spacing w:after="0" w:line="153"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ind w:firstLine="656"/>
        <w:spacing w:after="0" w:line="229" w:lineRule="auto"/>
        <w:tabs>
          <w:tab w:leader="none" w:pos="1286"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Borrower has requested the Lenders to make available to the Borrower one or more Advances in an aggregate principal amount of up to Fifty Million Dollars ($50,000,000); and</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Lenders are willing to make such Advances on the terms and conditions set forth in this Agreement.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each Loan Party, Agent and the Lenders agree as follows:</w:t>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AND RULES OF CONSTRUCTION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Unless otherwise defined herein, the following capitalized terms shall have the following meanings:</w:t>
      </w:r>
    </w:p>
    <w:p>
      <w:pPr>
        <w:spacing w:after="0" w:line="17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“Account Control Agreement(s)” means any agreement entered into by and among the Agent, any Loan Party and a third-party bank or other institution (including a Securities Intermediary) in which any Loan Party maintains a Deposit Account or an account holding Investment Property and which perfects Agent’s first priority security interest in the subject account or accounts.</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“ACH Authorization” means the ACH Debit Authorization Agreement in substantially the form of Exhibit H, provided that account numbers shall be redacted for security purposes if and when filed publicly.</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“Acquisition” means, with respect to any Person, the acquisition by such Person, in a single transaction or in a series of related transactions, of (a) all or substantially all of the assets of, or a business line, unit or a division of, any Person or (b) any voting securities of another Person, in each case whether or not involving a merger or consolidation with such other Person and whether for cash, property, services, assumption of Indebtedness, securities or otherwise.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“Advance(s)” means a Term Loan Advance.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“Advance Date” means the funding date of any Advance.</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Loan and Security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WEST\298100232.10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color w:val="auto"/>
        </w:rPr>
        <w:t>“Affiliate”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or (c) any Person twenty percent (20%)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means this Loan and Security Agreement, as amended, restated, supplemented or otherwise modified from</w:t>
      </w:r>
    </w:p>
    <w:p>
      <w:pPr>
        <w:spacing w:after="0"/>
        <w:rPr>
          <w:sz w:val="20"/>
          <w:szCs w:val="20"/>
          <w:color w:val="auto"/>
        </w:rPr>
      </w:pPr>
      <w:r>
        <w:rPr>
          <w:rFonts w:ascii="Arial" w:cs="Arial" w:eastAsia="Arial" w:hAnsi="Arial"/>
          <w:sz w:val="20"/>
          <w:szCs w:val="20"/>
          <w:color w:val="auto"/>
        </w:rPr>
        <w:t>time to time.</w:t>
      </w:r>
    </w:p>
    <w:p>
      <w:pPr>
        <w:spacing w:after="0" w:line="159"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“Amortization Date” means June 1, 2025; provided however, if the Interest Only Milestone is achieved, then the Amortization Date shall be extended to May, 1, 2026.</w:t>
      </w:r>
    </w:p>
    <w:p>
      <w:pPr>
        <w:spacing w:after="0" w:line="15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“Anti-Corruption Laws” means all laws, rules, and regulations of any jurisdiction applicable to Borrower or any of its controlled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56"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“Board” means, with respect to any Person that is a corporation, its board of directors, with respect to any Person that is a limited liability company, its board of managers, board of members or similar governing body, and with respect to any other Person that is a legal entity, such Person’s governing body in accordance with its organizational documents.</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“Borrower Products” means all products, software, service offerings, technical data or technology currently being designed, manufactured or sold by any Loan Party or which any Loan Party intends to sell, license, or distribute in the future including any products or service offerings under development, collectively, together with all products, software, service offerings, technical data or technology that have been sold, licensed or distributed by any Loan Party since its incorporation.</w:t>
      </w:r>
    </w:p>
    <w:p>
      <w:pPr>
        <w:spacing w:after="0" w:line="15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“Business Day” means any day other than Saturday, Sunday and any other day on which banking institutions in the State of California or the State of New York are closed for business.</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“Capital Lease” means, as applied to any Person, any lease of any property by that Person as lessee which, in accordance with GAAP, is required to be accounted for as a capital lease on the balance sheet of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“Cash” means all unrestricted cash, cash equivalents and liquid funds.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“Cash Equivalent Investment” means, at any time:</w:t>
      </w:r>
    </w:p>
    <w:p>
      <w:pPr>
        <w:spacing w:after="0" w:line="175" w:lineRule="exact"/>
        <w:rPr>
          <w:sz w:val="20"/>
          <w:szCs w:val="20"/>
          <w:color w:val="auto"/>
        </w:rPr>
      </w:pPr>
    </w:p>
    <w:p>
      <w:pPr>
        <w:jc w:val="both"/>
        <w:ind w:right="20" w:firstLine="1304"/>
        <w:spacing w:after="0" w:line="218" w:lineRule="auto"/>
        <w:tabs>
          <w:tab w:leader="none" w:pos="18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direct obligation of (or unconditionally guaranteed by) the United States or a State thereof (or any agency or political subdivision thereof, to the extent such obligations are supported by the full faith and credit of the United States) maturing not more than one year after such time;</w:t>
      </w:r>
    </w:p>
    <w:p>
      <w:pPr>
        <w:spacing w:after="0" w:line="156" w:lineRule="exact"/>
        <w:rPr>
          <w:rFonts w:ascii="Arial" w:cs="Arial" w:eastAsia="Arial" w:hAnsi="Arial"/>
          <w:sz w:val="20"/>
          <w:szCs w:val="20"/>
          <w:color w:val="auto"/>
        </w:rPr>
      </w:pPr>
    </w:p>
    <w:p>
      <w:pPr>
        <w:ind w:firstLine="1304"/>
        <w:spacing w:after="0" w:line="229" w:lineRule="auto"/>
        <w:tabs>
          <w:tab w:leader="none" w:pos="1741"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commercial paper maturing no more than one year from the date of creation thereof and currently having the top rating from either Standard &amp; Poor’s Corporation or Moody’s Investors Service;</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83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certificate of deposit, time deposit or bankers’ acceptance, maturing not more than one year after its date of issuance, which is issued by any bank organized under the laws of the United States (or any State thereof) and which has (x) a credit rating of A2 or higher from Moody’s or A or higher from S&amp;P and (y) a combined capital and surplus greater than One Billion Dollars ($1,000,000,000);</w:t>
      </w:r>
    </w:p>
    <w:p>
      <w:pPr>
        <w:spacing w:after="0" w:line="155" w:lineRule="exact"/>
        <w:rPr>
          <w:rFonts w:ascii="Arial" w:cs="Arial" w:eastAsia="Arial" w:hAnsi="Arial"/>
          <w:sz w:val="20"/>
          <w:szCs w:val="20"/>
          <w:color w:val="auto"/>
        </w:rPr>
      </w:pPr>
    </w:p>
    <w:p>
      <w:pPr>
        <w:ind w:right="20" w:firstLine="1304"/>
        <w:spacing w:after="0" w:line="229" w:lineRule="auto"/>
        <w:tabs>
          <w:tab w:leader="none" w:pos="1725"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repurchase agreement having a term of thirty (30) days or less entered into with any commercial banking institution satisfying the criteria set forth in clause (c)(i) above which:</w:t>
      </w:r>
    </w:p>
    <w:p>
      <w:pPr>
        <w:spacing w:after="0" w:line="155" w:lineRule="exact"/>
        <w:rPr>
          <w:rFonts w:ascii="Arial" w:cs="Arial" w:eastAsia="Arial" w:hAnsi="Arial"/>
          <w:sz w:val="20"/>
          <w:szCs w:val="20"/>
          <w:color w:val="auto"/>
        </w:rPr>
      </w:pPr>
    </w:p>
    <w:p>
      <w:pPr>
        <w:ind w:left="2340" w:hanging="388"/>
        <w:spacing w:after="0"/>
        <w:tabs>
          <w:tab w:leader="none" w:pos="2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secured by a fully perfected security interest in any obligation of the type described in clause (a) above, and</w:t>
      </w:r>
    </w:p>
    <w:p>
      <w:pPr>
        <w:spacing w:after="0" w:line="198" w:lineRule="exact"/>
        <w:rPr>
          <w:rFonts w:ascii="Arial" w:cs="Arial" w:eastAsia="Arial" w:hAnsi="Arial"/>
          <w:sz w:val="18"/>
          <w:szCs w:val="18"/>
          <w:color w:val="auto"/>
        </w:rPr>
      </w:pPr>
    </w:p>
    <w:p>
      <w:pPr>
        <w:ind w:left="660" w:firstLine="1292"/>
        <w:spacing w:after="0" w:line="229" w:lineRule="auto"/>
        <w:tabs>
          <w:tab w:leader="none" w:pos="2431" w:val="left"/>
        </w:tabs>
        <w:numPr>
          <w:ilvl w:val="1"/>
          <w:numId w:val="15"/>
        </w:numPr>
        <w:rPr>
          <w:rFonts w:ascii="Arial" w:cs="Arial" w:eastAsia="Arial" w:hAnsi="Arial"/>
          <w:sz w:val="20"/>
          <w:szCs w:val="20"/>
          <w:color w:val="auto"/>
        </w:rPr>
      </w:pPr>
      <w:r>
        <w:rPr>
          <w:rFonts w:ascii="Arial" w:cs="Arial" w:eastAsia="Arial" w:hAnsi="Arial"/>
          <w:sz w:val="20"/>
          <w:szCs w:val="20"/>
          <w:color w:val="auto"/>
        </w:rPr>
        <w:t>has a market value at the time such repurchase agreement is entered into of not less than one hundred percent (100%) of the repurchase obligation of such commercial banking institution thereunder;</w:t>
      </w:r>
    </w:p>
    <w:p>
      <w:pPr>
        <w:spacing w:after="0" w:line="155" w:lineRule="exact"/>
        <w:rPr>
          <w:rFonts w:ascii="Arial" w:cs="Arial" w:eastAsia="Arial" w:hAnsi="Arial"/>
          <w:sz w:val="20"/>
          <w:szCs w:val="20"/>
          <w:color w:val="auto"/>
        </w:rPr>
      </w:pPr>
    </w:p>
    <w:p>
      <w:pPr>
        <w:ind w:firstLine="1304"/>
        <w:spacing w:after="0" w:line="229" w:lineRule="auto"/>
        <w:tabs>
          <w:tab w:leader="none" w:pos="1827"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investments permitted by any Loan Party’s investment policy, which investment policy (and any amendments thereto) has been approved by Agent, such approval not to be unreasonably withhold or delayed; and</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758"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instruments and investments of the type and maturity described in clauses (a) through (d) above denominated in any foreign currency or of foreign obligors, which investments or obligors are, in the reasonable judgment of the Borrower, comparable in investment quality to those referred to above.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“CFC” means a “controlled foreign corporation” as defined in Section 957 of the Code.</w:t>
      </w:r>
    </w:p>
    <w:p>
      <w:pPr>
        <w:spacing w:after="0" w:line="18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“Change in Control” means (a) any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(b) any Loan Party ceases to own one-hundred percent (100%) of the Equity Interests of any other Loan Party that it directly owns after the Closing Date or (c) any “Change of Control” (or any comparable term) shall occur under any other document or agreement evidencing any Indebtedness with an aggregate principal amount in excess of Five Million Dollars ($5,000,000); provided, that with respect to clause (b) of this definition, any transaction otherwise permitted under this Agreement shall not be considered a Change in Control.</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“Closing Date” means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“Code” means the Internal Revenue Code of 1986, as amended.</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Revenues” means revenue determined in accordance with GAAP (as GAAP is substantially in effect on the</w:t>
      </w:r>
    </w:p>
    <w:p>
      <w:pPr>
        <w:spacing w:after="0"/>
        <w:rPr>
          <w:sz w:val="20"/>
          <w:szCs w:val="20"/>
          <w:color w:val="auto"/>
        </w:rPr>
      </w:pPr>
      <w:r>
        <w:rPr>
          <w:rFonts w:ascii="Arial" w:cs="Arial" w:eastAsia="Arial" w:hAnsi="Arial"/>
          <w:sz w:val="20"/>
          <w:szCs w:val="20"/>
          <w:color w:val="auto"/>
        </w:rPr>
        <w:t>Closing Date).</w:t>
      </w:r>
    </w:p>
    <w:p>
      <w:pPr>
        <w:spacing w:after="0" w:line="15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without duplication of the primary obligations,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the Loan Parties.</w:t>
      </w:r>
    </w:p>
    <w:p>
      <w:pPr>
        <w:spacing w:after="0" w:line="16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“Copyright License” means any written agreement granting any right to use any Copyright or Copyright registration, now owned or hereafter acquired by any Loan Party or in which any Loan Party now holds or hereafter acquires any interest.</w:t>
      </w:r>
    </w:p>
    <w:p>
      <w:pPr>
        <w:spacing w:after="0" w:line="15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“Copyrights” means all copyrights, whether registered or unregistered, held pursuant to the laws of the United States of America, any State thereof, or of any other country.</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“Deposit Accounts” means any “deposit accounts,” as such term is defined in the UCC, and includes any checking account, savings account, or certificate of deposit.</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“Domestic Subsidiary” means any Subsidiary organized under the laws of the United States of America, any State thereof, the District of Columbia, or any other jurisdiction within the United States of America.</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“Due Diligence Fee” means [***], which fee has been paid to the Lenders prior to the Closing Date, and shall be deemed fully earned on such date regardless of the early termination of this Agreement.</w:t>
      </w:r>
    </w:p>
    <w:p>
      <w:pPr>
        <w:spacing w:after="0" w:line="155"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 xml:space="preserve">“Equity Interests” means, with respect to any Person, the capital stock, partnership or limited liability company interest, or other equity securities or equity ownership interests of such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“Equity Interests” shall not include at any time (i) Permitted Convertible Debt until such Permitted Convertible Debt has been converted pursuant to the terms thereof, (ii) other debt securities that are or by their terms may be convertible or exchangeable into such equity until such debt securities have been converted pursuant to the terms thereof or (iii) Permitted Convertible Debt Call Transactions until any equity interests have been issued pursuant to any Permitted Warrant Transaction.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“ERISA” means the Employee Retirement Income Security Act of 1974, as amended, and the regulations promulgated</w:t>
      </w:r>
    </w:p>
    <w:p>
      <w:pPr>
        <w:spacing w:after="0"/>
        <w:rPr>
          <w:sz w:val="20"/>
          <w:szCs w:val="20"/>
          <w:color w:val="auto"/>
        </w:rPr>
      </w:pPr>
      <w:r>
        <w:rPr>
          <w:rFonts w:ascii="Arial" w:cs="Arial" w:eastAsia="Arial" w:hAnsi="Arial"/>
          <w:sz w:val="20"/>
          <w:szCs w:val="20"/>
          <w:color w:val="auto"/>
        </w:rPr>
        <w:t>thereunder.</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“Excluded Accounts” means (a) Deposit Accounts that are used exclusively for payroll, payroll taxes and other employee wages and benefit payments to or for the benefit of the employees of the Borrower and its Subsidiaries, (b) zero balance accounts, (c) domestic Deposit Accounts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accounts of the Borrower or any Subsidiary (whether or not a Loan Party), so long as at any time the aggregate balance in all such accounts does not exceed One Million Dollars ($1,000,000), (d) accounts used exclusively to maintain cash collateral subject to a Permitted Lien, and</w:t>
      </w:r>
    </w:p>
    <w:p>
      <w:pPr>
        <w:spacing w:after="0" w:line="1" w:lineRule="exact"/>
        <w:rPr>
          <w:sz w:val="20"/>
          <w:szCs w:val="20"/>
          <w:color w:val="auto"/>
        </w:rPr>
      </w:pPr>
    </w:p>
    <w:p>
      <w:pPr>
        <w:jc w:val="both"/>
        <w:ind w:firstLine="8"/>
        <w:spacing w:after="0" w:line="224" w:lineRule="auto"/>
        <w:tabs>
          <w:tab w:leader="none" w:pos="286"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Deposit Accounts and securities accounts of the Borrower or any Subsidiary (whether or not a Loan Party), located outside the United States, so long as at any time the aggregate balance in all such accounts does not exceed the lesser of (i) Five Million Dollars ($5,000,000) and (ii) an amount equal to five percent (5.00%) of the consolidated cash of Borrower and its Subsidiaries.</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8"/>
          <w:szCs w:val="18"/>
          <w:color w:val="auto"/>
        </w:rPr>
        <w:t>“Excluded Property” means, with respect to any Loan Party, including any Person that becomes a Loan Party after the Closing Date as contemplated by Section 7.13, (a) any “intent-to-use” application for registration of a Trademark filed pursuant to Section 1(b)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provided, that, a security interest in such trademark application (and the resulting registration) is promptly granted to the Agent upon the filing and acceptance of a Statement of Use or an Amendment to Allege Use, as the case may be; (b) solely with respect to any Loan Party that is organized under the laws of any political subdivision of the United States, any personal property (including, without limitation, motor vehicles) in respect of which perfection of a Lien is not either (i) governed by the UCC or (ii) effected by appropriate evidence of the Lien being filed in either the United States Copyright Office or the United States Patent and Trademark Office, unless reasonably requested by the Agent; (c) any Excluded Accounts; (d) any asset which, subject to the terms of Section 7.19, is subject to a Lien of the type described in clause (vii) of the defined term “Permitted Liens” (i) pursuant to documents which prevent such Loan Party from granting any other Liens in such asset; (e) any margin stock; (f) any leasehold or subleasehold interest of such Loan Party in real property; (g) any General Intangible, permit, lease, license, contract or other Instrument of such Loan Party to the extent the grant of a security interest in such General Intangible, permit, lease, license, contract or other Instrument in the manner contemplated by the Loan Documents, under the terms thereof or under applicable law, is prohibited and would result in the termination thereof or would require the consent of a third party (other than any Loan Party or any Affiliate of any Loan Party) or otherwise give the other parties thereto the right to terminate, accelerate or otherwise alter such Loan Party’s rights, titles and interests thereunder (including upon the giving of notice or the lapse of time or both); provided, that, (i) any such limitation described in this clause (g) on the security interests granted under the Loan Documents shall only apply to the extent that any such prohibition could not be rendered ineffective pursuant to the UCC or any other applicable law or principles of equity, and (ii) in the event of the termination or elimination of any such prohibition or the requirement for any consent contained in any applicable law, General Intangible, permit, lease, license, contract or other Instrument, to the extent sufficient to permit any such item to become Collateral, or upon the granting of any such consent, or waiving or terminating any requirement for such consent, a security interest in such General Intangible, permit, lease, license, contract or other Instrument shall be automatically and simultaneously granted under the applicable Loan Documents and such item shall be included as Collateral, (h) more than sixty-five percent (65%) of the issued and outstanding capital stock, membership units or other securities entitled to vote owned or held of record by the Borrower in any Subsidiary that is a controlled foreign corporation (as defined in the Internal Revenue Code) and (i) any real or personal property as to which the Agent and the Borrower agree in writing that the costs or other consequences of obtaining a security interest or perfection thereof (including any adverse tax consequences to the Borrower and/or any of its Subsidiaries) are excessive in view of the benefits to be obtained by the Agent in connection therewith.</w:t>
      </w:r>
    </w:p>
    <w:p>
      <w:pPr>
        <w:spacing w:after="0" w:line="170"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19"/>
          <w:szCs w:val="19"/>
          <w:color w:val="auto"/>
        </w:rPr>
        <w:t>“Excluded Subsidiary” means (a) any Foreign Subsidiary that is prohibited by applicable law from providing a guaranty of the Obligations or granting Liens on its property in accordance with the terms of the Loan Documents, (b) any Foreign Subsidiary or Foreign Subsidiary Holding Company with respect to which, in the reasonable judgment of the Agent (confirmed in writing by notice to the Borrower) the cost or other consequences of such Foreign Subsidiary or Foreign Subsidiary Holding Company providing a guaranty (including any adverse tax consequences to the Borrower and/or any of its Subsidiaries) of the Obligations are excessive in view of the benefits to be obtained by the Agent therefrom (as reasonably determined by the Agent in consultation with Borrower), (c) any Immaterial Foreign Subsidiary, (d) any Subsidiary that is a CFC, and (e) any Subsidiary of a CFC.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“Foreign Subsidiary” means any Subsidiary other than a Domestic Subsidiary.</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“Foreign Subsidiary Holding Company” means any Domestic Subsidiary that owns (directly or indirectly) no material assets other than Equity Interests (or Equity Interests and debt interests) of one or more (a) Foreign Subsidiaries or (b) other Foreign Subsidiary Holding Companies.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“Gross Profit” means (a) Consolidated Revenue minus (b) cost of revenue (determined in accordance with GAAP).</w:t>
      </w:r>
    </w:p>
    <w:p>
      <w:pPr>
        <w:spacing w:after="0" w:line="18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“Hedging Agreements” means all currency exchange agreements, interest rate swap agreements, interest rate cap agreements and interest rate collar agreements, and all other agreements or arrangements designed to protect against fluctuations in interest rates or currency exchange rates.</w:t>
      </w:r>
    </w:p>
    <w:p>
      <w:pPr>
        <w:spacing w:after="0" w:line="15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“Hedging Obligations” means, with respect to any Person, all liabilities of such Person under Hedging Agreements. For the avoidance of doubt, any Permitted Convertible Debt Call Transaction will not constitute Hedging Obligations.</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“Immaterial Foreign Subsidiary” means any Foreign Subsidiary that, as of any date of determination (a) for the four consecutive Fiscal Quarter period most recently ended prior to such date for which financial statements have been delivered to the Agent pursuant to Sections 7.1(a) or (b), did not (together with its Subsidiaries) (i) generate in excess of two and one-half percent (2.50%) of Consolidated Revenues for such four consecutive Fiscal Quarter period or (ii) together with all other Immaterial Foreign Subsidiaries at such time (together with their respective Subsidiaries), generate in excess of five percent (5.00%) of Consolidated Revenues for such four consecutive Fiscal Quarter period and (b) did not have (together with its Subsidiaries) (i) net tangible assets in excess of two and one-half percent (2.50%) of consolidated net tangible assets of the Borrower and its Subsidiaries at such date or (ii) together with all other Immaterial Foreign Subsidiaries at such time (together with their respective Subsidiaries), net tangible assets in excess of five percent (5.00%) of consolidated net tangible assets of the Borrower and its Subsidiaries at such date; provided, that, notwithstanding anything herein to the contrary, in no event shall any Subsidiary that has become a Guarantor in accordance with the terms of this Agreement be deemed to be an Immaterial Foreign Subsidiary; provided, further, that, notwithstanding anything herein to the contrary, in no event shall any Immaterial Foreign Subsidiary own any material Intellectual Property.</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“Indebtedness” 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w:t>
      </w:r>
    </w:p>
    <w:p>
      <w:pPr>
        <w:spacing w:after="0" w:line="1" w:lineRule="exact"/>
        <w:rPr>
          <w:sz w:val="20"/>
          <w:szCs w:val="20"/>
          <w:color w:val="auto"/>
        </w:rPr>
      </w:pPr>
    </w:p>
    <w:p>
      <w:pPr>
        <w:jc w:val="both"/>
        <w:ind w:firstLine="8"/>
        <w:spacing w:after="0" w:line="227" w:lineRule="auto"/>
        <w:tabs>
          <w:tab w:leader="none" w:pos="2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Capital Lease obligations, (d) equity securities of any Person subject to repurchase or redemption other than at the sole option of such Person, (e) “earnouts” (to the extent treated as liabilities on the balance sheet in accordance with GAAP), purchase price adjustments, profit sharing arrangements, deferred purchase money amounts and similar payment obligations or continuing obligations of any nature arising out of purchase and sale contracts, (f) [reserved], (g) non-contingent obligations to reimburse any bank or Person in respect of amounts paid under a letter of credit, banker’s acceptance or similar instrument, and (h) all Contingent Obligations. For the avoidance of doubt, no Warrant, Permitted Bond Hedge Transaction or Permitted Warrant Transaction will be considered Indebtedness of the Loan Parties.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“Initial Facility Charge” means [***], which is payable to the Lenders in accordance with Section 4.1(f).</w:t>
      </w:r>
    </w:p>
    <w:p>
      <w:pPr>
        <w:spacing w:after="0" w:line="17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“Insolvency Proceeding” means any proceeding by or against any Person under the United States Bankruptcy Code, or any other bankruptcy or insolvency law, including assignments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benefit of creditors, compositions, or proceedings seeking reorganization, arrangement, or other similar relief.</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“Intellectual Property” means all of each Loan Party’s Copyrights; Trademarks; Patents; Licenses; trade secrets and inventions; mask works; each Loan Party’s applications therefor and reissues, extensions, or renewals thereof; and each Loan Party’s goodwill associated with any of the foregoing, together with each Loan Party’s rights to sue for past, present and future infringement of Intellectual Property and the goodwill associated therewith.</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“Intellectual Property Security Agreement” means each Intellectual Property Security Agreement executed and delivered by each Loan Party to Agent and dated as of the Closing Date as the same may from time to time be amended, restated, modified or otherwise supplemented.</w:t>
      </w:r>
    </w:p>
    <w:p>
      <w:pPr>
        <w:spacing w:after="0" w:line="15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“Interest Only Milestone” means Borrower has provided evidence satisfactory to the Agent in its reasonable discretion that Borrower has, for the measurement period ending on or before December 31, 2023, achieved each of the following: (a) received at least [***] in new net cash proceeds from the sale of Borrower’s equity securities to investors, (b) T12M Revenue of at least [***], (c) trailing twelve</w:t>
      </w:r>
    </w:p>
    <w:p>
      <w:pPr>
        <w:spacing w:after="0" w:line="1" w:lineRule="exact"/>
        <w:rPr>
          <w:sz w:val="20"/>
          <w:szCs w:val="20"/>
          <w:color w:val="auto"/>
        </w:rPr>
      </w:pPr>
    </w:p>
    <w:p>
      <w:pPr>
        <w:ind w:firstLine="8"/>
        <w:spacing w:after="0" w:line="220" w:lineRule="auto"/>
        <w:tabs>
          <w:tab w:leader="none" w:pos="381" w:val="left"/>
        </w:tabs>
        <w:numPr>
          <w:ilvl w:val="0"/>
          <w:numId w:val="18"/>
        </w:numPr>
        <w:rPr>
          <w:rFonts w:ascii="Arial" w:cs="Arial" w:eastAsia="Arial" w:hAnsi="Arial"/>
          <w:sz w:val="20"/>
          <w:szCs w:val="20"/>
          <w:color w:val="auto"/>
        </w:rPr>
      </w:pPr>
      <w:r>
        <w:rPr>
          <w:rFonts w:ascii="Arial" w:cs="Arial" w:eastAsia="Arial" w:hAnsi="Arial"/>
          <w:sz w:val="20"/>
          <w:szCs w:val="20"/>
          <w:color w:val="auto"/>
        </w:rPr>
        <w:t>month Gross Profit of at least [***] for the corresponding period, in each case subject to reasonable verification by Borrower, and (d) no Event of Default shall have occurred or be continuing at such time.</w:t>
      </w:r>
    </w:p>
    <w:p>
      <w:pPr>
        <w:spacing w:after="0" w:line="156"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“IRS” means the United States Internal Revenue Service.</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“Joinder Agreements” means for each Subsidiary (other than Excluded Subsidiaries), a completed and executed Joinder Agreement in substantially the form attached hereto as Exhibit F.</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“License” means any Copyright License, Patent License, Trademark License or other license of rights or interests.</w:t>
      </w:r>
    </w:p>
    <w:p>
      <w:pPr>
        <w:spacing w:after="0" w:line="18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means the Advances made under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Party” means Borrower and any Guarantor.</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“Loan Documents” means this Agreement, the promissory notes (if any), the ACH Authorization, the Account Control Agreements, the Joinder Agreements, all UCC Financing Statements, the Pledge Agreement, the Intellectual Property Security Agreement, and any other documents executed in connection with the Secured Obligations or the transactions contemplated hereby, as the same may from time to time be amended, modified, supplemented or restated.</w:t>
      </w:r>
    </w:p>
    <w:p>
      <w:pPr>
        <w:spacing w:after="0" w:line="15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“Material Adverse Effect” means a material adverse effect upon: (i) the business, operations, properties, assets or financial condition of Borrower and its Subsidiaries taken as a whole; or (ii) the ability of the Loan Parties, taken as a whole,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“Maximum Term Loan Amount” means Fifty Million Dollars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2"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“Monthly Financials Trigger Period” is the period commencing on the last day of a month where, Borrower’s average market capitalization for the trailing ten (10) day period then ending is less than Five Hundred Million Dollars ($500,000,000) and ending on the day when Borrower’s average market capitalization for twenty (20) consecutive days is equal to or above Five Hundred Million Dollars ($500,000,000).</w:t>
      </w:r>
    </w:p>
    <w:p>
      <w:pPr>
        <w:spacing w:after="0" w:line="156"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“Non-Disclosure Agreement” means that certain Non-Disclosure Agreement by and between Borrower and Agent dated as of August 28, 2019.</w:t>
      </w:r>
    </w:p>
    <w:p>
      <w:pPr>
        <w:spacing w:after="0" w:line="15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“Not Otherwise Applied” means, with reference to any amount of proceeds of any issuance of Equity Interests, that such amount was not previously applied in determining the permissibility of any transaction under the Loan Documents where such permissibility was (or may have been) contingent on the receipt of such amount or the availability of such amount for such purpose.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“OFAC” is the U.S. Department of Treasury Office of Foreign Assets Control.</w:t>
      </w:r>
    </w:p>
    <w:p>
      <w:pPr>
        <w:spacing w:after="0" w:line="17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“Participant Register” has the meaning specified in Section 11.8.</w:t>
      </w:r>
    </w:p>
    <w:p>
      <w:pPr>
        <w:spacing w:after="0" w:line="17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“Patent License” means any written agreement granting any right with respect to any invention on which a Patent is in existence or a Patent application is pending, in which agreement any Loan Party now holds or hereafter acquires any interest.</w:t>
      </w:r>
    </w:p>
    <w:p>
      <w:pPr>
        <w:spacing w:after="0" w:line="15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“Performance Milestone” means Borrower has provided evidence satisfactory to the Agent in its reasonable discretion that Borrower has, for the twelve (12) month measurement period ending on December 31, 2022, achieved each of the following: (a) T12M Revenue of at least [***], and (b) trailing twelve (12) month Gross Profit of at least [***] for the corresponding period, in each case subject to reasonable verification by Borrower.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“Permitted Acquisition” means an Investment consisting of an Acquisition by any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75" w:lineRule="exact"/>
        <w:rPr>
          <w:sz w:val="20"/>
          <w:szCs w:val="20"/>
          <w:color w:val="auto"/>
        </w:rPr>
      </w:pPr>
    </w:p>
    <w:p>
      <w:pPr>
        <w:ind w:firstLine="1628"/>
        <w:spacing w:after="0" w:line="229" w:lineRule="auto"/>
        <w:tabs>
          <w:tab w:leader="none" w:pos="1899"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property acquired (or the property of the Person acquired) in such Acquisition is used or useful in the same or a related line of business as the Borrower and its Subsidiaries (or any reasonable extensions or expansions thereof),</w:t>
      </w:r>
    </w:p>
    <w:p>
      <w:pPr>
        <w:spacing w:after="0" w:line="155" w:lineRule="exact"/>
        <w:rPr>
          <w:rFonts w:ascii="Arial" w:cs="Arial" w:eastAsia="Arial" w:hAnsi="Arial"/>
          <w:sz w:val="20"/>
          <w:szCs w:val="20"/>
          <w:color w:val="auto"/>
        </w:rPr>
      </w:pPr>
    </w:p>
    <w:p>
      <w:pPr>
        <w:ind w:left="1900" w:hanging="272"/>
        <w:spacing w:after="0"/>
        <w:tabs>
          <w:tab w:leader="none" w:pos="19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or would immediately result from such Acquisition,</w:t>
      </w:r>
    </w:p>
    <w:p>
      <w:pPr>
        <w:spacing w:after="0" w:line="186" w:lineRule="exact"/>
        <w:rPr>
          <w:rFonts w:ascii="Arial" w:cs="Arial" w:eastAsia="Arial" w:hAnsi="Arial"/>
          <w:sz w:val="19"/>
          <w:szCs w:val="19"/>
          <w:color w:val="auto"/>
        </w:rPr>
      </w:pPr>
    </w:p>
    <w:p>
      <w:pPr>
        <w:jc w:val="both"/>
        <w:ind w:firstLine="1628"/>
        <w:spacing w:after="0" w:line="218" w:lineRule="auto"/>
        <w:tabs>
          <w:tab w:leader="none" w:pos="1891"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Agent shall have received (or shall receive in connection with the closing of such Acquisition) all items in respect of the Equity Interests or property acquired in such Acquisition required to be delivered by the terms of this Agreement (when and as required thereby),</w:t>
      </w:r>
    </w:p>
    <w:p>
      <w:pPr>
        <w:spacing w:after="0" w:line="156" w:lineRule="exact"/>
        <w:rPr>
          <w:rFonts w:ascii="Arial" w:cs="Arial" w:eastAsia="Arial" w:hAnsi="Arial"/>
          <w:sz w:val="20"/>
          <w:szCs w:val="20"/>
          <w:color w:val="auto"/>
        </w:rPr>
      </w:pPr>
    </w:p>
    <w:p>
      <w:pPr>
        <w:ind w:firstLine="1628"/>
        <w:spacing w:after="0" w:line="242" w:lineRule="auto"/>
        <w:tabs>
          <w:tab w:leader="none" w:pos="1929" w:val="left"/>
        </w:tabs>
        <w:numPr>
          <w:ilvl w:val="0"/>
          <w:numId w:val="19"/>
        </w:numPr>
        <w:rPr>
          <w:rFonts w:ascii="Arial" w:cs="Arial" w:eastAsia="Arial" w:hAnsi="Arial"/>
          <w:sz w:val="19"/>
          <w:szCs w:val="19"/>
          <w:color w:val="auto"/>
        </w:rPr>
      </w:pPr>
      <w:r>
        <w:rPr>
          <w:rFonts w:ascii="Arial" w:cs="Arial" w:eastAsia="Arial" w:hAnsi="Arial"/>
          <w:sz w:val="19"/>
          <w:szCs w:val="19"/>
          <w:color w:val="auto"/>
        </w:rPr>
        <w:t>such Acquisition shall not be a “hostile” acquisition and shall have been approved by the board of directors (or equivalent governing body) and/or the shareholders (or equivalent) of the applicable Loan Party and the target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2" w:lineRule="exact"/>
        <w:rPr>
          <w:sz w:val="20"/>
          <w:szCs w:val="20"/>
          <w:color w:val="auto"/>
        </w:rPr>
      </w:pPr>
    </w:p>
    <w:p>
      <w:pPr>
        <w:jc w:val="both"/>
        <w:ind w:firstLine="1628"/>
        <w:spacing w:after="0" w:line="218" w:lineRule="auto"/>
        <w:tabs>
          <w:tab w:leader="none" w:pos="1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the Borrower shall have delivered to the Agent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financial statements for the Borrower and its Subsidiaries after giving effect to such Acquisition for the twelve-month period ending as of the most recent Fiscal Quarter end in a form reasonably satisfactory to the Agent,</w:t>
      </w:r>
    </w:p>
    <w:p>
      <w:pPr>
        <w:spacing w:after="0" w:line="156" w:lineRule="exact"/>
        <w:rPr>
          <w:rFonts w:ascii="Arial" w:cs="Arial" w:eastAsia="Arial" w:hAnsi="Arial"/>
          <w:sz w:val="20"/>
          <w:szCs w:val="20"/>
          <w:color w:val="auto"/>
        </w:rPr>
      </w:pPr>
    </w:p>
    <w:p>
      <w:pPr>
        <w:jc w:val="both"/>
        <w:ind w:firstLine="1628"/>
        <w:spacing w:after="0" w:line="207" w:lineRule="auto"/>
        <w:tabs>
          <w:tab w:leader="none" w:pos="18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sum of the purchase price of such proposed new acquisition, computed on the basis of total cash acquisition consideration paid or incurred, or to be paid or incurred, by the applicable Loan Party with respect thereto, including any deferred acquisition consideration which is non contingency or milestone based (but specifically excluding any deferred acquisition consideration which is contingency or milestone based) shall not exceed Ten Million Dollars ($10,000,000) per fiscal year, provided that after giving effect to such acquisition on a pro forma basis, Borrower’s unrestricted Cash (other than (a) Liens granted to Agent under the Loan Document) shall not be less than One Hundred Million Dollars ($100,000,000) ; and</w:t>
      </w:r>
    </w:p>
    <w:p>
      <w:pPr>
        <w:spacing w:after="0" w:line="159" w:lineRule="exact"/>
        <w:rPr>
          <w:rFonts w:ascii="Arial" w:cs="Arial" w:eastAsia="Arial" w:hAnsi="Arial"/>
          <w:sz w:val="20"/>
          <w:szCs w:val="20"/>
          <w:color w:val="auto"/>
        </w:rPr>
      </w:pPr>
    </w:p>
    <w:p>
      <w:pPr>
        <w:jc w:val="both"/>
        <w:ind w:firstLine="1628"/>
        <w:spacing w:after="0" w:line="207" w:lineRule="auto"/>
        <w:tabs>
          <w:tab w:leader="none" w:pos="1918"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Borrower has and maintains, and delivers to Agent no less than ten (10) days (or such shorter period agreed to by Agent) prior to any such Acquisition, a certificate signed by Borrower’s Chief Executive Officer or Chief Financial Officer, in form reasonably acceptable to Agent (it being agreed that any certificate previously delivered to Agent that was accepted by Agent shall be deemed to be in form acceptable to Agent for future use) demonstrating compliance with, on and after June 30, 2023, the covenant set forth in </w:t>
      </w:r>
      <w:r>
        <w:rPr>
          <w:rFonts w:ascii="Arial" w:cs="Arial" w:eastAsia="Arial" w:hAnsi="Arial"/>
          <w:sz w:val="20"/>
          <w:szCs w:val="20"/>
          <w:u w:val="single" w:color="auto"/>
          <w:color w:val="auto"/>
        </w:rPr>
        <w:t>Section 7.19(a)</w:t>
      </w:r>
      <w:r>
        <w:rPr>
          <w:rFonts w:ascii="Arial" w:cs="Arial" w:eastAsia="Arial" w:hAnsi="Arial"/>
          <w:sz w:val="20"/>
          <w:szCs w:val="20"/>
          <w:color w:val="auto"/>
        </w:rPr>
        <w:t xml:space="preserve"> hereof on a pro forma basis as if the Acquisition occurred on the first day of the most recent measurement period with respect to such financial covenant.</w:t>
      </w:r>
    </w:p>
    <w:p>
      <w:pPr>
        <w:spacing w:after="0" w:line="160" w:lineRule="exact"/>
        <w:rPr>
          <w:sz w:val="20"/>
          <w:szCs w:val="20"/>
          <w:color w:val="auto"/>
        </w:rPr>
      </w:pPr>
    </w:p>
    <w:p>
      <w:pPr>
        <w:jc w:val="both"/>
        <w:ind w:firstLine="436"/>
        <w:spacing w:after="0" w:line="229" w:lineRule="auto"/>
        <w:rPr>
          <w:sz w:val="20"/>
          <w:szCs w:val="20"/>
          <w:color w:val="auto"/>
        </w:rPr>
      </w:pPr>
      <w:r>
        <w:rPr>
          <w:rFonts w:ascii="Arial" w:cs="Arial" w:eastAsia="Arial" w:hAnsi="Arial"/>
          <w:sz w:val="18"/>
          <w:szCs w:val="18"/>
          <w:color w:val="auto"/>
        </w:rPr>
        <w:t xml:space="preserve">“Permitted Bond Hedge Transaction” means any call or capped call option (or substantively equivalent derivative transaction) pursuant to which the Borrower acquires an option requiring the counterparty thereto to deliver to the Borrower (i) shares of common stock of the Borrower (or other securities or property following a merger event or other change of the common stock of the Borrower), (ii) the cash value thereof or (iii) a combination thereof, in each case, from time to time upon exercise of such option entered into by the Borrower in connection with the issuance of Permitted Convertible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price for any Permitted Bond Hedge Transaction, less the proceeds received by the Borrower from the sale of any related Permitted Warrant Transaction, does not exceed the net proceeds received by the Borrower from the sale of the Permitted Convertible Debt issued in connection with the Permitted Bond Hedge Transaction.</w:t>
      </w:r>
    </w:p>
    <w:p>
      <w:pPr>
        <w:spacing w:after="0" w:line="184"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“Permitted Borrower Equity Buybacks” means the Borrower may repurchase or buy back any Equity Interests of the Borrower in the amount not to exceed the result of (a) one hundred percent (100%) of any amounts directly or indirectly received by the Borrower in connection with any direct or indirect Equity Interests issuances, sales or other dispositions of Equity Interests by the Borrower (the "Borrower Equity Interests Disposition Proceeds"), minus (b) any Borrower Equity Interests Disposition Proceeds used to make any voluntary principal prepayments in cash with respect to the Term Loan.</w:t>
      </w:r>
    </w:p>
    <w:p>
      <w:pPr>
        <w:spacing w:after="0" w:line="18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“Permitted Convertible Debt” means Indebtedness that is either (i) convertible into a fixed number (subject to customary anti-dilution adjustments, “make-whole” increases and other customary changes thereto) of shares of common stock of the Borrower (and cash in lieu of fractional shares)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or (ii) sold as units with call options, warrants or rights to purchase (or substantially equivalent derivative transactions) that are exercisable for shares of common stock of the Borrower (and cash in lieu of fractional shares)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provided that such Indebtedness shall (a) not require any scheduled amortization or otherwise required payment of principal prior to, or have a scheduled maturity date, earlier than, one hundred eighty (180) days after the Term Loan Maturity Date, (b) be unsecured or subordinated to the Secured Obligations pursuant to terms satisfactory to the Agent in its sole discretion, (c) not be guaranteed by any Subsidiary of Borrower that is not also a Loan Party, and (d) shall be Indebtedness of the Borrower and not any Subsidiary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“Permitted Convertible Debt Call Transaction” means any Permitted Bond Hedge Transaction and any Permitted Warrant</w:t>
      </w:r>
    </w:p>
    <w:p>
      <w:pPr>
        <w:spacing w:after="0"/>
        <w:rPr>
          <w:sz w:val="20"/>
          <w:szCs w:val="20"/>
          <w:color w:val="auto"/>
        </w:rPr>
      </w:pPr>
      <w:r>
        <w:rPr>
          <w:rFonts w:ascii="Arial" w:cs="Arial" w:eastAsia="Arial" w:hAnsi="Arial"/>
          <w:sz w:val="20"/>
          <w:szCs w:val="20"/>
          <w:color w:val="auto"/>
        </w:rPr>
        <w:t>Transaction.</w:t>
      </w:r>
    </w:p>
    <w:p>
      <w:pPr>
        <w:spacing w:after="0" w:line="159" w:lineRule="exact"/>
        <w:rPr>
          <w:sz w:val="20"/>
          <w:szCs w:val="20"/>
          <w:color w:val="auto"/>
        </w:rPr>
      </w:pPr>
    </w:p>
    <w:p>
      <w:pPr>
        <w:jc w:val="both"/>
        <w:ind w:firstLine="1215"/>
        <w:spacing w:after="0" w:line="229" w:lineRule="auto"/>
        <w:rPr>
          <w:sz w:val="20"/>
          <w:szCs w:val="20"/>
          <w:color w:val="auto"/>
        </w:rPr>
      </w:pPr>
      <w:r>
        <w:rPr>
          <w:rFonts w:ascii="Arial" w:cs="Arial" w:eastAsia="Arial" w:hAnsi="Arial"/>
          <w:sz w:val="20"/>
          <w:szCs w:val="20"/>
          <w:color w:val="auto"/>
        </w:rPr>
        <w:t>“Permitted Employee Stock Purchase Loans” means any loans advanced by the Borrower under clause (ix) of the defined term “Permitted Investments”</w:t>
      </w:r>
    </w:p>
    <w:p>
      <w:pPr>
        <w:spacing w:after="0" w:line="155" w:lineRule="exact"/>
        <w:rPr>
          <w:sz w:val="20"/>
          <w:szCs w:val="20"/>
          <w:color w:val="auto"/>
        </w:rPr>
      </w:pPr>
    </w:p>
    <w:p>
      <w:pPr>
        <w:jc w:val="both"/>
        <w:ind w:firstLine="1215"/>
        <w:spacing w:after="0" w:line="231" w:lineRule="auto"/>
        <w:rPr>
          <w:sz w:val="20"/>
          <w:szCs w:val="20"/>
          <w:color w:val="auto"/>
        </w:rPr>
      </w:pPr>
      <w:r>
        <w:rPr>
          <w:rFonts w:ascii="Arial" w:cs="Arial" w:eastAsia="Arial" w:hAnsi="Arial"/>
          <w:sz w:val="18"/>
          <w:szCs w:val="18"/>
          <w:color w:val="auto"/>
        </w:rPr>
        <w:t>“Permitted Employee Stock Purchase Loans Forgiveness and Collateral Release Event” means the termination by the Borrower of the agreements and documents (other than provisions that expressly survive the termination thereof) entered into by the Borrower in connection with any Permitted Employee Stock Purchase Loan (and release and termination by the Borrower of all collateral and Liens, if any, provided thereunder and release, termination or removal by the Borrower of all personal recourse, if any, of the applicable borrower thereunder) upon the principal and accrued interest of such Permitted Employee Stock Purchase Loan being either (i) forgiven in full pursuant to an approval by the board of directors (or similar governing body) of the Borrower or (ii) paid in full.</w:t>
      </w:r>
    </w:p>
    <w:p>
      <w:pPr>
        <w:spacing w:after="0" w:line="155"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“Permitted Indebtedness” means:</w:t>
      </w:r>
    </w:p>
    <w:p>
      <w:pPr>
        <w:spacing w:after="0" w:line="175" w:lineRule="exact"/>
        <w:rPr>
          <w:sz w:val="20"/>
          <w:szCs w:val="20"/>
          <w:color w:val="auto"/>
        </w:rPr>
      </w:pPr>
    </w:p>
    <w:p>
      <w:pPr>
        <w:ind w:left="1860" w:hanging="312"/>
        <w:spacing w:after="0"/>
        <w:tabs>
          <w:tab w:leader="none" w:pos="18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175" w:lineRule="exact"/>
        <w:rPr>
          <w:rFonts w:ascii="Arial" w:cs="Arial" w:eastAsia="Arial" w:hAnsi="Arial"/>
          <w:sz w:val="20"/>
          <w:szCs w:val="20"/>
          <w:color w:val="auto"/>
        </w:rPr>
      </w:pPr>
    </w:p>
    <w:p>
      <w:pPr>
        <w:ind w:firstLine="1548"/>
        <w:spacing w:after="0" w:line="229" w:lineRule="auto"/>
        <w:tabs>
          <w:tab w:leader="none" w:pos="1862"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intercompany Indebtedness permitted under the defined term “Permitted Investments” (other than by reference to this defined term “Permitted Indebtedness” (or any sub-clause hereof));</w:t>
      </w:r>
    </w:p>
    <w:p>
      <w:pPr>
        <w:spacing w:after="0" w:line="155" w:lineRule="exact"/>
        <w:rPr>
          <w:rFonts w:ascii="Arial" w:cs="Arial" w:eastAsia="Arial" w:hAnsi="Arial"/>
          <w:sz w:val="20"/>
          <w:szCs w:val="20"/>
          <w:color w:val="auto"/>
        </w:rPr>
      </w:pPr>
    </w:p>
    <w:p>
      <w:pPr>
        <w:jc w:val="both"/>
        <w:ind w:firstLine="1548"/>
        <w:spacing w:after="0" w:line="205" w:lineRule="auto"/>
        <w:tabs>
          <w:tab w:leader="none" w:pos="1863"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Indebtedness existing as of the Closing Date which is disclosed in Schedule 1A and any extensions, renewals or replacements thereof; provided, that, with respect to any such extension, renewal or replacement, (i) the outstanding principal amount of such Indebtedness is not increased except by an amount equal to fees and expenses and any premium reasonably incurred (and any paid-in-kind interest provided) in connection with any such extension, renewal or replacement, and (ii) the terms of such Indebtedness are not modified to impose materially more burdensome terms, taken as a whole, upon the Borrower or any Subsidiary, as the case may be (it being understood that an increase in the interest rate, fees or other pricing applicable thereto shall not be deemed to be materially more burdensome so long as such interest rate, fees or other pricing does not exceed the then applicable market interest rate, fees and other pricing);</w:t>
      </w:r>
    </w:p>
    <w:p>
      <w:pPr>
        <w:spacing w:after="0" w:line="156" w:lineRule="exact"/>
        <w:rPr>
          <w:rFonts w:ascii="Arial" w:cs="Arial" w:eastAsia="Arial" w:hAnsi="Arial"/>
          <w:sz w:val="20"/>
          <w:szCs w:val="20"/>
          <w:color w:val="auto"/>
        </w:rPr>
      </w:pPr>
    </w:p>
    <w:p>
      <w:pPr>
        <w:jc w:val="both"/>
        <w:ind w:firstLine="1548"/>
        <w:spacing w:after="0" w:line="207" w:lineRule="auto"/>
        <w:tabs>
          <w:tab w:leader="none" w:pos="1852"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unsecured Indebtedness incurred (i) in the ordinary course of business of the Borrower and its Subsidiaries in the nature of trade payables owing to suppliers and other trade creditors on negotiated trade terms in connection with purchases of goods and services, which may be overdue or subject to good faith disputes and for which adequate reserves in accordance with GAAP have been set aside on the books of the Borrower and its Subsidiaries, and (ii) in respect of performance, surety or appeal bonds provided in the ordinary course of business, but excluding (in each case), Indebtedness incurred through the borrowing of money or Contingent Obligations in respect thereof;</w:t>
      </w:r>
    </w:p>
    <w:p>
      <w:pPr>
        <w:spacing w:after="0" w:line="159" w:lineRule="exact"/>
        <w:rPr>
          <w:rFonts w:ascii="Arial" w:cs="Arial" w:eastAsia="Arial" w:hAnsi="Arial"/>
          <w:sz w:val="20"/>
          <w:szCs w:val="20"/>
          <w:color w:val="auto"/>
        </w:rPr>
      </w:pPr>
    </w:p>
    <w:p>
      <w:pPr>
        <w:ind w:firstLine="1548"/>
        <w:spacing w:after="0" w:line="229" w:lineRule="auto"/>
        <w:tabs>
          <w:tab w:leader="none" w:pos="1851"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Contingent Obligations which are a “Permitted Investment” (other than by reference to “Permitted Indebtedness” (or any sub-clause hereof));</w:t>
      </w:r>
    </w:p>
    <w:p>
      <w:pPr>
        <w:spacing w:after="0" w:line="155" w:lineRule="exact"/>
        <w:rPr>
          <w:rFonts w:ascii="Arial" w:cs="Arial" w:eastAsia="Arial" w:hAnsi="Arial"/>
          <w:sz w:val="20"/>
          <w:szCs w:val="20"/>
          <w:color w:val="auto"/>
        </w:rPr>
      </w:pPr>
    </w:p>
    <w:p>
      <w:pPr>
        <w:jc w:val="both"/>
        <w:ind w:firstLine="1548"/>
        <w:spacing w:after="0" w:line="244" w:lineRule="auto"/>
        <w:tabs>
          <w:tab w:leader="none" w:pos="18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money Indebtedness and Capital Leases in an aggregate amount of up to Five Million Dollars ($5,000,000) outstanding at any time, in each case, secured by a Lien described in clause (ix) of the “Permitted Liens”; provided, that, such Indebtedness does not exceed the lesser of the cost or fair market value of the equipment or other property financed with such Indebtedness;</w:t>
      </w:r>
    </w:p>
    <w:p>
      <w:pPr>
        <w:spacing w:after="0" w:line="151" w:lineRule="exact"/>
        <w:rPr>
          <w:rFonts w:ascii="Arial" w:cs="Arial" w:eastAsia="Arial" w:hAnsi="Arial"/>
          <w:sz w:val="18"/>
          <w:szCs w:val="18"/>
          <w:color w:val="auto"/>
        </w:rPr>
      </w:pPr>
    </w:p>
    <w:p>
      <w:pPr>
        <w:ind w:left="2500" w:hanging="952"/>
        <w:spacing w:after="0"/>
        <w:tabs>
          <w:tab w:leader="none" w:pos="25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Indebtedness incurred in the ordinary course of business under corporate credit cards;</w:t>
      </w:r>
    </w:p>
    <w:p>
      <w:pPr>
        <w:spacing w:after="0" w:line="175" w:lineRule="exact"/>
        <w:rPr>
          <w:rFonts w:ascii="Arial" w:cs="Arial" w:eastAsia="Arial" w:hAnsi="Arial"/>
          <w:sz w:val="20"/>
          <w:szCs w:val="20"/>
          <w:color w:val="auto"/>
        </w:rPr>
      </w:pPr>
    </w:p>
    <w:p>
      <w:pPr>
        <w:ind w:right="20" w:firstLine="1548"/>
        <w:spacing w:after="0" w:line="229" w:lineRule="auto"/>
        <w:tabs>
          <w:tab w:leader="none" w:pos="2502"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reimbursement obligations in connection with letters of credit, bank guarantees or bank warranties that are solely secured by cash or Cash Equivalent Investments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400" w:top="1440" w:right="339" w:bottom="1440" w:gutter="0" w:footer="0" w:header="0"/>
        </w:sectPr>
      </w:pPr>
    </w:p>
    <w:bookmarkStart w:id="52" w:name="page53"/>
    <w:bookmarkEnd w:id="52"/>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issued on behalf of the Borrower or any Subsidiary, in an aggregate amount not to exceed Five Million Dollars ($5,000,000) at any time;</w:t>
      </w:r>
    </w:p>
    <w:p>
      <w:pPr>
        <w:spacing w:after="0" w:line="198" w:lineRule="exact"/>
        <w:rPr>
          <w:sz w:val="20"/>
          <w:szCs w:val="20"/>
          <w:color w:val="auto"/>
        </w:rPr>
      </w:pPr>
    </w:p>
    <w:p>
      <w:pPr>
        <w:jc w:val="both"/>
        <w:ind w:left="80" w:firstLine="1548"/>
        <w:spacing w:after="0" w:line="213" w:lineRule="auto"/>
        <w:tabs>
          <w:tab w:leader="none" w:pos="19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Indebtedness in respect of any agreement providing for treasury, depositary or cash management services, including in connection with automated clearing house transfers of funds or any similar transactions, securities settlements, foreign exchange contracts, assumed settlement, netting services, overdraft protections and other cash management, intercompany cash pooling and similar arrangements, in each case in the ordinary course of business;</w:t>
      </w:r>
    </w:p>
    <w:p>
      <w:pPr>
        <w:spacing w:after="0" w:line="155" w:lineRule="exact"/>
        <w:rPr>
          <w:rFonts w:ascii="Arial" w:cs="Arial" w:eastAsia="Arial" w:hAnsi="Arial"/>
          <w:sz w:val="20"/>
          <w:szCs w:val="20"/>
          <w:color w:val="auto"/>
        </w:rPr>
      </w:pPr>
    </w:p>
    <w:p>
      <w:pPr>
        <w:jc w:val="both"/>
        <w:ind w:left="80" w:firstLine="1548"/>
        <w:spacing w:after="0" w:line="210" w:lineRule="auto"/>
        <w:tabs>
          <w:tab w:leader="none" w:pos="1931" w:val="left"/>
        </w:tabs>
        <w:numPr>
          <w:ilvl w:val="0"/>
          <w:numId w:val="22"/>
        </w:numPr>
        <w:rPr>
          <w:rFonts w:ascii="Arial" w:cs="Arial" w:eastAsia="Arial" w:hAnsi="Arial"/>
          <w:sz w:val="20"/>
          <w:szCs w:val="20"/>
          <w:color w:val="auto"/>
        </w:rPr>
      </w:pPr>
      <w:r>
        <w:rPr>
          <w:rFonts w:ascii="Arial" w:cs="Arial" w:eastAsia="Arial" w:hAnsi="Arial"/>
          <w:sz w:val="20"/>
          <w:szCs w:val="20"/>
          <w:color w:val="auto"/>
        </w:rPr>
        <w:t>Hedging Obligations of the Borrower solely in respect of directly mitigating floating interest rate risks of the Borrower associated with the Loans, covering a notional amount not to exceed the aggregate amount of the Loans; provided, that, (i) such obligations are (or were) entered into by such Person in the ordinary course of business and (ii) the applicable Hedging Agreement does not contain any provision exonerating the non-defaulting party from its obligation to make payments on outstanding transactions to the defaulting party;</w:t>
      </w:r>
    </w:p>
    <w:p>
      <w:pPr>
        <w:spacing w:after="0" w:line="154" w:lineRule="exact"/>
        <w:rPr>
          <w:rFonts w:ascii="Arial" w:cs="Arial" w:eastAsia="Arial" w:hAnsi="Arial"/>
          <w:sz w:val="20"/>
          <w:szCs w:val="20"/>
          <w:color w:val="auto"/>
        </w:rPr>
      </w:pPr>
    </w:p>
    <w:p>
      <w:pPr>
        <w:jc w:val="both"/>
        <w:ind w:left="80" w:firstLine="1548"/>
        <w:spacing w:after="0" w:line="218" w:lineRule="auto"/>
        <w:tabs>
          <w:tab w:leader="none" w:pos="19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Indebtedness consisting of (i) the bona fide financing of insurance premiums or self-insurance obligations (which must be commercially reasonable and consistent with insurance practices generally) or (ii) take-or-pay obligations contained in supply or similar agreements, in each case, in the ordinary course of business;</w:t>
      </w:r>
    </w:p>
    <w:p>
      <w:pPr>
        <w:spacing w:after="0" w:line="156" w:lineRule="exact"/>
        <w:rPr>
          <w:rFonts w:ascii="Arial" w:cs="Arial" w:eastAsia="Arial" w:hAnsi="Arial"/>
          <w:sz w:val="20"/>
          <w:szCs w:val="20"/>
          <w:color w:val="auto"/>
        </w:rPr>
      </w:pPr>
    </w:p>
    <w:p>
      <w:pPr>
        <w:jc w:val="both"/>
        <w:ind w:left="80" w:firstLine="1548"/>
        <w:spacing w:after="0" w:line="218" w:lineRule="auto"/>
        <w:tabs>
          <w:tab w:leader="none" w:pos="25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154" w:lineRule="exact"/>
        <w:rPr>
          <w:rFonts w:ascii="Arial" w:cs="Arial" w:eastAsia="Arial" w:hAnsi="Arial"/>
          <w:sz w:val="20"/>
          <w:szCs w:val="20"/>
          <w:color w:val="auto"/>
        </w:rPr>
      </w:pPr>
    </w:p>
    <w:p>
      <w:pPr>
        <w:ind w:left="2600" w:hanging="972"/>
        <w:spacing w:after="0"/>
        <w:tabs>
          <w:tab w:leader="none" w:pos="2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w:t>
      </w:r>
    </w:p>
    <w:p>
      <w:pPr>
        <w:ind w:left="80"/>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59" w:lineRule="exact"/>
        <w:rPr>
          <w:rFonts w:ascii="Arial" w:cs="Arial" w:eastAsia="Arial" w:hAnsi="Arial"/>
          <w:sz w:val="18"/>
          <w:szCs w:val="18"/>
          <w:color w:val="auto"/>
        </w:rPr>
      </w:pPr>
    </w:p>
    <w:p>
      <w:pPr>
        <w:ind w:left="2600" w:hanging="972"/>
        <w:spacing w:after="0"/>
        <w:tabs>
          <w:tab w:leader="none" w:pos="2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2600" w:hanging="972"/>
        <w:spacing w:after="0"/>
        <w:tabs>
          <w:tab w:leader="none" w:pos="2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Permitted Convertible Debt in an aggregate principal amount not to exceed [***]; and</w:t>
      </w:r>
    </w:p>
    <w:p>
      <w:pPr>
        <w:spacing w:after="0" w:line="175" w:lineRule="exact"/>
        <w:rPr>
          <w:rFonts w:ascii="Arial" w:cs="Arial" w:eastAsia="Arial" w:hAnsi="Arial"/>
          <w:sz w:val="20"/>
          <w:szCs w:val="20"/>
          <w:color w:val="auto"/>
        </w:rPr>
      </w:pPr>
    </w:p>
    <w:p>
      <w:pPr>
        <w:ind w:left="2600" w:hanging="972"/>
        <w:spacing w:after="0"/>
        <w:tabs>
          <w:tab w:leader="none" w:pos="2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unsecured Indebtedness in an aggregate amount not to exceed Five Million Dollars ($5,000,000) at any</w:t>
      </w:r>
    </w:p>
    <w:p>
      <w:pPr>
        <w:spacing w:after="0" w:line="2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20"/>
          <w:szCs w:val="20"/>
          <w:color w:val="auto"/>
        </w:rPr>
        <w:t>time outstanding.</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“Permitted Investment” means:</w:t>
      </w:r>
    </w:p>
    <w:p>
      <w:pPr>
        <w:spacing w:after="0" w:line="175" w:lineRule="exact"/>
        <w:rPr>
          <w:sz w:val="20"/>
          <w:szCs w:val="20"/>
          <w:color w:val="auto"/>
        </w:rPr>
      </w:pPr>
    </w:p>
    <w:p>
      <w:pPr>
        <w:ind w:left="1940" w:hanging="312"/>
        <w:spacing w:after="0"/>
        <w:tabs>
          <w:tab w:leader="none" w:pos="19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Investments existing on the Closing Date and identified in Schedule 1B;</w:t>
      </w:r>
    </w:p>
    <w:p>
      <w:pPr>
        <w:spacing w:after="0" w:line="175" w:lineRule="exact"/>
        <w:rPr>
          <w:rFonts w:ascii="Arial" w:cs="Arial" w:eastAsia="Arial" w:hAnsi="Arial"/>
          <w:sz w:val="20"/>
          <w:szCs w:val="20"/>
          <w:color w:val="auto"/>
        </w:rPr>
      </w:pPr>
    </w:p>
    <w:p>
      <w:pPr>
        <w:ind w:left="1960" w:hanging="332"/>
        <w:spacing w:after="0"/>
        <w:tabs>
          <w:tab w:leader="none" w:pos="19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Investments in the form of cash and Cash Equivalent Investments;</w:t>
      </w:r>
    </w:p>
    <w:p>
      <w:pPr>
        <w:spacing w:after="0" w:line="175" w:lineRule="exact"/>
        <w:rPr>
          <w:rFonts w:ascii="Arial" w:cs="Arial" w:eastAsia="Arial" w:hAnsi="Arial"/>
          <w:sz w:val="20"/>
          <w:szCs w:val="20"/>
          <w:color w:val="auto"/>
        </w:rPr>
      </w:pPr>
    </w:p>
    <w:p>
      <w:pPr>
        <w:ind w:firstLine="1628"/>
        <w:spacing w:after="0" w:line="229" w:lineRule="auto"/>
        <w:tabs>
          <w:tab w:leader="none" w:pos="1944"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55" w:lineRule="exact"/>
        <w:rPr>
          <w:rFonts w:ascii="Arial" w:cs="Arial" w:eastAsia="Arial" w:hAnsi="Arial"/>
          <w:sz w:val="20"/>
          <w:szCs w:val="20"/>
          <w:color w:val="auto"/>
        </w:rPr>
      </w:pPr>
    </w:p>
    <w:p>
      <w:pPr>
        <w:ind w:firstLine="1628"/>
        <w:spacing w:after="0" w:line="229" w:lineRule="auto"/>
        <w:tabs>
          <w:tab w:leader="none" w:pos="1933"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Investments consisting of the deferred portion of the sales price received by the Borrower or any Subsidiary in connection with any Permitted Transfers;</w:t>
      </w:r>
    </w:p>
    <w:p>
      <w:pPr>
        <w:spacing w:after="0" w:line="155" w:lineRule="exact"/>
        <w:rPr>
          <w:rFonts w:ascii="Arial" w:cs="Arial" w:eastAsia="Arial" w:hAnsi="Arial"/>
          <w:sz w:val="20"/>
          <w:szCs w:val="20"/>
          <w:color w:val="auto"/>
        </w:rPr>
      </w:pPr>
    </w:p>
    <w:p>
      <w:pPr>
        <w:jc w:val="both"/>
        <w:ind w:firstLine="1628"/>
        <w:spacing w:after="0" w:line="244" w:lineRule="auto"/>
        <w:tabs>
          <w:tab w:leader="none" w:pos="19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Investments in any Person that is a Loan Party prior to giving effect to such Investment, (ii) Investments by any Subsidiary that is not a Loan Party in any other Subsidiary that is not a Loan Party, and (iii) Investments by Loan Parties in Subsidiaries that are not Loan Parties, in the case of this clause (iii), in an aggregate amount not to exceed Five Million Dollars ($5,000,000) per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2" w:lineRule="exact"/>
        <w:rPr>
          <w:sz w:val="20"/>
          <w:szCs w:val="20"/>
          <w:color w:val="auto"/>
        </w:rPr>
      </w:pPr>
    </w:p>
    <w:p>
      <w:pPr>
        <w:ind w:firstLine="1628"/>
        <w:spacing w:after="0" w:line="242" w:lineRule="auto"/>
        <w:tabs>
          <w:tab w:leader="none" w:pos="1933"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Investments constituting (i) accounts receivable arising, (ii) notes receivable or trade debt granted, or (iii) deposits made, in each case, in connection with the purchase price of goods or services and in the ordinary course of business;</w:t>
      </w:r>
    </w:p>
    <w:p>
      <w:pPr>
        <w:spacing w:after="0" w:line="153" w:lineRule="exact"/>
        <w:rPr>
          <w:rFonts w:ascii="Arial" w:cs="Arial" w:eastAsia="Arial" w:hAnsi="Arial"/>
          <w:sz w:val="19"/>
          <w:szCs w:val="19"/>
          <w:color w:val="auto"/>
        </w:rPr>
      </w:pPr>
    </w:p>
    <w:p>
      <w:pPr>
        <w:ind w:left="2580" w:hanging="952"/>
        <w:spacing w:after="0"/>
        <w:tabs>
          <w:tab w:leader="none" w:pos="2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Hedging Obligations permitted by clause (x) of the defined term “Permitted Indebtedness”;</w:t>
      </w:r>
    </w:p>
    <w:p>
      <w:pPr>
        <w:spacing w:after="0" w:line="175" w:lineRule="exact"/>
        <w:rPr>
          <w:rFonts w:ascii="Arial" w:cs="Arial" w:eastAsia="Arial" w:hAnsi="Arial"/>
          <w:sz w:val="20"/>
          <w:szCs w:val="20"/>
          <w:color w:val="auto"/>
        </w:rPr>
      </w:pPr>
    </w:p>
    <w:p>
      <w:pPr>
        <w:ind w:right="20" w:firstLine="1628"/>
        <w:spacing w:after="0" w:line="229" w:lineRule="auto"/>
        <w:tabs>
          <w:tab w:leader="none" w:pos="2583"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 in the ordinary course of business;</w:t>
      </w:r>
    </w:p>
    <w:p>
      <w:pPr>
        <w:spacing w:after="0" w:line="155" w:lineRule="exact"/>
        <w:rPr>
          <w:rFonts w:ascii="Arial" w:cs="Arial" w:eastAsia="Arial" w:hAnsi="Arial"/>
          <w:sz w:val="20"/>
          <w:szCs w:val="20"/>
          <w:color w:val="auto"/>
        </w:rPr>
      </w:pPr>
    </w:p>
    <w:p>
      <w:pPr>
        <w:ind w:left="1940" w:hanging="312"/>
        <w:spacing w:after="0"/>
        <w:tabs>
          <w:tab w:leader="none" w:pos="19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628"/>
        <w:spacing w:after="0" w:line="218" w:lineRule="auto"/>
        <w:tabs>
          <w:tab w:leader="none" w:pos="1932"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Investments consisting of loans by the Borrower to its employees on an arms-length basis for travel advances and relocation costs in the ordinary course of business, in an aggregate amount not to exceed One Million Five Hundred Thousand Dollars ($1,500,000) in any fiscal year;</w:t>
      </w:r>
    </w:p>
    <w:p>
      <w:pPr>
        <w:spacing w:after="0" w:line="156" w:lineRule="exact"/>
        <w:rPr>
          <w:rFonts w:ascii="Arial" w:cs="Arial" w:eastAsia="Arial" w:hAnsi="Arial"/>
          <w:sz w:val="20"/>
          <w:szCs w:val="20"/>
          <w:color w:val="auto"/>
        </w:rPr>
      </w:pPr>
    </w:p>
    <w:p>
      <w:pPr>
        <w:ind w:left="1940" w:hanging="312"/>
        <w:spacing w:after="0"/>
        <w:tabs>
          <w:tab w:leader="none" w:pos="19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Investments consisting of Deposit Accounts or securities accounts, subject to compliance with Section 7.12;</w:t>
      </w:r>
    </w:p>
    <w:p>
      <w:pPr>
        <w:spacing w:after="0" w:line="186" w:lineRule="exact"/>
        <w:rPr>
          <w:rFonts w:ascii="Arial" w:cs="Arial" w:eastAsia="Arial" w:hAnsi="Arial"/>
          <w:sz w:val="19"/>
          <w:szCs w:val="19"/>
          <w:color w:val="auto"/>
        </w:rPr>
      </w:pPr>
    </w:p>
    <w:p>
      <w:pPr>
        <w:ind w:left="2580" w:hanging="952"/>
        <w:spacing w:after="0"/>
        <w:tabs>
          <w:tab w:leader="none" w:pos="2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161" w:lineRule="exact"/>
        <w:rPr>
          <w:rFonts w:ascii="Arial" w:cs="Arial" w:eastAsia="Arial" w:hAnsi="Arial"/>
          <w:sz w:val="20"/>
          <w:szCs w:val="20"/>
          <w:color w:val="auto"/>
        </w:rPr>
      </w:pPr>
    </w:p>
    <w:p>
      <w:pPr>
        <w:ind w:left="2600" w:hanging="972"/>
        <w:spacing w:after="0"/>
        <w:tabs>
          <w:tab w:leader="none" w:pos="26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Investments consisting of security deposits with utilities, landlords and other like Persons made in the</w:t>
      </w:r>
    </w:p>
    <w:p>
      <w:pPr>
        <w:spacing w:after="0"/>
        <w:rPr>
          <w:rFonts w:ascii="Arial" w:cs="Arial" w:eastAsia="Arial" w:hAnsi="Arial"/>
          <w:sz w:val="19"/>
          <w:szCs w:val="19"/>
          <w:color w:val="auto"/>
        </w:rPr>
      </w:pPr>
      <w:r>
        <w:rPr>
          <w:rFonts w:ascii="Arial" w:cs="Arial" w:eastAsia="Arial" w:hAnsi="Arial"/>
          <w:sz w:val="20"/>
          <w:szCs w:val="20"/>
          <w:color w:val="auto"/>
        </w:rPr>
        <w:t>ordinary course of business;</w:t>
      </w:r>
    </w:p>
    <w:p>
      <w:pPr>
        <w:spacing w:after="0" w:line="159" w:lineRule="exact"/>
        <w:rPr>
          <w:rFonts w:ascii="Arial" w:cs="Arial" w:eastAsia="Arial" w:hAnsi="Arial"/>
          <w:sz w:val="19"/>
          <w:szCs w:val="19"/>
          <w:color w:val="auto"/>
        </w:rPr>
      </w:pPr>
    </w:p>
    <w:p>
      <w:pPr>
        <w:jc w:val="both"/>
        <w:ind w:firstLine="1628"/>
        <w:spacing w:after="0" w:line="215" w:lineRule="auto"/>
        <w:tabs>
          <w:tab w:leader="none" w:pos="25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joint ventures, minority investments, or strategic alliances in the ordinary course of the Borrower’s business consisting of the licensing of technology, the development of technology or the providing of technical support, in an aggregate amount not to exceed Two Million Dollars ($2,000,000) during any fiscal year; provided that in connection with any such Investment, (1) the Borrower shall provide to the Agent at least ten (10) Business Days’ prior written notice of such Investment, which notice shall include a reasonably detailed description of such Investment together with any other financial information, financial analysis, documentation, and other information relating to such Investment upon Agent’s reasonable request; (2) no Event of Default has occurred and is continuing or would exist immediately after giving effect to such Investment; (3) such Investment shall only involve assets comprising the same or a related line of business as the Borrower and its Subsidiaries (or any reasonable extensions or expansions thereof); and (4) such Investment shall have been approved by the Borrower’s board of directors;</w:t>
      </w:r>
    </w:p>
    <w:p>
      <w:pPr>
        <w:spacing w:after="0" w:line="155" w:lineRule="exact"/>
        <w:rPr>
          <w:rFonts w:ascii="Arial" w:cs="Arial" w:eastAsia="Arial" w:hAnsi="Arial"/>
          <w:sz w:val="19"/>
          <w:szCs w:val="19"/>
          <w:color w:val="auto"/>
        </w:rPr>
      </w:pPr>
    </w:p>
    <w:p>
      <w:pPr>
        <w:ind w:left="2600" w:hanging="972"/>
        <w:spacing w:after="0"/>
        <w:tabs>
          <w:tab w:leader="none" w:pos="2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2600" w:hanging="972"/>
        <w:spacing w:after="0"/>
        <w:tabs>
          <w:tab w:leader="none" w:pos="26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Permitted Borrower Equity Buybacks;</w:t>
      </w:r>
    </w:p>
    <w:p>
      <w:pPr>
        <w:spacing w:after="0" w:line="175" w:lineRule="exact"/>
        <w:rPr>
          <w:rFonts w:ascii="Arial" w:cs="Arial" w:eastAsia="Arial" w:hAnsi="Arial"/>
          <w:sz w:val="20"/>
          <w:szCs w:val="20"/>
          <w:color w:val="auto"/>
        </w:rPr>
      </w:pPr>
    </w:p>
    <w:p>
      <w:pPr>
        <w:ind w:left="2600" w:hanging="972"/>
        <w:spacing w:after="0"/>
        <w:tabs>
          <w:tab w:leader="none" w:pos="2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Investments in an aggregate amount not to exceed Five Million Dollars ($5,000,000) in any fiscal year;</w:t>
      </w:r>
    </w:p>
    <w:p>
      <w:pPr>
        <w:spacing w:after="0" w:line="196" w:lineRule="exact"/>
        <w:rPr>
          <w:rFonts w:ascii="Arial" w:cs="Arial" w:eastAsia="Arial" w:hAnsi="Arial"/>
          <w:sz w:val="18"/>
          <w:szCs w:val="18"/>
          <w:color w:val="auto"/>
        </w:rPr>
      </w:pPr>
    </w:p>
    <w:p>
      <w:pPr>
        <w:ind w:left="2600" w:hanging="972"/>
        <w:spacing w:after="0"/>
        <w:tabs>
          <w:tab w:leader="none" w:pos="2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Permitted Employee Stock Purchase Loans Forgiveness and Collateral Release Events, to the extent</w:t>
      </w:r>
    </w:p>
    <w:p>
      <w:pPr>
        <w:spacing w:after="0"/>
        <w:rPr>
          <w:rFonts w:ascii="Arial" w:cs="Arial" w:eastAsia="Arial" w:hAnsi="Arial"/>
          <w:sz w:val="18"/>
          <w:szCs w:val="18"/>
          <w:color w:val="auto"/>
        </w:rPr>
      </w:pPr>
      <w:r>
        <w:rPr>
          <w:rFonts w:ascii="Arial" w:cs="Arial" w:eastAsia="Arial" w:hAnsi="Arial"/>
          <w:sz w:val="20"/>
          <w:szCs w:val="20"/>
          <w:color w:val="auto"/>
        </w:rPr>
        <w:t>constituting an Investment; and</w:t>
      </w:r>
    </w:p>
    <w:p>
      <w:pPr>
        <w:spacing w:after="0" w:line="159" w:lineRule="exact"/>
        <w:rPr>
          <w:rFonts w:ascii="Arial" w:cs="Arial" w:eastAsia="Arial" w:hAnsi="Arial"/>
          <w:sz w:val="18"/>
          <w:szCs w:val="18"/>
          <w:color w:val="auto"/>
        </w:rPr>
      </w:pPr>
    </w:p>
    <w:p>
      <w:pPr>
        <w:jc w:val="both"/>
        <w:ind w:firstLine="1628"/>
        <w:spacing w:after="0" w:line="218" w:lineRule="auto"/>
        <w:tabs>
          <w:tab w:leader="none" w:pos="2585"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Investments in connection with (including, for the avoidance of doubt, the entry into, payment of any premium with respect to, and the settlement of) any Permitted Convertible Debt, any Permitted Bond Hedge Transaction or any Permitted Warrant Transaction, in each case solely as permitted by this Agreement.</w:t>
      </w:r>
    </w:p>
    <w:p>
      <w:pPr>
        <w:spacing w:after="0" w:line="156"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0"/>
          <w:szCs w:val="20"/>
          <w:color w:val="auto"/>
        </w:rPr>
        <w:t>“Permitted Licenses” means (i) nonexclusive licenses and nonexclusive sublicenses, (ii) exclusive licenses with respect to global contract manufacturing and distribution agreements and (iii) exclusive licenses with respect to discrete geographical areas, in each case, of Intellectual Property granted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“Permitted Liens” means:</w:t>
      </w:r>
    </w:p>
    <w:p>
      <w:pPr>
        <w:spacing w:after="0" w:line="175" w:lineRule="exact"/>
        <w:rPr>
          <w:sz w:val="20"/>
          <w:szCs w:val="20"/>
          <w:color w:val="auto"/>
        </w:rPr>
      </w:pPr>
    </w:p>
    <w:p>
      <w:pPr>
        <w:ind w:left="1940" w:hanging="312"/>
        <w:spacing w:after="0"/>
        <w:tabs>
          <w:tab w:leader="none" w:pos="19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173" w:lineRule="exact"/>
        <w:rPr>
          <w:rFonts w:ascii="Arial" w:cs="Arial" w:eastAsia="Arial" w:hAnsi="Arial"/>
          <w:sz w:val="20"/>
          <w:szCs w:val="20"/>
          <w:color w:val="auto"/>
        </w:rPr>
      </w:pPr>
    </w:p>
    <w:p>
      <w:pPr>
        <w:ind w:left="1960" w:hanging="332"/>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liabilities to insurance carriers, insurance companies and</w:t>
      </w:r>
    </w:p>
    <w:p>
      <w:pPr>
        <w:spacing w:after="0"/>
        <w:rPr>
          <w:sz w:val="20"/>
          <w:szCs w:val="20"/>
          <w:color w:val="auto"/>
        </w:rPr>
      </w:pPr>
      <w:r>
        <w:rPr>
          <w:rFonts w:ascii="Arial" w:cs="Arial" w:eastAsia="Arial" w:hAnsi="Arial"/>
          <w:sz w:val="20"/>
          <w:szCs w:val="20"/>
          <w:color w:val="auto"/>
        </w:rPr>
        <w:t>brokers;</w:t>
      </w:r>
    </w:p>
    <w:p>
      <w:pPr>
        <w:spacing w:after="0" w:line="159" w:lineRule="exact"/>
        <w:rPr>
          <w:sz w:val="20"/>
          <w:szCs w:val="20"/>
          <w:color w:val="auto"/>
        </w:rPr>
      </w:pPr>
    </w:p>
    <w:p>
      <w:pPr>
        <w:jc w:val="both"/>
        <w:ind w:firstLine="1628"/>
        <w:spacing w:after="0" w:line="258" w:lineRule="auto"/>
        <w:tabs>
          <w:tab w:leader="none" w:pos="19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existing as of the Closing Date and disclosed in Schedule 1C and any replacements, renewals or extensions thereof; provided, that, with respect to any such replacement, renewal or extension, (i) the property covered thereby is not increased, (ii) the principal amount secured or benefited thereby is not increased except by an amount equal to fees and expenses reasonably incurred (or any paid-in-kind interest provided) in connection with any such replacement, renewal or extension, or the terms modified to impose materially more burdensome terms, taken as a whole, upon the Borrower or any Subsidiary, as the case may be (it being understood that an increase in the interest rate, fees and other pricing applicable thereto shall not be deemed to be materially more burdensome so long as such interest rate, fees and other pricing do not exceed the then applicable market interest rate, fees and other pricing), (iii) the direct or any contingent obligor with respect thereto is not changed and (iv) any replacement, renewal or extension of the underlying Indebtedness is Permitted Indebtedness;</w:t>
      </w:r>
    </w:p>
    <w:p>
      <w:pPr>
        <w:spacing w:after="0" w:line="145" w:lineRule="exact"/>
        <w:rPr>
          <w:rFonts w:ascii="Arial" w:cs="Arial" w:eastAsia="Arial" w:hAnsi="Arial"/>
          <w:sz w:val="16"/>
          <w:szCs w:val="16"/>
          <w:color w:val="auto"/>
        </w:rPr>
      </w:pPr>
    </w:p>
    <w:p>
      <w:pPr>
        <w:jc w:val="both"/>
        <w:ind w:firstLine="1628"/>
        <w:spacing w:after="0" w:line="230" w:lineRule="auto"/>
        <w:tabs>
          <w:tab w:leader="none" w:pos="1933"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Liens in favor of suppliers, carriers, warehousemen, mechanics, materialmen and landlords and other similar Liens granted in the ordinary course of business and for amounts not overdue or are being diligently contested in good faith by appropriate proceedings and for which adequate reserves in accordance with GAAP shall have been set aside on its books;</w:t>
      </w:r>
    </w:p>
    <w:p>
      <w:pPr>
        <w:spacing w:after="0" w:line="154" w:lineRule="exact"/>
        <w:rPr>
          <w:rFonts w:ascii="Arial" w:cs="Arial" w:eastAsia="Arial" w:hAnsi="Arial"/>
          <w:sz w:val="19"/>
          <w:szCs w:val="19"/>
          <w:color w:val="auto"/>
        </w:rPr>
      </w:pPr>
    </w:p>
    <w:p>
      <w:pPr>
        <w:jc w:val="both"/>
        <w:ind w:firstLine="1628"/>
        <w:spacing w:after="0" w:line="213" w:lineRule="auto"/>
        <w:tabs>
          <w:tab w:leader="none" w:pos="1932"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and appeal bonds or performance bonds;</w:t>
      </w:r>
    </w:p>
    <w:p>
      <w:pPr>
        <w:spacing w:after="0" w:line="155" w:lineRule="exact"/>
        <w:rPr>
          <w:rFonts w:ascii="Arial" w:cs="Arial" w:eastAsia="Arial" w:hAnsi="Arial"/>
          <w:sz w:val="20"/>
          <w:szCs w:val="20"/>
          <w:color w:val="auto"/>
        </w:rPr>
      </w:pPr>
    </w:p>
    <w:p>
      <w:pPr>
        <w:ind w:right="20" w:firstLine="1628"/>
        <w:spacing w:after="0" w:line="229" w:lineRule="auto"/>
        <w:tabs>
          <w:tab w:leader="none" w:pos="1933"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(or appeal or other surety bonds relating to such judgments) not constituting an Event of Default under Section 9.6;</w:t>
      </w:r>
    </w:p>
    <w:p>
      <w:pPr>
        <w:spacing w:after="0" w:line="155" w:lineRule="exact"/>
        <w:rPr>
          <w:rFonts w:ascii="Arial" w:cs="Arial" w:eastAsia="Arial" w:hAnsi="Arial"/>
          <w:sz w:val="20"/>
          <w:szCs w:val="20"/>
          <w:color w:val="auto"/>
        </w:rPr>
      </w:pPr>
    </w:p>
    <w:p>
      <w:pPr>
        <w:ind w:firstLine="1628"/>
        <w:spacing w:after="0" w:line="242" w:lineRule="auto"/>
        <w:tabs>
          <w:tab w:leader="none" w:pos="2581"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53" w:lineRule="exact"/>
        <w:rPr>
          <w:rFonts w:ascii="Arial" w:cs="Arial" w:eastAsia="Arial" w:hAnsi="Arial"/>
          <w:sz w:val="19"/>
          <w:szCs w:val="19"/>
          <w:color w:val="auto"/>
        </w:rPr>
      </w:pPr>
    </w:p>
    <w:p>
      <w:pPr>
        <w:jc w:val="both"/>
        <w:ind w:firstLine="1628"/>
        <w:spacing w:after="0" w:line="218" w:lineRule="auto"/>
        <w:tabs>
          <w:tab w:leader="none" w:pos="2583"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Liens for Taxes (A) not at the time delinquent or that are thereafter payable without penalty or (B) that are being diligently contested in good faith by appropriate proceedings and for which adequate reserves in accordance with GAAP shall have been set aside on the Loan Parties’ books;</w:t>
      </w:r>
    </w:p>
    <w:p>
      <w:pPr>
        <w:spacing w:after="0" w:line="156" w:lineRule="exact"/>
        <w:rPr>
          <w:rFonts w:ascii="Arial" w:cs="Arial" w:eastAsia="Arial" w:hAnsi="Arial"/>
          <w:sz w:val="20"/>
          <w:szCs w:val="20"/>
          <w:color w:val="auto"/>
        </w:rPr>
      </w:pPr>
    </w:p>
    <w:p>
      <w:pPr>
        <w:jc w:val="both"/>
        <w:ind w:firstLine="1628"/>
        <w:spacing w:after="0" w:line="221" w:lineRule="auto"/>
        <w:tabs>
          <w:tab w:leader="none" w:pos="1933"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Liens in connection with purchase money Indebtedness and Capital Leases, in each case, permitted by clause (vi) of “Permitted Indebtedness”; provided, that, (i) such liens exist prior to the acquisition of, or attach substantially simultaneously with, or within ninety (90) days after, the acquisition, lease, repair, improvement or construction of, such property financed or leased by such Indebtedness and (ii) such liens do not extend to any property of the Borrower or the applicable Subsidiary other than the property (and proceeds thereof) acquired, leased or built, or the improvements or repairs, financed by such Indebtedness;</w:t>
      </w:r>
    </w:p>
    <w:p>
      <w:pPr>
        <w:spacing w:after="0" w:line="155" w:lineRule="exact"/>
        <w:rPr>
          <w:rFonts w:ascii="Arial" w:cs="Arial" w:eastAsia="Arial" w:hAnsi="Arial"/>
          <w:sz w:val="19"/>
          <w:szCs w:val="19"/>
          <w:color w:val="auto"/>
        </w:rPr>
      </w:pPr>
    </w:p>
    <w:p>
      <w:pPr>
        <w:ind w:firstLine="1628"/>
        <w:spacing w:after="0" w:line="229" w:lineRule="auto"/>
        <w:tabs>
          <w:tab w:leader="none" w:pos="1932"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payments of custom duties that are promptly paid on or before the date they become due;</w:t>
      </w:r>
    </w:p>
    <w:p>
      <w:pPr>
        <w:spacing w:after="0" w:line="141" w:lineRule="exact"/>
        <w:rPr>
          <w:rFonts w:ascii="Arial" w:cs="Arial" w:eastAsia="Arial" w:hAnsi="Arial"/>
          <w:sz w:val="20"/>
          <w:szCs w:val="20"/>
          <w:color w:val="auto"/>
        </w:rPr>
      </w:pPr>
    </w:p>
    <w:p>
      <w:pPr>
        <w:ind w:left="1940" w:hanging="312"/>
        <w:spacing w:after="0"/>
        <w:tabs>
          <w:tab w:leader="none" w:pos="19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Liens on cash and Cash Equivalent Investments securing Indebtedness permitted by clause (viii) of “Permitted</w:t>
      </w:r>
    </w:p>
    <w:p>
      <w:pPr>
        <w:spacing w:after="0"/>
        <w:rPr>
          <w:rFonts w:ascii="Arial" w:cs="Arial" w:eastAsia="Arial" w:hAnsi="Arial"/>
          <w:sz w:val="19"/>
          <w:szCs w:val="19"/>
          <w:color w:val="auto"/>
        </w:rPr>
      </w:pPr>
      <w:r>
        <w:rPr>
          <w:rFonts w:ascii="Arial" w:cs="Arial" w:eastAsia="Arial" w:hAnsi="Arial"/>
          <w:sz w:val="20"/>
          <w:szCs w:val="20"/>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2" w:lineRule="exact"/>
        <w:rPr>
          <w:sz w:val="20"/>
          <w:szCs w:val="20"/>
          <w:color w:val="auto"/>
        </w:rPr>
      </w:pPr>
    </w:p>
    <w:p>
      <w:pPr>
        <w:jc w:val="both"/>
        <w:ind w:firstLine="1628"/>
        <w:spacing w:after="0" w:line="218" w:lineRule="auto"/>
        <w:tabs>
          <w:tab w:leader="none" w:pos="25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bankers’ liens, statutory and common law rights of setoff and other similar rights as to deposits of cash and securities in favor of Agents and other depository institutions; and (ii) Liens of a collection bank arising under Section 4-210 of the UCC on items in the course of collection;</w:t>
      </w:r>
    </w:p>
    <w:p>
      <w:pPr>
        <w:spacing w:after="0" w:line="156" w:lineRule="exact"/>
        <w:rPr>
          <w:rFonts w:ascii="Arial" w:cs="Arial" w:eastAsia="Arial" w:hAnsi="Arial"/>
          <w:sz w:val="20"/>
          <w:szCs w:val="20"/>
          <w:color w:val="auto"/>
        </w:rPr>
      </w:pPr>
    </w:p>
    <w:p>
      <w:pPr>
        <w:ind w:left="2600" w:hanging="972"/>
        <w:spacing w:after="0"/>
        <w:tabs>
          <w:tab w:leader="none" w:pos="2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Permitted Licenses;</w:t>
      </w:r>
    </w:p>
    <w:p>
      <w:pPr>
        <w:spacing w:after="0" w:line="175" w:lineRule="exact"/>
        <w:rPr>
          <w:rFonts w:ascii="Arial" w:cs="Arial" w:eastAsia="Arial" w:hAnsi="Arial"/>
          <w:sz w:val="20"/>
          <w:szCs w:val="20"/>
          <w:color w:val="auto"/>
        </w:rPr>
      </w:pPr>
    </w:p>
    <w:p>
      <w:pPr>
        <w:jc w:val="both"/>
        <w:ind w:firstLine="1628"/>
        <w:spacing w:after="0" w:line="244" w:lineRule="auto"/>
        <w:tabs>
          <w:tab w:leader="none" w:pos="25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nonexclusive licenses or sublicenses, leases or subleases of property (in each case, other than with respect to Intellectual Property) granted in the ordinary course of business (if, solely with respect to outbound licenses and leases of owned property, such leases and licenses do not prohibit the Borrower or any Subsidiary from granting the Agent a security interest in such property);</w:t>
      </w:r>
    </w:p>
    <w:p>
      <w:pPr>
        <w:spacing w:after="0" w:line="151" w:lineRule="exact"/>
        <w:rPr>
          <w:rFonts w:ascii="Arial" w:cs="Arial" w:eastAsia="Arial" w:hAnsi="Arial"/>
          <w:sz w:val="18"/>
          <w:szCs w:val="18"/>
          <w:color w:val="auto"/>
        </w:rPr>
      </w:pPr>
    </w:p>
    <w:p>
      <w:pPr>
        <w:ind w:left="2600" w:hanging="972"/>
        <w:spacing w:after="0"/>
        <w:tabs>
          <w:tab w:leader="none" w:pos="2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firstLine="1628"/>
        <w:spacing w:after="0" w:line="229" w:lineRule="auto"/>
        <w:tabs>
          <w:tab w:leader="none" w:pos="2585"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Liens not otherwise permitted by the other clauses of “Permitted Liens” securing obligations in an aggregate principal amount not to exceed Five Million Dollars ($5,000,000) at any time outstanding.</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“Permitted Transfers” means:</w:t>
      </w:r>
    </w:p>
    <w:p>
      <w:pPr>
        <w:spacing w:after="0" w:line="175" w:lineRule="exact"/>
        <w:rPr>
          <w:sz w:val="20"/>
          <w:szCs w:val="20"/>
          <w:color w:val="auto"/>
        </w:rPr>
      </w:pPr>
    </w:p>
    <w:p>
      <w:pPr>
        <w:ind w:left="1940" w:hanging="312"/>
        <w:spacing w:after="0"/>
        <w:tabs>
          <w:tab w:leader="none" w:pos="19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of Inventory in the ordinary course of business,</w:t>
      </w:r>
    </w:p>
    <w:p>
      <w:pPr>
        <w:spacing w:after="0" w:line="175" w:lineRule="exact"/>
        <w:rPr>
          <w:rFonts w:ascii="Arial" w:cs="Arial" w:eastAsia="Arial" w:hAnsi="Arial"/>
          <w:sz w:val="20"/>
          <w:szCs w:val="20"/>
          <w:color w:val="auto"/>
        </w:rPr>
      </w:pPr>
    </w:p>
    <w:p>
      <w:pPr>
        <w:ind w:firstLine="1628"/>
        <w:spacing w:after="0" w:line="229" w:lineRule="auto"/>
        <w:tabs>
          <w:tab w:leader="none" w:pos="194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of obsolete, damaged, worn out or surplus property in the ordinary course of business or property which is no longer used or useful in the business activities of the Borrower or its Subsidiaries,</w:t>
      </w:r>
    </w:p>
    <w:p>
      <w:pPr>
        <w:spacing w:after="0" w:line="155" w:lineRule="exact"/>
        <w:rPr>
          <w:rFonts w:ascii="Arial" w:cs="Arial" w:eastAsia="Arial" w:hAnsi="Arial"/>
          <w:sz w:val="20"/>
          <w:szCs w:val="20"/>
          <w:color w:val="auto"/>
        </w:rPr>
      </w:pPr>
    </w:p>
    <w:p>
      <w:pPr>
        <w:ind w:left="1960" w:hanging="332"/>
        <w:spacing w:after="0"/>
        <w:tabs>
          <w:tab w:leader="none" w:pos="1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Distributions permitted by Section 7.7,</w:t>
      </w:r>
    </w:p>
    <w:p>
      <w:pPr>
        <w:spacing w:after="0" w:line="175" w:lineRule="exact"/>
        <w:rPr>
          <w:rFonts w:ascii="Arial" w:cs="Arial" w:eastAsia="Arial" w:hAnsi="Arial"/>
          <w:sz w:val="20"/>
          <w:szCs w:val="20"/>
          <w:color w:val="auto"/>
        </w:rPr>
      </w:pPr>
    </w:p>
    <w:p>
      <w:pPr>
        <w:ind w:left="1940" w:hanging="312"/>
        <w:spacing w:after="0"/>
        <w:tabs>
          <w:tab w:leader="none" w:pos="19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consisting of Permitted Liens,</w:t>
      </w:r>
    </w:p>
    <w:p>
      <w:pPr>
        <w:spacing w:after="0" w:line="175" w:lineRule="exact"/>
        <w:rPr>
          <w:rFonts w:ascii="Arial" w:cs="Arial" w:eastAsia="Arial" w:hAnsi="Arial"/>
          <w:sz w:val="20"/>
          <w:szCs w:val="20"/>
          <w:color w:val="auto"/>
        </w:rPr>
      </w:pPr>
    </w:p>
    <w:p>
      <w:pPr>
        <w:ind w:left="1940" w:hanging="312"/>
        <w:spacing w:after="0"/>
        <w:tabs>
          <w:tab w:leader="none" w:pos="19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consisting of Permitted Investments,</w:t>
      </w:r>
    </w:p>
    <w:p>
      <w:pPr>
        <w:spacing w:after="0" w:line="175" w:lineRule="exact"/>
        <w:rPr>
          <w:rFonts w:ascii="Arial" w:cs="Arial" w:eastAsia="Arial" w:hAnsi="Arial"/>
          <w:sz w:val="20"/>
          <w:szCs w:val="20"/>
          <w:color w:val="auto"/>
        </w:rPr>
      </w:pPr>
    </w:p>
    <w:p>
      <w:pPr>
        <w:ind w:right="20" w:firstLine="1628"/>
        <w:spacing w:after="0" w:line="229" w:lineRule="auto"/>
        <w:tabs>
          <w:tab w:leader="none" w:pos="193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consisting of unpaid and overdue accounts receivables in connection with the collection, compromise or settlement thereof in the ordinary course of business and not as part of a financing transaction,</w:t>
      </w:r>
    </w:p>
    <w:p>
      <w:pPr>
        <w:spacing w:after="0" w:line="155" w:lineRule="exact"/>
        <w:rPr>
          <w:rFonts w:ascii="Arial" w:cs="Arial" w:eastAsia="Arial" w:hAnsi="Arial"/>
          <w:sz w:val="20"/>
          <w:szCs w:val="20"/>
          <w:color w:val="auto"/>
        </w:rPr>
      </w:pPr>
    </w:p>
    <w:p>
      <w:pPr>
        <w:ind w:left="2580" w:hanging="952"/>
        <w:spacing w:after="0"/>
        <w:tabs>
          <w:tab w:leader="none" w:pos="2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Permitted Licenses,</w:t>
      </w:r>
    </w:p>
    <w:p>
      <w:pPr>
        <w:spacing w:after="0" w:line="175" w:lineRule="exact"/>
        <w:rPr>
          <w:rFonts w:ascii="Arial" w:cs="Arial" w:eastAsia="Arial" w:hAnsi="Arial"/>
          <w:sz w:val="20"/>
          <w:szCs w:val="20"/>
          <w:color w:val="auto"/>
        </w:rPr>
      </w:pPr>
    </w:p>
    <w:p>
      <w:pPr>
        <w:ind w:right="20" w:firstLine="1628"/>
        <w:spacing w:after="0" w:line="229" w:lineRule="auto"/>
        <w:tabs>
          <w:tab w:leader="none" w:pos="258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of cash or Cash Equivalent Investments in the ordinary course of business and not otherwise prohibited by this Agreement or the other Loan Documents,</w:t>
      </w:r>
    </w:p>
    <w:p>
      <w:pPr>
        <w:spacing w:after="0" w:line="155" w:lineRule="exact"/>
        <w:rPr>
          <w:rFonts w:ascii="Arial" w:cs="Arial" w:eastAsia="Arial" w:hAnsi="Arial"/>
          <w:sz w:val="20"/>
          <w:szCs w:val="20"/>
          <w:color w:val="auto"/>
        </w:rPr>
      </w:pPr>
    </w:p>
    <w:p>
      <w:pPr>
        <w:ind w:firstLine="1628"/>
        <w:spacing w:after="0" w:line="229" w:lineRule="auto"/>
        <w:tabs>
          <w:tab w:leader="none" w:pos="1933"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abandonment or other disposition of any rights to Intellectual Property that are not material or are no longer used or useful in any material respect in the business of the Borrower and its Subsidiaries,</w:t>
      </w:r>
    </w:p>
    <w:p>
      <w:pPr>
        <w:spacing w:after="0" w:line="155" w:lineRule="exact"/>
        <w:rPr>
          <w:rFonts w:ascii="Arial" w:cs="Arial" w:eastAsia="Arial" w:hAnsi="Arial"/>
          <w:sz w:val="20"/>
          <w:szCs w:val="20"/>
          <w:color w:val="auto"/>
        </w:rPr>
      </w:pPr>
    </w:p>
    <w:p>
      <w:pPr>
        <w:ind w:firstLine="1628"/>
        <w:spacing w:after="0" w:line="229" w:lineRule="auto"/>
        <w:tabs>
          <w:tab w:leader="none" w:pos="19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Transfers to any Loan Party or any Subsidiary; provided, that, if the transferor of such property is a Loan Party, the transferee thereof must be a Loan Party,</w:t>
      </w:r>
    </w:p>
    <w:p>
      <w:pPr>
        <w:spacing w:after="0" w:line="155" w:lineRule="exact"/>
        <w:rPr>
          <w:rFonts w:ascii="Arial" w:cs="Arial" w:eastAsia="Arial" w:hAnsi="Arial"/>
          <w:sz w:val="20"/>
          <w:szCs w:val="20"/>
          <w:color w:val="auto"/>
        </w:rPr>
      </w:pPr>
    </w:p>
    <w:p>
      <w:pPr>
        <w:ind w:firstLine="1628"/>
        <w:spacing w:after="0" w:line="242" w:lineRule="auto"/>
        <w:tabs>
          <w:tab w:leader="none" w:pos="1933" w:val="left"/>
        </w:tabs>
        <w:numPr>
          <w:ilvl w:val="0"/>
          <w:numId w:val="28"/>
        </w:numPr>
        <w:rPr>
          <w:rFonts w:ascii="Arial" w:cs="Arial" w:eastAsia="Arial" w:hAnsi="Arial"/>
          <w:sz w:val="19"/>
          <w:szCs w:val="19"/>
          <w:color w:val="auto"/>
        </w:rPr>
      </w:pPr>
      <w:r>
        <w:rPr>
          <w:rFonts w:ascii="Arial" w:cs="Arial" w:eastAsia="Arial" w:hAnsi="Arial"/>
          <w:sz w:val="19"/>
          <w:szCs w:val="19"/>
          <w:color w:val="auto"/>
        </w:rPr>
        <w:t>Transfers of property to the extent that (i) such property is exchanged for credit against the purchase price of similar replacement property or (ii) the proceeds of such Transfer are applied to the purchase price of such replacement property,</w:t>
      </w:r>
    </w:p>
    <w:p>
      <w:pPr>
        <w:spacing w:after="0" w:line="153" w:lineRule="exact"/>
        <w:rPr>
          <w:rFonts w:ascii="Arial" w:cs="Arial" w:eastAsia="Arial" w:hAnsi="Arial"/>
          <w:sz w:val="19"/>
          <w:szCs w:val="19"/>
          <w:color w:val="auto"/>
        </w:rPr>
      </w:pPr>
    </w:p>
    <w:p>
      <w:pPr>
        <w:ind w:left="2580" w:hanging="952"/>
        <w:spacing w:after="0"/>
        <w:tabs>
          <w:tab w:leader="none" w:pos="25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[reserved],</w:t>
      </w:r>
    </w:p>
    <w:p>
      <w:pPr>
        <w:spacing w:after="0" w:line="173" w:lineRule="exact"/>
        <w:rPr>
          <w:rFonts w:ascii="Arial" w:cs="Arial" w:eastAsia="Arial" w:hAnsi="Arial"/>
          <w:sz w:val="20"/>
          <w:szCs w:val="20"/>
          <w:color w:val="auto"/>
        </w:rPr>
      </w:pPr>
    </w:p>
    <w:p>
      <w:pPr>
        <w:ind w:left="2600" w:hanging="972"/>
        <w:spacing w:after="0"/>
        <w:tabs>
          <w:tab w:leader="none" w:pos="2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Transfers of assets having a fair market value of not more than One Million Dollars ($1,000,000) in the</w:t>
      </w:r>
    </w:p>
    <w:p>
      <w:pPr>
        <w:spacing w:after="0"/>
        <w:rPr>
          <w:rFonts w:ascii="Arial" w:cs="Arial" w:eastAsia="Arial" w:hAnsi="Arial"/>
          <w:sz w:val="18"/>
          <w:szCs w:val="18"/>
          <w:color w:val="auto"/>
        </w:rPr>
      </w:pPr>
      <w:r>
        <w:rPr>
          <w:rFonts w:ascii="Arial" w:cs="Arial" w:eastAsia="Arial" w:hAnsi="Arial"/>
          <w:sz w:val="20"/>
          <w:szCs w:val="20"/>
          <w:color w:val="auto"/>
        </w:rPr>
        <w:t>aggregate in any fiscal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2" w:lineRule="exact"/>
        <w:rPr>
          <w:sz w:val="20"/>
          <w:szCs w:val="20"/>
          <w:color w:val="auto"/>
        </w:rPr>
      </w:pPr>
    </w:p>
    <w:p>
      <w:pPr>
        <w:jc w:val="both"/>
        <w:ind w:firstLine="1628"/>
        <w:spacing w:after="0" w:line="210" w:lineRule="auto"/>
        <w:tabs>
          <w:tab w:leader="none" w:pos="2585"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the disposition, unwinding or terminating of Hedging Agreements not entered into for speculative purposes or the transactions contemplated thereby, (ii) the issuance or sale of any Permitted Convertible Debt by the Borrower, (iii) the sale of any Permitted Warrant Transaction by the Borrower, (iv) the purchase of any Permitted Bond Hedge Transaction by the Borrower or (v) the performance by the Borrower of its obligations under any Permitted Convertible Debt, any Permitted Warrant Transaction or any Permitted Bond Hedge Transaction.</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“Permitted Warrant Transaction” means any call option, warrant or right to purchase (or substantively equivalent derivative transaction) relating to the Borrower’s common stock (or other securities or property following a merger event or other change of the common stock of the Borrower) and/or cash (in an amount determined by reference to the price of such common stock) sold by Borrower substantially concurrently with any purchase by the Borrower of a related Permitted Bond Hedge Transaction.</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“Pledge Agreement” means the Pledge Agreement dated as of the Closing Date between Borrower and Agent, as the same may from time to time be amended, restated, modified or otherwise supplemented.</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“Qualified Cash” means an amount equal to the aggregate amount of the Loan Parties’ Cash held in accounts subject to an Account Control Agreement in favor of Agent.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“Receivables” means (i) all of each Loan Party’s Accounts, Instruments, Documents, Chattel Paper, Supporting Obligations, letters of credit, proceeds of any letter of credit, and Letter of Credit Rights, and (ii) all customer lists, software, and business records related thereto.</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“Redemption Conditions” means, with respect to any redemption by any of the Loan Parties of any Permitted Convertible Debt, satisfaction of each of the following events: (a) no default or Event of Default shall exist or result therefrom, and (b) both immediately before and at all times after such redemption, the Loan Parties’ Qualified Cash shall be no less than one hundred fifty percent (150%) of the outstanding principal amount of the Term Loan Advances.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“Register” has the meaning specified in Section 11.7.</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“Required Lenders” means at any time, the holders of more than fifty percent (50%) of the sum of the aggregate unpaid principal amount of the Term Loan Advances then outstanding.</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“Sanctioned Country” means, at any time, a country or territory which is the subject or target of any Sanctions.</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“Secured Obligations” means each Loan Party’s obligations under this Agreement and any Loan Document (other than the Warrant), including any obligation to pay any amount now owing or later arising.</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56"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0"/>
          <w:szCs w:val="20"/>
          <w:color w:val="auto"/>
        </w:rPr>
        <w:t>“Subsidiary” means an entity, whether a corporation, partnership, limited liability company, joint venture or otherwise, in which Loan Party owns or controls, either directly or indirectly, fifty percent (50%) or more of the outstanding voting securities, including each entity listed on Schedule 1 hereto.</w:t>
      </w:r>
    </w:p>
    <w:p>
      <w:pPr>
        <w:spacing w:after="0" w:line="15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“T12M Revenue” means Borrower’s revenue (determined in accordance with GAAP), measured on a trailing twelve (12) month basis as of the date of the most recently delivered monthly financial statement in accordance with Section 7.1(a).</w:t>
      </w:r>
    </w:p>
    <w:p>
      <w:pPr>
        <w:spacing w:after="0" w:line="15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“Term Loan Advance” means each Tranche 1 Advance, Tranche 2 Advance and any other Term Loan funds advanced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this Agreement.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“Term Loan Interest Rate” means for any day a per annum rate of interest equal to the greater of either (i) (x) the prime rate as reported in The Wall Street Journal plus (y) six and fifteenth one hundredths percent (6.15%), and (ii) nine and forty one hundredths percent (9.40%).</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“Term Loan Maturity Date” means May 1, 2026; provided that if such day is not a Business Day, the Term Loan Maturity Date shall be the immediately preceding Business Day.</w:t>
      </w:r>
    </w:p>
    <w:p>
      <w:pPr>
        <w:spacing w:after="0" w:line="169" w:lineRule="exact"/>
        <w:rPr>
          <w:sz w:val="20"/>
          <w:szCs w:val="20"/>
          <w:color w:val="auto"/>
        </w:rPr>
      </w:pPr>
    </w:p>
    <w:p>
      <w:pPr>
        <w:ind w:right="540" w:firstLine="1296"/>
        <w:spacing w:after="0" w:line="368" w:lineRule="auto"/>
        <w:rPr>
          <w:sz w:val="20"/>
          <w:szCs w:val="20"/>
          <w:color w:val="auto"/>
        </w:rPr>
      </w:pPr>
      <w:r>
        <w:rPr>
          <w:rFonts w:ascii="Arial" w:cs="Arial" w:eastAsia="Arial" w:hAnsi="Arial"/>
          <w:sz w:val="16"/>
          <w:szCs w:val="16"/>
          <w:color w:val="auto"/>
        </w:rPr>
        <w:t>“Termination Date” means the date on which all Obligations (other than contingent indemnity and reimbursement obligations for which no claim has been asserted) have been paid in full in cash and the Term Commitment shall have been terminated.</w:t>
      </w:r>
    </w:p>
    <w:p>
      <w:pPr>
        <w:spacing w:after="0" w:line="8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“Testing Period” means each fiscal quarter, in which Borrower has failed to maintain its unrestricted Qualified Cash in an amount greater than or equal to Sixty Million Dollars ($60,000,000), to be tested on the last day of each month in such fiscal quarter and measured as the average amount for the last five days of each month.</w:t>
      </w:r>
    </w:p>
    <w:p>
      <w:pPr>
        <w:spacing w:after="0" w:line="16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“Trademark License” means any written agreement granting any right to use any Trademark or Trademark registration, now owned or hereafter acquired by any Loan Party or in which any Loan Party now holds or hereafter acquires any interest.</w:t>
      </w:r>
    </w:p>
    <w:p>
      <w:pPr>
        <w:spacing w:after="0" w:line="130"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2"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“U.S. Person” means any Person that is a “United States person” as defined in Section 7701(a)(30) of the Code.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The following terms are defined in the Sections or subsections referenced opposite such terms:</w:t>
      </w:r>
    </w:p>
    <w:p>
      <w:pPr>
        <w:spacing w:after="0" w:line="232" w:lineRule="exact"/>
        <w:rPr>
          <w:sz w:val="20"/>
          <w:szCs w:val="20"/>
          <w:color w:val="auto"/>
        </w:rPr>
      </w:pPr>
    </w:p>
    <w:tbl>
      <w:tblPr>
        <w:tblLayout w:type="fixed"/>
        <w:tblInd w:w="1930" w:type="dxa"/>
        <w:tblCellMar>
          <w:top w:w="0" w:type="dxa"/>
          <w:left w:w="0" w:type="dxa"/>
          <w:bottom w:w="0" w:type="dxa"/>
          <w:right w:w="0" w:type="dxa"/>
        </w:tblCellMar>
      </w:tblPr>
      <w:tr>
        <w:trPr>
          <w:trHeight w:val="243"/>
        </w:trPr>
        <w:tc>
          <w:tcPr>
            <w:tcW w:w="2700" w:type="dxa"/>
            <w:vAlign w:val="bottom"/>
            <w:tcBorders>
              <w:left w:val="single" w:sz="8" w:color="auto"/>
              <w:bottom w:val="single" w:sz="8" w:color="666666"/>
              <w:right w:val="single" w:sz="8" w:color="auto"/>
            </w:tcBorders>
            <w:shd w:val="clear" w:color="auto" w:fill="000000"/>
          </w:tcPr>
          <w:p>
            <w:pPr>
              <w:ind w:left="60"/>
              <w:spacing w:after="0"/>
              <w:rPr>
                <w:sz w:val="20"/>
                <w:szCs w:val="20"/>
                <w:color w:val="auto"/>
              </w:rPr>
            </w:pPr>
            <w:r>
              <w:rPr>
                <w:rFonts w:ascii="Arial" w:cs="Arial" w:eastAsia="Arial" w:hAnsi="Arial"/>
                <w:sz w:val="20"/>
                <w:szCs w:val="20"/>
                <w:b w:val="1"/>
                <w:bCs w:val="1"/>
                <w:color w:val="FFFFFF"/>
              </w:rPr>
              <w:t>Defined Term</w:t>
            </w:r>
          </w:p>
        </w:tc>
        <w:tc>
          <w:tcPr>
            <w:tcW w:w="2420" w:type="dxa"/>
            <w:vAlign w:val="bottom"/>
            <w:tcBorders>
              <w:bottom w:val="single" w:sz="8" w:color="666666"/>
              <w:right w:val="single" w:sz="8" w:color="auto"/>
            </w:tcBorders>
            <w:shd w:val="clear" w:color="auto" w:fill="000000"/>
          </w:tcPr>
          <w:p>
            <w:pPr>
              <w:ind w:left="40"/>
              <w:spacing w:after="0"/>
              <w:rPr>
                <w:sz w:val="20"/>
                <w:szCs w:val="20"/>
                <w:color w:val="auto"/>
              </w:rPr>
            </w:pPr>
            <w:r>
              <w:rPr>
                <w:rFonts w:ascii="Arial" w:cs="Arial" w:eastAsia="Arial" w:hAnsi="Arial"/>
                <w:sz w:val="20"/>
                <w:szCs w:val="20"/>
                <w:b w:val="1"/>
                <w:bCs w:val="1"/>
                <w:color w:val="FFFFFF"/>
              </w:rPr>
              <w:t>Section</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Agent</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Preamble</w:t>
            </w:r>
          </w:p>
        </w:tc>
      </w:tr>
      <w:tr>
        <w:trPr>
          <w:trHeight w:val="236"/>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Assignee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11.14</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Borrower</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Preamble</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Claims</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11.11</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Collateral</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3.1</w:t>
            </w:r>
          </w:p>
        </w:tc>
      </w:tr>
      <w:tr>
        <w:trPr>
          <w:trHeight w:val="236"/>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Confidential Information</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11.13</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End of Term Charge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2.6</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Event of Default</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9</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Financial Statements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7.1</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Indemnified Person</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6.3</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Lenders</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Preamble</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Liabilities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6.3</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Maximum Rate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2.3</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Open-Source License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5.10</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Prepayment Charge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2.5</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Publicity Materials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11.19</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Register</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11.7</w:t>
            </w:r>
          </w:p>
        </w:tc>
      </w:tr>
      <w:tr>
        <w:trPr>
          <w:trHeight w:val="237"/>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Rights to Payment</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3.1</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Tranche 1 Advance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2.2(a)</w:t>
            </w:r>
          </w:p>
        </w:tc>
      </w:tr>
      <w:tr>
        <w:trPr>
          <w:trHeight w:val="237"/>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Arial" w:cs="Arial" w:eastAsia="Arial" w:hAnsi="Arial"/>
                <w:sz w:val="20"/>
                <w:szCs w:val="20"/>
                <w:b w:val="1"/>
                <w:bCs w:val="1"/>
                <w:color w:val="auto"/>
              </w:rPr>
              <w:t>Tranche 2 Advance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Arial" w:cs="Arial" w:eastAsia="Arial" w:hAnsi="Arial"/>
                <w:sz w:val="20"/>
                <w:szCs w:val="20"/>
                <w:color w:val="auto"/>
              </w:rPr>
              <w:t>2.2(a)</w:t>
            </w:r>
          </w:p>
        </w:tc>
      </w:tr>
      <w:tr>
        <w:trPr>
          <w:trHeight w:val="236"/>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0"/>
                <w:szCs w:val="20"/>
                <w:b w:val="1"/>
                <w:bCs w:val="1"/>
                <w:color w:val="auto"/>
              </w:rPr>
              <w:t>Transfer</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Arial" w:cs="Arial" w:eastAsia="Arial" w:hAnsi="Arial"/>
                <w:sz w:val="20"/>
                <w:szCs w:val="20"/>
                <w:color w:val="auto"/>
              </w:rPr>
              <w:t>7.8</w:t>
            </w:r>
          </w:p>
        </w:tc>
      </w:tr>
    </w:tbl>
    <w:p>
      <w:pPr>
        <w:spacing w:after="0" w:line="200" w:lineRule="exact"/>
        <w:rPr>
          <w:sz w:val="20"/>
          <w:szCs w:val="20"/>
          <w:color w:val="auto"/>
        </w:rPr>
      </w:pPr>
    </w:p>
    <w:p>
      <w:pPr>
        <w:spacing w:after="0" w:line="323"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2"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THE LOAN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Term Loan Advances.</w:t>
      </w:r>
    </w:p>
    <w:p>
      <w:pPr>
        <w:spacing w:after="0" w:line="175" w:lineRule="exact"/>
        <w:rPr>
          <w:sz w:val="20"/>
          <w:szCs w:val="20"/>
          <w:color w:val="auto"/>
        </w:rPr>
      </w:pPr>
    </w:p>
    <w:p>
      <w:pPr>
        <w:jc w:val="both"/>
        <w:ind w:left="660" w:firstLine="644"/>
        <w:spacing w:after="0" w:line="226" w:lineRule="auto"/>
        <w:tabs>
          <w:tab w:leader="none" w:pos="19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Advances. Subject to the terms and conditions of this Agreement, the Lenders will severally (and not jointly) make in an amount not to exceed its respective Term Commitment, and Borrower agrees to draw, a Term Loan Advance of Twenty Million Dollars ($20,000,000) on the Closing Date (the “Initial Tranche 1 Advance”). Subject to the terms and conditions of this Agreement, on or before March 15, 2023, Borrower may request, additional Term Loan Advances in an aggregate principal amount of Twenty Million Dollars ($20,000,000) (the “Subsequent Tranche 1 Advance”, together with the Initial Tranche 1 Advance, collectively referred to as “Tranche 1 Advance”). Further, subject to the (i) terms and conditions of this Agreement, and (ii) achievement of the Performance Milestone by the Borrower, on or before June 15, 2023, Borrower may request, additional Term Loan Advances in an aggregate principal amount of Ten Million Dollars ($10,000,000) (the “Tranche 2 Advance”). The minimum amount of each Subsequent Tranche 1 Advance and each Tranche 2 Advance shall be Two Million Five Hundred Thousand Dollars ($2,500,000). The aggregate outstanding Term Loan Advances may be up to the Maximum Term Loan Amount.</w:t>
      </w:r>
    </w:p>
    <w:p>
      <w:pPr>
        <w:spacing w:after="0" w:line="156" w:lineRule="exact"/>
        <w:rPr>
          <w:rFonts w:ascii="Arial" w:cs="Arial" w:eastAsia="Arial" w:hAnsi="Arial"/>
          <w:sz w:val="18"/>
          <w:szCs w:val="18"/>
          <w:color w:val="auto"/>
        </w:rPr>
      </w:pPr>
    </w:p>
    <w:p>
      <w:pPr>
        <w:jc w:val="both"/>
        <w:ind w:left="660" w:firstLine="644"/>
        <w:spacing w:after="0" w:line="236" w:lineRule="auto"/>
        <w:tabs>
          <w:tab w:leader="none" w:pos="19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57"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Interest.</w:t>
      </w:r>
    </w:p>
    <w:p>
      <w:pPr>
        <w:spacing w:after="0" w:line="175" w:lineRule="exact"/>
        <w:rPr>
          <w:rFonts w:ascii="Arial" w:cs="Arial" w:eastAsia="Arial" w:hAnsi="Arial"/>
          <w:sz w:val="20"/>
          <w:szCs w:val="20"/>
          <w:color w:val="auto"/>
        </w:rPr>
      </w:pPr>
    </w:p>
    <w:p>
      <w:pPr>
        <w:jc w:val="both"/>
        <w:ind w:left="1300" w:firstLine="652"/>
        <w:spacing w:after="0" w:line="210" w:lineRule="auto"/>
        <w:tabs>
          <w:tab w:leader="none" w:pos="259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Term Loan Interest Rate. The principal balance of each Term Loan Advance shall bear interest thereon from such Advance Date at the Term Loan Interest Rate based on a year consisting of 360 days, with interest computed daily based on the actual number of days elapsed. The Term Loan Interest Rate will float and change on the day the “prime rate” as reported in The Wall Street Journal or if such publication is not available, a similar national publication, changes from time to time.</w:t>
      </w:r>
    </w:p>
    <w:p>
      <w:pPr>
        <w:spacing w:after="0" w:line="154" w:lineRule="exact"/>
        <w:rPr>
          <w:rFonts w:ascii="Arial" w:cs="Arial" w:eastAsia="Arial" w:hAnsi="Arial"/>
          <w:sz w:val="20"/>
          <w:szCs w:val="20"/>
          <w:color w:val="auto"/>
        </w:rPr>
      </w:pPr>
    </w:p>
    <w:p>
      <w:pPr>
        <w:jc w:val="both"/>
        <w:ind w:left="660" w:firstLine="644"/>
        <w:spacing w:after="0" w:line="225" w:lineRule="auto"/>
        <w:tabs>
          <w:tab w:leader="none" w:pos="1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plus all accrued but unpaid interest (the “Monthly Repayment”)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Notwithstanding the foregoing sentence, in the event that Borrower achieves the Interest Only Milestone, then Borrower shall not be required to make the Monthly Repayment and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2" w:lineRule="exact"/>
        <w:rPr>
          <w:sz w:val="20"/>
          <w:szCs w:val="20"/>
          <w:color w:val="auto"/>
        </w:rPr>
      </w:pPr>
    </w:p>
    <w:p>
      <w:pPr>
        <w:jc w:val="both"/>
        <w:ind w:left="660"/>
        <w:spacing w:after="0" w:line="213" w:lineRule="auto"/>
        <w:rPr>
          <w:sz w:val="20"/>
          <w:szCs w:val="20"/>
          <w:color w:val="auto"/>
        </w:rPr>
      </w:pPr>
      <w:r>
        <w:rPr>
          <w:rFonts w:ascii="Arial" w:cs="Arial" w:eastAsia="Arial" w:hAnsi="Arial"/>
          <w:sz w:val="19"/>
          <w:szCs w:val="19"/>
          <w:color w:val="auto"/>
        </w:rPr>
        <w:t>payment date of all periodic obligations payable to the Lenders under each Term Loan Advance and (ii)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spacing w:after="0" w:line="15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2.4 Default Interest. In the event any payment is not paid on the scheduled payment date, other than due to a failure of any ACH debit due solely to an administrative or operational error of Agent or Lender or the Borrower’s bank if the Borrower had the funds to make the payment when due and makes the payment within three (3) Business Days following the Borrower’s knowledge of such failure to pay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four percent (4%) per annum. In the event any interest is not paid when due hereunder, delinquent interest shall be added to principal and shall bear interest on interest, compounded at the rate set forth in Section 2.2(c) or Section 2.4, as applicable.</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2.5 Prepayment. At its option, Borrower may prepay all, or a portion of the outstanding Advances by paying the entire principal balance (or such portion thereof), all accrued and unpaid interest thereon, together with a prepayment charge equal to the following percentage of the Advance amount being prepaid: with respect to each Advance, if such Advance amounts are prepaid in any of the first twelve (12) months following the Closing Date, two and one-half percent (2.50%); after twelve (12) months following the Closing Date but prior to twenty four (24) months following the Closing Date, one and one-half percent (1.50%); and thereafter but prior to and excluding the Term Loan Maturity Date, one percent (1.00%) (each, a “Prepayment Charge”).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resulting from an early repayment of the Advances. Borrower shall prepay the outstanding amount of all principal and accrued interest through the prepayment date and the Prepayment Charge upon the occurrence of a Change in Control or any other prepayment hereunder. Any amounts paid under this Section shall be applied by Agent to the then unpaid amount of any Secured Obligations (including principal and interest) pro rata to all scheduled amounts owed. For the avoidance of doubt, if a payment hereunder becomes due and payable on a day that is not a Business Day, the due date thereof shall be the immediately preceding Business Day.</w:t>
      </w:r>
    </w:p>
    <w:p>
      <w:pPr>
        <w:spacing w:after="0" w:line="15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2.6 End of Term Charge. On the earliest to occur of (i) the Term Loan Maturity Date, (ii) the date that Borrower prepays the outstanding Secured Obligations (other than any inchoate indemnity obligations and any other obligations which, by their terms, are to survive the termination of this Agreement) in full, and (iii) the date that the Secured Obligations become due and payable in full pursuant to the terms of this Agreement, Borrower shall pay Lenders a charge of seven and forty-five one hundredths percent (7.45%) of the aggregate original principal amount of the Term Loan Advances made hereunder (the “End of Term Charge”). Notwithstanding the required payment date of such End of Term Charge, the applicable pro rata portion of the End of Term Charge shall be deemed earned by Lenders on the date the applicable Term Loan Advance is made. For the avoidance of doubt, if a payment hereunder becomes due and payable on a day that is not a Business Day, the due date thereof shall be the immediately preceding Business Day.</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2.7 Pro Rata Treatment. Each payment (including prepayment) on account of any fee and any reduction of the Term Loan Advances shall be made pro rata according to the Term Commitments of the relevant Lender.</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2.8 Taxes; Increased Costs. The Borrower, the Agent and the Lenders each hereby agree to the terms and conditions set forth on Addendum 1 attached hereto.</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2.9 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 Advances.</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SECURITY INTEREST</w:t>
      </w:r>
    </w:p>
    <w:p>
      <w:pPr>
        <w:spacing w:after="0" w:line="181"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3.1 As security for the prompt and complete payment when due (whether on the payment dates or otherwise) of all the Secured Obligations, each Loan Party grants to Agent a security interest in all of such Loan Party’s right, title, and interest in, to and under all of each Loan Party’s personal property and other assets including without limitation the following (except as set forth herein) whether now owned or hereafter acquired (collectively, the “Collateral”): (a) Receivables; (b) Equipment; (c) Fixtures; (d) General Intangibles (including Intellectual Property); (e) Inventory; (f) Investment Property; (g) Deposit Accounts; (h) Cash; (i) Goods; and all other tangible and intangible personal property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Loan Party whether now or hereafter owned or existing, leased, consigned by or to, or acquired by, any Loan Party and wherever located, and any of the Loan Parties’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15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3.2 Notwithstanding the broad grant of the security interest set forth in Section 3.1, above, the Collateral shall not include any Excluded Property.</w:t>
      </w:r>
    </w:p>
    <w:p>
      <w:pPr>
        <w:spacing w:after="0" w:line="14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u w:val="single" w:color="auto"/>
          <w:color w:val="auto"/>
        </w:rPr>
        <w:t>CONDITIONS PRECEDENT TO LOAN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the Lenders to make the Loan hereunder are subject to the satisfaction by Borrower of the following conditions: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Initial Advance. On or prior to the Closing Date, Borrower shall have delivered to Agent the following:</w:t>
      </w:r>
    </w:p>
    <w:p>
      <w:pPr>
        <w:spacing w:after="0" w:line="175" w:lineRule="exact"/>
        <w:rPr>
          <w:sz w:val="20"/>
          <w:szCs w:val="20"/>
          <w:color w:val="auto"/>
        </w:rPr>
      </w:pPr>
    </w:p>
    <w:p>
      <w:pPr>
        <w:jc w:val="both"/>
        <w:ind w:left="660" w:firstLine="644"/>
        <w:spacing w:after="0" w:line="230" w:lineRule="auto"/>
        <w:tabs>
          <w:tab w:leader="none" w:pos="1946" w:val="left"/>
        </w:tabs>
        <w:numPr>
          <w:ilvl w:val="0"/>
          <w:numId w:val="31"/>
        </w:numPr>
        <w:rPr>
          <w:rFonts w:ascii="Arial" w:cs="Arial" w:eastAsia="Arial" w:hAnsi="Arial"/>
          <w:sz w:val="19"/>
          <w:szCs w:val="19"/>
          <w:color w:val="auto"/>
        </w:rPr>
      </w:pPr>
      <w:r>
        <w:rPr>
          <w:rFonts w:ascii="Arial" w:cs="Arial" w:eastAsia="Arial" w:hAnsi="Arial"/>
          <w:sz w:val="19"/>
          <w:szCs w:val="19"/>
          <w:color w:val="auto"/>
        </w:rPr>
        <w:t>executed copies of the Loan Documents, Account Control Agreement from Silicon Valley Bank,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54" w:lineRule="exact"/>
        <w:rPr>
          <w:rFonts w:ascii="Arial" w:cs="Arial" w:eastAsia="Arial" w:hAnsi="Arial"/>
          <w:sz w:val="19"/>
          <w:szCs w:val="19"/>
          <w:color w:val="auto"/>
        </w:rPr>
      </w:pPr>
    </w:p>
    <w:p>
      <w:pPr>
        <w:ind w:left="1940" w:hanging="636"/>
        <w:spacing w:after="0"/>
        <w:tabs>
          <w:tab w:leader="none" w:pos="19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legal opinion of Borrower’s counsel in form and substance reasonably acceptable to Agent,</w:t>
      </w:r>
    </w:p>
    <w:p>
      <w:pPr>
        <w:spacing w:after="0" w:line="175" w:lineRule="exact"/>
        <w:rPr>
          <w:rFonts w:ascii="Arial" w:cs="Arial" w:eastAsia="Arial" w:hAnsi="Arial"/>
          <w:sz w:val="20"/>
          <w:szCs w:val="20"/>
          <w:color w:val="auto"/>
        </w:rPr>
      </w:pPr>
    </w:p>
    <w:p>
      <w:pPr>
        <w:jc w:val="both"/>
        <w:ind w:left="660" w:firstLine="644"/>
        <w:spacing w:after="0" w:line="218" w:lineRule="auto"/>
        <w:tabs>
          <w:tab w:leader="none" w:pos="1946" w:val="left"/>
        </w:tabs>
        <w:numPr>
          <w:ilvl w:val="0"/>
          <w:numId w:val="31"/>
        </w:numPr>
        <w:rPr>
          <w:rFonts w:ascii="Arial" w:cs="Arial" w:eastAsia="Arial" w:hAnsi="Arial"/>
          <w:sz w:val="20"/>
          <w:szCs w:val="20"/>
          <w:color w:val="auto"/>
        </w:rPr>
      </w:pPr>
      <w:r>
        <w:rPr>
          <w:rFonts w:ascii="Arial" w:cs="Arial" w:eastAsia="Arial" w:hAnsi="Arial"/>
          <w:sz w:val="20"/>
          <w:szCs w:val="20"/>
          <w:color w:val="auto"/>
        </w:rPr>
        <w:t>certified copy of resolutions of each of the Loan Parties’ Board evidencing approval of (i) the Loan and other transactions evidenced by the Loan Documents; and (ii) with respect to the Borrower, the Warrant and transactions evidenced thereby;</w:t>
      </w:r>
    </w:p>
    <w:p>
      <w:pPr>
        <w:spacing w:after="0" w:line="156" w:lineRule="exact"/>
        <w:rPr>
          <w:rFonts w:ascii="Arial" w:cs="Arial" w:eastAsia="Arial" w:hAnsi="Arial"/>
          <w:sz w:val="20"/>
          <w:szCs w:val="20"/>
          <w:color w:val="auto"/>
        </w:rPr>
      </w:pPr>
    </w:p>
    <w:p>
      <w:pPr>
        <w:ind w:left="660" w:firstLine="644"/>
        <w:spacing w:after="0" w:line="229" w:lineRule="auto"/>
        <w:tabs>
          <w:tab w:leader="none" w:pos="1944" w:val="left"/>
        </w:tabs>
        <w:numPr>
          <w:ilvl w:val="0"/>
          <w:numId w:val="31"/>
        </w:numPr>
        <w:rPr>
          <w:rFonts w:ascii="Arial" w:cs="Arial" w:eastAsia="Arial" w:hAnsi="Arial"/>
          <w:sz w:val="20"/>
          <w:szCs w:val="20"/>
          <w:color w:val="auto"/>
        </w:rPr>
      </w:pPr>
      <w:r>
        <w:rPr>
          <w:rFonts w:ascii="Arial" w:cs="Arial" w:eastAsia="Arial" w:hAnsi="Arial"/>
          <w:sz w:val="20"/>
          <w:szCs w:val="20"/>
          <w:color w:val="auto"/>
        </w:rPr>
        <w:t>certified copies of the Certificate of Incorporation or Certificate of Formation, as applicable, and the Bylaws or the operating agreement, as applicable, as amended through the Closing Date, of each Loan Party;</w:t>
      </w:r>
    </w:p>
    <w:p>
      <w:pPr>
        <w:spacing w:after="0" w:line="155" w:lineRule="exact"/>
        <w:rPr>
          <w:rFonts w:ascii="Arial" w:cs="Arial" w:eastAsia="Arial" w:hAnsi="Arial"/>
          <w:sz w:val="20"/>
          <w:szCs w:val="20"/>
          <w:color w:val="auto"/>
        </w:rPr>
      </w:pPr>
    </w:p>
    <w:p>
      <w:pPr>
        <w:ind w:left="660" w:firstLine="644"/>
        <w:spacing w:after="0" w:line="242" w:lineRule="auto"/>
        <w:tabs>
          <w:tab w:leader="none" w:pos="1946"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certificate of good standing for each of the Loan Parties’ from its state of incorporation and similar certificates from all other jurisdictions in which it does business and where the failure to be qualified could have a Material Adverse Effect;</w:t>
      </w:r>
    </w:p>
    <w:p>
      <w:pPr>
        <w:spacing w:after="0" w:line="153" w:lineRule="exact"/>
        <w:rPr>
          <w:rFonts w:ascii="Arial" w:cs="Arial" w:eastAsia="Arial" w:hAnsi="Arial"/>
          <w:sz w:val="19"/>
          <w:szCs w:val="19"/>
          <w:color w:val="auto"/>
        </w:rPr>
      </w:pPr>
    </w:p>
    <w:p>
      <w:pPr>
        <w:ind w:left="660" w:firstLine="644"/>
        <w:spacing w:after="0" w:line="229" w:lineRule="auto"/>
        <w:tabs>
          <w:tab w:leader="none" w:pos="1951"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payment of the Due Diligence Fee, Initial Facility Charge and reimbursement of Agent’s and the Lenders’ current expenses reimbursable pursuant to this Agreement, which amounts may be deducted from the initial Advance;</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such other documents as Agent may reasonably request.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All Advances. On each Advance Date:</w:t>
      </w:r>
    </w:p>
    <w:p>
      <w:pPr>
        <w:spacing w:after="0" w:line="175" w:lineRule="exact"/>
        <w:rPr>
          <w:sz w:val="20"/>
          <w:szCs w:val="20"/>
          <w:color w:val="auto"/>
        </w:rPr>
      </w:pPr>
    </w:p>
    <w:p>
      <w:pPr>
        <w:jc w:val="both"/>
        <w:ind w:left="660" w:firstLine="644"/>
        <w:spacing w:after="0" w:line="218" w:lineRule="auto"/>
        <w:tabs>
          <w:tab w:leader="none" w:pos="1946" w:val="left"/>
        </w:tabs>
        <w:numPr>
          <w:ilvl w:val="0"/>
          <w:numId w:val="32"/>
        </w:numPr>
        <w:rPr>
          <w:rFonts w:ascii="Arial" w:cs="Arial" w:eastAsia="Arial" w:hAnsi="Arial"/>
          <w:sz w:val="20"/>
          <w:szCs w:val="20"/>
          <w:color w:val="auto"/>
        </w:rPr>
      </w:pPr>
      <w:r>
        <w:rPr>
          <w:rFonts w:ascii="Arial" w:cs="Arial" w:eastAsia="Arial" w:hAnsi="Arial"/>
          <w:sz w:val="20"/>
          <w:szCs w:val="20"/>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82" w:lineRule="exact"/>
        <w:rPr>
          <w:sz w:val="20"/>
          <w:szCs w:val="20"/>
          <w:color w:val="auto"/>
        </w:rPr>
      </w:pPr>
    </w:p>
    <w:p>
      <w:pPr>
        <w:jc w:val="both"/>
        <w:ind w:left="660" w:firstLine="644"/>
        <w:spacing w:after="0" w:line="218" w:lineRule="auto"/>
        <w:tabs>
          <w:tab w:leader="none" w:pos="19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Loan Parties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 respect to any Tranche 2 Advance, Borrower shall have achieved the Performance Milestone;</w:t>
      </w:r>
    </w:p>
    <w:p>
      <w:pPr>
        <w:spacing w:after="0" w:line="175" w:lineRule="exact"/>
        <w:rPr>
          <w:rFonts w:ascii="Arial" w:cs="Arial" w:eastAsia="Arial" w:hAnsi="Arial"/>
          <w:sz w:val="20"/>
          <w:szCs w:val="20"/>
          <w:color w:val="auto"/>
        </w:rPr>
      </w:pPr>
    </w:p>
    <w:p>
      <w:pPr>
        <w:jc w:val="both"/>
        <w:ind w:left="660" w:firstLine="644"/>
        <w:spacing w:after="0" w:line="218" w:lineRule="auto"/>
        <w:tabs>
          <w:tab w:leader="none" w:pos="19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5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4.4 Post-Close Obligations. Notwithstanding any provision herein or in any other Loan Document to the contrary, to the extent not actually delivered on or prior to the Closing Date, Borrower shall use commercially reasonable efforts to deliver to Agent (or its designated agent):</w:t>
      </w:r>
    </w:p>
    <w:p>
      <w:pPr>
        <w:spacing w:after="0" w:line="170" w:lineRule="exact"/>
        <w:rPr>
          <w:sz w:val="20"/>
          <w:szCs w:val="20"/>
          <w:color w:val="auto"/>
        </w:rPr>
      </w:pPr>
    </w:p>
    <w:p>
      <w:pPr>
        <w:ind w:left="660" w:firstLine="644"/>
        <w:spacing w:after="0" w:line="300" w:lineRule="auto"/>
        <w:tabs>
          <w:tab w:leader="none" w:pos="19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thirty (30) days of the Closing Date (or such later date as the Agent may agree to in writing), duly executed landlord’s consent for each of Borrower’s leased locations at 350 Treat Avenue, San Francisco, California, by the landlord thereof.</w:t>
      </w:r>
    </w:p>
    <w:p>
      <w:pPr>
        <w:spacing w:after="0" w:line="130" w:lineRule="exact"/>
        <w:rPr>
          <w:rFonts w:ascii="Arial" w:cs="Arial" w:eastAsia="Arial" w:hAnsi="Arial"/>
          <w:sz w:val="18"/>
          <w:szCs w:val="18"/>
          <w:color w:val="auto"/>
        </w:rPr>
      </w:pPr>
    </w:p>
    <w:p>
      <w:pPr>
        <w:jc w:val="both"/>
        <w:ind w:left="660" w:firstLine="644"/>
        <w:spacing w:after="0" w:line="275" w:lineRule="auto"/>
        <w:tabs>
          <w:tab w:leader="none" w:pos="1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thirty (30) days of the Closing Date (or such later date as the Agent may agree to in writing), all certificates of insurance and copies of each insurance policy required hereunder together with additional insured endorsements for liability and lender’s loss payable endorsements for all risk property damage insurance as required hereunder.</w:t>
      </w:r>
    </w:p>
    <w:p>
      <w:pPr>
        <w:spacing w:after="0" w:line="152" w:lineRule="exact"/>
        <w:rPr>
          <w:rFonts w:ascii="Arial" w:cs="Arial" w:eastAsia="Arial" w:hAnsi="Arial"/>
          <w:sz w:val="18"/>
          <w:szCs w:val="18"/>
          <w:color w:val="auto"/>
        </w:rPr>
      </w:pPr>
    </w:p>
    <w:p>
      <w:pPr>
        <w:jc w:val="both"/>
        <w:ind w:left="660" w:firstLine="644"/>
        <w:spacing w:after="0" w:line="237" w:lineRule="auto"/>
        <w:tabs>
          <w:tab w:leader="none" w:pos="1946"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Within twenty (20) days of the Closing Date (or such later date as the Agent may agree to in writing), duly executed Account Control Agreements for each of Loan Parties’ Deposit Accounts, or accounts holding Investment Property, except for Excluded Accounts.</w:t>
      </w:r>
    </w:p>
    <w:p>
      <w:pPr>
        <w:spacing w:after="0" w:line="163" w:lineRule="exact"/>
        <w:rPr>
          <w:sz w:val="20"/>
          <w:szCs w:val="20"/>
          <w:color w:val="auto"/>
        </w:rPr>
      </w:pPr>
    </w:p>
    <w:p>
      <w:pPr>
        <w:spacing w:after="0"/>
        <w:tabs>
          <w:tab w:leader="none" w:pos="252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u w:val="single" w:color="auto"/>
          <w:color w:val="auto"/>
        </w:rPr>
        <w:t>REPRESENTATIONS AND WARRANTIES OF BORROWER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represents and warrants that: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5.1 Corporate Status. Each Loan Party is a corporation or a limited liability company, as allocable, duly organized, legally existing and in good standing under the laws its state of incorporation or formation, as applicable, and is duly qualified as a foreign corporation or limited liability company, as applicable, in all jurisdictions in which the nature of its business or location of its properties require such qualifications and where the failure to be qualified could reasonably be expected to have a Material Adverse Effect. Each Loan Party’s present name, former names (if any), locations, place of formation, Tax identification number (to the extent such Loan Party has a Tax identification number), organizational identification number and other information are correctly set forth in Exhibit B, as may be updated by the Loan Parties in a written notice (including any Compliance Certificate) provided to Agent after the Closing Date.</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Collateral. Each Loan Party owns the Collateral and the Intellectual Property, free of all Liens, except for Permitted Liens.</w:t>
      </w:r>
    </w:p>
    <w:p>
      <w:pPr>
        <w:spacing w:after="0"/>
        <w:rPr>
          <w:sz w:val="20"/>
          <w:szCs w:val="20"/>
          <w:color w:val="auto"/>
        </w:rPr>
      </w:pPr>
      <w:r>
        <w:rPr>
          <w:rFonts w:ascii="Arial" w:cs="Arial" w:eastAsia="Arial" w:hAnsi="Arial"/>
          <w:sz w:val="20"/>
          <w:szCs w:val="20"/>
          <w:color w:val="auto"/>
        </w:rPr>
        <w:t>Each Loan Party has the power and authority to grant to Agent a Lien in the Collateral as security for the Secured Obligations.</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5.3 Consents. Each Loan Party’s execution, delivery and performance of this Agreement and all other Loan Documents, and Borrower’s execution of the Warrant, (i) have been duly authorized by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necessary corporate or limited liability company action of such Loan Party, (ii) will not result in the creation or imposition of any Lien upon the Collateral, other than Permitted Liens and the Liens created by this Agreement and the other Loan Documents, (iii) do not violate (A) any provisions of such Loan Party’s Certificate or Articles of Incorporation or Articles of Organization (as applicable), bylaws, operating agreements, or (B) any, law, regulation, order, injunction, judgment, decree or writ to which such Loan Party is subject in any respect, and</w:t>
      </w:r>
    </w:p>
    <w:p>
      <w:pPr>
        <w:spacing w:after="0" w:line="3" w:lineRule="exact"/>
        <w:rPr>
          <w:sz w:val="20"/>
          <w:szCs w:val="20"/>
          <w:color w:val="auto"/>
        </w:rPr>
      </w:pPr>
    </w:p>
    <w:p>
      <w:pPr>
        <w:jc w:val="both"/>
        <w:ind w:firstLine="8"/>
        <w:spacing w:after="0" w:line="213" w:lineRule="auto"/>
        <w:tabs>
          <w:tab w:leader="none" w:pos="349"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5.4 Material Adverse Effect. No Material Adverse Effect has occurred and is continuing. No Loan Party is not aware of any event likely to occur that is reasonably expected to result in a Material Adverse Effect.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5.5 Actions Before Governmental Authorities. There are no actions, suits or proceedings at law or in equity or by or before any governmental authority now pending or, to the knowledge of any Loan Party, threatened against or affecting any Loan Party or its property, that is reasonably expected to result in a Material Adverse Effect.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color w:val="auto"/>
        </w:rPr>
        <w:t>Laws.</w:t>
      </w:r>
    </w:p>
    <w:p>
      <w:pPr>
        <w:spacing w:after="0" w:line="175" w:lineRule="exact"/>
        <w:rPr>
          <w:sz w:val="20"/>
          <w:szCs w:val="20"/>
          <w:color w:val="auto"/>
        </w:rPr>
      </w:pPr>
    </w:p>
    <w:p>
      <w:pPr>
        <w:jc w:val="both"/>
        <w:ind w:left="660" w:firstLine="644"/>
        <w:spacing w:after="0" w:line="221" w:lineRule="auto"/>
        <w:tabs>
          <w:tab w:leader="none" w:pos="19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 Loan Party nor any of its Subsidiaries is in violation of any law, rule or regulation, or in default with respect to any judgment, writ, injunction or decree of any governmental authority, where such violation or default is reasonably expected to result in a Material Adverse Effect. No Loan Party is in default in any manner under any provision of any agreement or instrument evidencing material Indebtedness in any material respect, or any other material agreement to which it is a party or by which it is bound that is reasonably expected to result in a Material Adverse Effect.</w:t>
      </w:r>
    </w:p>
    <w:p>
      <w:pPr>
        <w:spacing w:after="0" w:line="155" w:lineRule="exact"/>
        <w:rPr>
          <w:rFonts w:ascii="Arial" w:cs="Arial" w:eastAsia="Arial" w:hAnsi="Arial"/>
          <w:sz w:val="19"/>
          <w:szCs w:val="19"/>
          <w:color w:val="auto"/>
        </w:rPr>
      </w:pPr>
    </w:p>
    <w:p>
      <w:pPr>
        <w:jc w:val="both"/>
        <w:ind w:left="660" w:firstLine="644"/>
        <w:spacing w:after="0" w:line="213"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62" w:lineRule="exact"/>
        <w:rPr>
          <w:rFonts w:ascii="Arial" w:cs="Arial" w:eastAsia="Arial" w:hAnsi="Arial"/>
          <w:sz w:val="19"/>
          <w:szCs w:val="19"/>
          <w:color w:val="auto"/>
        </w:rPr>
      </w:pPr>
    </w:p>
    <w:p>
      <w:pPr>
        <w:jc w:val="both"/>
        <w:ind w:left="660" w:firstLine="644"/>
        <w:spacing w:after="0" w:line="227" w:lineRule="auto"/>
        <w:tabs>
          <w:tab w:leader="none" w:pos="19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Borrower, any of its Subsidiaries, or, to the knowledge of the Borrower,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82" w:lineRule="exact"/>
        <w:rPr>
          <w:sz w:val="20"/>
          <w:szCs w:val="20"/>
          <w:color w:val="auto"/>
        </w:rPr>
      </w:pPr>
    </w:p>
    <w:p>
      <w:pPr>
        <w:jc w:val="both"/>
        <w:ind w:left="660"/>
        <w:spacing w:after="0" w:line="210" w:lineRule="auto"/>
        <w:rPr>
          <w:sz w:val="20"/>
          <w:szCs w:val="20"/>
          <w:color w:val="auto"/>
        </w:rPr>
      </w:pPr>
      <w:r>
        <w:rPr>
          <w:rFonts w:ascii="Arial" w:cs="Arial" w:eastAsia="Arial" w:hAnsi="Arial"/>
          <w:sz w:val="20"/>
          <w:szCs w:val="20"/>
          <w:color w:val="auto"/>
        </w:rPr>
        <w:t>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5.7 Information Correct and Current. No information, report, Advance Request, financial statement, exhibit or schedule furnished, by or on behalf of the Borrower to Agent in connection with any Loan Document or included therein or delivered pursuant thereto contained, or, when taken as a whole, contains, or shall contain, any material misstatement of fact or, when taken together with all other such information or documents, omitted, omits or shall omit to state any material fact necessary to make the statements therein, in the light of the circumstances under which they were, are or shall be made, not materially misleading at the time such statement was made or deemed made. Additionally, any and all financial or business projections provided by the Borrower to Agent, whether prior to or after the Closing Date, shall be (i) provided in good faith and based on the most current data and information available to the Borrower, and (ii) the most current of such projections provided to the Borrower’s Board (it being understood that the projections and forecasts provided by the Borrower in good faith and based upon reasonable assumptions are not viewed as facts, that such projections are subject to significant uncertainties and contingencies, many of which are beyond the control of the Borrower, that no assurance is given that any particular projections will be realized, and that actual results during the period or periods covered by such projections and forecasts may differ from the projected or forecasted results).</w:t>
      </w:r>
    </w:p>
    <w:p>
      <w:pPr>
        <w:spacing w:after="0" w:line="15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5.8 Tax Matters. Except as described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each Loan Party’s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5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5.9 Intellectual Property Claims. The Loan Parties are the sole owner of, or otherwise have the right to use, the Intellectual Property material to their business. Except as described on Schedule 5.9, and as may be updated by the Borrower in a written notice provided from time to time after the Closing Date, (i) to the Loan Parties’ knowledge,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a Loan Party in writing that any material part of the Intellectual Property violates the rights of any third party. Exhibit C (and as may be updated by the Borrower in a written notice provided from time to time after the Closing Date) is a true, correct and complete list of each of the Loan Parties’ registered Patents and filed Patent applications, registered Trademarks, registered Copyrights, and material agreements under which a Loan Party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 a Loan party in the ordinary course of business), together with application or registration numbers, as applicable, owned by a Loan Party, in each case as of the Closing Date. The Loan Parties are not in material breach of, nor have the Loan Parties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5.10 Intellectual Property. Except as described on Schedule 5.10, the Loan Parties have all material rights with respect to Intellectual Property necessary or material in the operation or conduct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Loan Parties’ business as currently conducted and proposed to be conducted by Loan Parties. Without limiting the generality of the foregoing, and in the case of Licenses, except for restrictions that are unenforceable under Division 9 of the UCC, other applicable law, or restrictions that are permitted hereunder, the Loan Parties have the right, to the extent required to operate their business, to freely transfer, license or assign Intellectual Property necessary or material in the operation or conduct of their business as currently conducted and currently proposed to be conducted by them, without condition, restriction or payment of any kind (other than payments in the ordinary course of business) to any third party, and the Loan Parties own or have the right to use, pursuant to valid licenses, all software development tools, library functions, compilers and all other third-party software and other items that are material to their business and used in the design, development, promotion, sale, license, manufacture, import, export, use or distribution of Borrower Products that are material to the Loan Parties’ business except customary covenants in inbound license agreements and equipment leases where a Loan Party is the licensee or lessee. No material software or other material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spacing w:after="0" w:line="15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5.11 Borrower Products. Except as described on Schedule 5.11, no material Intellectual Property owned by any Loan Party or Borrower Product has been or is subject to any actual or, to the knowledge of Borrower, threatened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any Loan Party to grant licenses or ownership interest in any future Intellectual Property related to the operation or conduct of the business of the Loan Parties or Borrower Products. No Loan Party has received any written notice or claim, or, to the knowledge of the Loan Parties, oral notice or claim, challenging or questioning any Loan Party’s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any Loan Party’s knowledge, is there a reasonable basis for any such claim. To the Loan Parties’ knowledge, no Loan Party’s use of its material Intellectual Property nor the production and sale of Borrower Products materially infringes the Intellectual Property or other rights of others.</w:t>
      </w:r>
    </w:p>
    <w:p>
      <w:pPr>
        <w:spacing w:after="0" w:line="16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5.12 Financial Accounts. Exhibit D, as may be updated by Loan Parties in a written notice provided to Agent after the Closing Date, is a true, correct and complete list of (a) all banks and other financial institutions at which any Loan Party or any Subsidiary maintains Deposit Accounts and (b) all institutions at which any Loan Party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5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5.13 Employee Loans. Other than loans constituting Permitted Investments, no Loan Party has outstanding loans to any employee, officer or director of such Loan Party nor has any Loan Party guaranteed the payment of any loan made to an employee, officer or director of such Loan by a third party.</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5.14 Capitalization and Subsidiaries. The Borrower’s capitalization as of the Closing Date is set forth on Schedule 5.14. The Loan Parties do not own any stock, partnership interest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of any Person, except for Permitted Investments. Attached as Schedule 5.14, as may be updated by Loan Parties in a written notice provided after the Closing Date, is a true, correct and complete list of each Subsidiary of the Borrower.</w:t>
      </w:r>
    </w:p>
    <w:p>
      <w:pPr>
        <w:spacing w:after="0" w:line="14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INSURANCE; INDEMNIFICATION</w:t>
      </w:r>
    </w:p>
    <w:p>
      <w:pPr>
        <w:spacing w:after="0" w:line="18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6.1 Coverage. The Loan Parties shall cause to be carried and maintained commercial general liability insurance, on an occurrence form, against risks customarily insured against in the Loan Parties’ line of business. Such risks shall include the risks of bodily injury, including death, property damage, personal injury, advertising injury, and contractual liability per the terms of the indemnification agreement found in Section 6.3. The Loan Parties must maintain a minimum of [***] of commercial general liability insurance for each occurrence. The Loan Parties have and agree to maintain a minimum of [***] of directors’ and officers’ insurance for each occurrence and</w:t>
      </w:r>
    </w:p>
    <w:p>
      <w:pPr>
        <w:spacing w:after="0" w:line="4" w:lineRule="exact"/>
        <w:rPr>
          <w:sz w:val="20"/>
          <w:szCs w:val="20"/>
          <w:color w:val="auto"/>
        </w:rPr>
      </w:pPr>
    </w:p>
    <w:p>
      <w:pPr>
        <w:jc w:val="both"/>
        <w:ind w:firstLine="8"/>
        <w:spacing w:after="0" w:line="224" w:lineRule="auto"/>
        <w:tabs>
          <w:tab w:leader="none" w:pos="5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aggregate. So long as there are any Secured Obligations outstanding, the Loan Parties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the Loan Parties fail to obtain the insurance called for by this Section 6.1 or fails to pay any premium thereon or fails to pay any other amount which the Loan Parties are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6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6.2 Certificates. The Loan Parties shall deliver to Agent certificates of insurance that evidence their compliance with its insurance obligations in Section 6.1 and the obligations contained in this Section 6.2. The Loan Parties’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the Loan Parties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Upon Agent’s request, the Loan Parties shall provide Agent with copies of each insurance policy. The Loan Parties agree that upon entering or amending any insurance policy required hereunder, Loan Parties shall provide Agent with copies of such policies and shall promptly deliver to Agent updated insurance certificates with respect to such policies.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6.3 Indemnity. Each Loan Party agrees to indemnify and hold Agent, Lender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special, indirect, consequential or punitive damages (including any loss of profits, business or anticipated savings). This Section 6.3 shall survive the repayment of indebtedness under, and otherwise shall survive the expiration or other termination of, this Agreement, in each case subject to the applicable statute of limitations.</w:t>
      </w:r>
    </w:p>
    <w:p>
      <w:pPr>
        <w:spacing w:after="0" w:line="150" w:lineRule="exact"/>
        <w:rPr>
          <w:sz w:val="20"/>
          <w:szCs w:val="20"/>
          <w:color w:val="auto"/>
        </w:rPr>
      </w:pPr>
    </w:p>
    <w:p>
      <w:pPr>
        <w:ind w:left="660" w:right="4580" w:firstLine="1944"/>
        <w:spacing w:after="0" w:line="425"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u w:val="single" w:color="auto"/>
          <w:color w:val="auto"/>
        </w:rPr>
        <w:t>COVENANTS OF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Party agrees as follows:</w:t>
      </w:r>
    </w:p>
    <w:p>
      <w:pPr>
        <w:ind w:left="660"/>
        <w:spacing w:after="0"/>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Financial Reports. Borrower shall furnish to Agent the financial statements and reports listed hereinafter (the “Financial</w:t>
      </w:r>
    </w:p>
    <w:p>
      <w:pPr>
        <w:spacing w:after="0"/>
        <w:rPr>
          <w:sz w:val="20"/>
          <w:szCs w:val="20"/>
          <w:color w:val="auto"/>
        </w:rPr>
      </w:pPr>
      <w:r>
        <w:rPr>
          <w:rFonts w:ascii="Arial" w:cs="Arial" w:eastAsia="Arial" w:hAnsi="Arial"/>
          <w:sz w:val="20"/>
          <w:szCs w:val="20"/>
          <w:color w:val="auto"/>
        </w:rPr>
        <w:t>Statements”):</w:t>
      </w:r>
    </w:p>
    <w:p>
      <w:pPr>
        <w:spacing w:after="0" w:line="159" w:lineRule="exact"/>
        <w:rPr>
          <w:sz w:val="20"/>
          <w:szCs w:val="20"/>
          <w:color w:val="auto"/>
        </w:rPr>
      </w:pPr>
    </w:p>
    <w:p>
      <w:pPr>
        <w:jc w:val="both"/>
        <w:ind w:left="660" w:firstLine="644"/>
        <w:spacing w:after="0" w:line="216" w:lineRule="auto"/>
        <w:tabs>
          <w:tab w:leader="none" w:pos="1946" w:val="left"/>
        </w:tabs>
        <w:numPr>
          <w:ilvl w:val="0"/>
          <w:numId w:val="38"/>
        </w:numPr>
        <w:rPr>
          <w:rFonts w:ascii="Arial" w:cs="Arial" w:eastAsia="Arial" w:hAnsi="Arial"/>
          <w:sz w:val="19"/>
          <w:szCs w:val="19"/>
          <w:color w:val="auto"/>
        </w:rPr>
      </w:pPr>
      <w:r>
        <w:rPr>
          <w:rFonts w:ascii="Arial" w:cs="Arial" w:eastAsia="Arial" w:hAnsi="Arial"/>
          <w:sz w:val="19"/>
          <w:szCs w:val="19"/>
          <w:color w:val="auto"/>
        </w:rPr>
        <w:t>during a Monthly Financials Trigger Period, as soon as practicable and in any event within forty-five (45) days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any Loan Party)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54" w:lineRule="exact"/>
        <w:rPr>
          <w:rFonts w:ascii="Arial" w:cs="Arial" w:eastAsia="Arial" w:hAnsi="Arial"/>
          <w:sz w:val="19"/>
          <w:szCs w:val="19"/>
          <w:color w:val="auto"/>
        </w:rPr>
      </w:pPr>
    </w:p>
    <w:p>
      <w:pPr>
        <w:jc w:val="both"/>
        <w:ind w:left="660" w:firstLine="644"/>
        <w:spacing w:after="0" w:line="217" w:lineRule="auto"/>
        <w:tabs>
          <w:tab w:leader="none" w:pos="1944" w:val="left"/>
        </w:tabs>
        <w:numPr>
          <w:ilvl w:val="0"/>
          <w:numId w:val="38"/>
        </w:numPr>
        <w:rPr>
          <w:rFonts w:ascii="Arial" w:cs="Arial" w:eastAsia="Arial" w:hAnsi="Arial"/>
          <w:sz w:val="19"/>
          <w:szCs w:val="19"/>
          <w:color w:val="auto"/>
        </w:rPr>
      </w:pPr>
      <w:r>
        <w:rPr>
          <w:rFonts w:ascii="Arial" w:cs="Arial" w:eastAsia="Arial" w:hAnsi="Arial"/>
          <w:sz w:val="19"/>
          <w:szCs w:val="19"/>
          <w:color w:val="auto"/>
        </w:rPr>
        <w:t>as soon as practicable and in any event within forty-five (45)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any Loan Party)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56" w:lineRule="exact"/>
        <w:rPr>
          <w:rFonts w:ascii="Arial" w:cs="Arial" w:eastAsia="Arial" w:hAnsi="Arial"/>
          <w:sz w:val="19"/>
          <w:szCs w:val="19"/>
          <w:color w:val="auto"/>
        </w:rPr>
      </w:pPr>
    </w:p>
    <w:p>
      <w:pPr>
        <w:jc w:val="both"/>
        <w:ind w:left="660" w:firstLine="644"/>
        <w:spacing w:after="0" w:line="207" w:lineRule="auto"/>
        <w:tabs>
          <w:tab w:leader="none" w:pos="19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as soon as practicable and in any event within ninety (90) days after the end of each fiscal year, unqualified (other than as to going concern qualification)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w:t>
      </w:r>
    </w:p>
    <w:p>
      <w:pPr>
        <w:spacing w:after="0" w:line="159" w:lineRule="exact"/>
        <w:rPr>
          <w:rFonts w:ascii="Arial" w:cs="Arial" w:eastAsia="Arial" w:hAnsi="Arial"/>
          <w:sz w:val="20"/>
          <w:szCs w:val="20"/>
          <w:color w:val="auto"/>
        </w:rPr>
      </w:pPr>
    </w:p>
    <w:p>
      <w:pPr>
        <w:ind w:left="660" w:right="20" w:firstLine="644"/>
        <w:spacing w:after="0" w:line="229"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as soon as practicable (and in any event within thirty (30) days) after the end of each month, a Compliance Certificate in the form of Exhibit E;</w:t>
      </w:r>
    </w:p>
    <w:p>
      <w:pPr>
        <w:spacing w:after="0" w:line="155" w:lineRule="exact"/>
        <w:rPr>
          <w:rFonts w:ascii="Arial" w:cs="Arial" w:eastAsia="Arial" w:hAnsi="Arial"/>
          <w:sz w:val="20"/>
          <w:szCs w:val="20"/>
          <w:color w:val="auto"/>
        </w:rPr>
      </w:pPr>
    </w:p>
    <w:p>
      <w:pPr>
        <w:ind w:left="660" w:firstLine="644"/>
        <w:spacing w:after="0" w:line="229" w:lineRule="auto"/>
        <w:tabs>
          <w:tab w:leader="none" w:pos="19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as soon as practicable (and in any event within thirty (30) days) after the end of each month, a report showing agings of accounts receivable and accounts payable;</w:t>
      </w:r>
    </w:p>
    <w:p>
      <w:pPr>
        <w:spacing w:after="0" w:line="155" w:lineRule="exact"/>
        <w:rPr>
          <w:rFonts w:ascii="Arial" w:cs="Arial" w:eastAsia="Arial" w:hAnsi="Arial"/>
          <w:sz w:val="20"/>
          <w:szCs w:val="20"/>
          <w:color w:val="auto"/>
        </w:rPr>
      </w:pPr>
    </w:p>
    <w:p>
      <w:pPr>
        <w:jc w:val="both"/>
        <w:ind w:left="660" w:firstLine="644"/>
        <w:spacing w:after="0" w:line="213" w:lineRule="auto"/>
        <w:tabs>
          <w:tab w:leader="none" w:pos="1951"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promptly after the sending or filing thereof, as the case may be, copies of any proxy statements, financial statements or material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2" w:lineRule="exact"/>
        <w:rPr>
          <w:sz w:val="20"/>
          <w:szCs w:val="20"/>
          <w:color w:val="auto"/>
        </w:rPr>
      </w:pPr>
    </w:p>
    <w:p>
      <w:pPr>
        <w:ind w:left="660" w:right="20" w:firstLine="644"/>
        <w:spacing w:after="0" w:line="242" w:lineRule="auto"/>
        <w:tabs>
          <w:tab w:leader="none" w:pos="1944" w:val="left"/>
        </w:tabs>
        <w:numPr>
          <w:ilvl w:val="1"/>
          <w:numId w:val="39"/>
        </w:numPr>
        <w:rPr>
          <w:rFonts w:ascii="Arial" w:cs="Arial" w:eastAsia="Arial" w:hAnsi="Arial"/>
          <w:sz w:val="19"/>
          <w:szCs w:val="19"/>
          <w:color w:val="auto"/>
        </w:rPr>
      </w:pPr>
      <w:r>
        <w:rPr>
          <w:rFonts w:ascii="Arial" w:cs="Arial" w:eastAsia="Arial" w:hAnsi="Arial"/>
          <w:sz w:val="19"/>
          <w:szCs w:val="19"/>
          <w:color w:val="auto"/>
        </w:rPr>
        <w:t>at the same time and in the same manner as provided to the investors of the Borrower that are not members of the Borrower’s Board, such materials prepared and provided by the Borrower on a quarterly basis to such investors;</w:t>
      </w:r>
    </w:p>
    <w:p>
      <w:pPr>
        <w:spacing w:after="0" w:line="151" w:lineRule="exact"/>
        <w:rPr>
          <w:rFonts w:ascii="Arial" w:cs="Arial" w:eastAsia="Arial" w:hAnsi="Arial"/>
          <w:sz w:val="19"/>
          <w:szCs w:val="19"/>
          <w:color w:val="auto"/>
        </w:rPr>
      </w:pPr>
    </w:p>
    <w:p>
      <w:pPr>
        <w:ind w:left="1940" w:hanging="636"/>
        <w:spacing w:after="0"/>
        <w:tabs>
          <w:tab w:leader="none" w:pos="1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and business projections promptly following their approval by Borrower’s Board, and in any event, sixty</w:t>
      </w:r>
    </w:p>
    <w:p>
      <w:pPr>
        <w:ind w:left="660" w:hanging="4"/>
        <w:spacing w:after="0" w:line="220" w:lineRule="auto"/>
        <w:tabs>
          <w:tab w:leader="none" w:pos="1066" w:val="left"/>
        </w:tabs>
        <w:numPr>
          <w:ilvl w:val="0"/>
          <w:numId w:val="40"/>
        </w:numPr>
        <w:rPr>
          <w:rFonts w:ascii="Arial" w:cs="Arial" w:eastAsia="Arial" w:hAnsi="Arial"/>
          <w:sz w:val="20"/>
          <w:szCs w:val="20"/>
          <w:color w:val="auto"/>
        </w:rPr>
      </w:pPr>
      <w:r>
        <w:rPr>
          <w:rFonts w:ascii="Arial" w:cs="Arial" w:eastAsia="Arial" w:hAnsi="Arial"/>
          <w:sz w:val="20"/>
          <w:szCs w:val="20"/>
          <w:color w:val="auto"/>
        </w:rPr>
        <w:t>days after the end of Borrower’s fiscal year, as well as budgets, operating plans and other financial information reasonably requested by Agent;</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54" w:val="left"/>
        </w:tabs>
        <w:numPr>
          <w:ilvl w:val="1"/>
          <w:numId w:val="40"/>
        </w:numPr>
        <w:rPr>
          <w:rFonts w:ascii="Arial" w:cs="Arial" w:eastAsia="Arial" w:hAnsi="Arial"/>
          <w:sz w:val="20"/>
          <w:szCs w:val="20"/>
          <w:color w:val="auto"/>
        </w:rPr>
      </w:pPr>
      <w:r>
        <w:rPr>
          <w:rFonts w:ascii="Arial" w:cs="Arial" w:eastAsia="Arial" w:hAnsi="Arial"/>
          <w:sz w:val="20"/>
          <w:szCs w:val="20"/>
          <w:color w:val="auto"/>
        </w:rPr>
        <w:t>as soon as practicable (and in any event within forty-five (45) days) after the end of each quarter, a key performance indicator report consisting of the following: unit sales and average sales price by product and customer type, bookings reports, and such other key performance indicators as reasonably requested by Lender; and</w:t>
      </w:r>
    </w:p>
    <w:p>
      <w:pPr>
        <w:spacing w:after="0" w:line="156" w:lineRule="exact"/>
        <w:rPr>
          <w:rFonts w:ascii="Arial" w:cs="Arial" w:eastAsia="Arial" w:hAnsi="Arial"/>
          <w:sz w:val="20"/>
          <w:szCs w:val="20"/>
          <w:color w:val="auto"/>
        </w:rPr>
      </w:pPr>
    </w:p>
    <w:p>
      <w:pPr>
        <w:jc w:val="both"/>
        <w:ind w:left="660" w:firstLine="644"/>
        <w:spacing w:after="0" w:line="213" w:lineRule="auto"/>
        <w:tabs>
          <w:tab w:leader="none" w:pos="1954"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prompt (but in any event no more than three (3) Business Days) notice if Borrower or any Subsidiary has knowledge that Borrower, or any Subsidiary or controlled Affiliate of Borrower, is listed on the OFAC Lists or (a) is convicted on, (b) pleads </w:t>
      </w:r>
      <w:r>
        <w:rPr>
          <w:rFonts w:ascii="Arial" w:cs="Arial" w:eastAsia="Arial" w:hAnsi="Arial"/>
          <w:sz w:val="20"/>
          <w:szCs w:val="20"/>
          <w:i w:val="1"/>
          <w:iCs w:val="1"/>
          <w:color w:val="auto"/>
        </w:rPr>
        <w:t xml:space="preserve">nolo contendere </w:t>
      </w:r>
      <w:r>
        <w:rPr>
          <w:rFonts w:ascii="Arial" w:cs="Arial" w:eastAsia="Arial" w:hAnsi="Arial"/>
          <w:sz w:val="20"/>
          <w:szCs w:val="20"/>
          <w:color w:val="auto"/>
        </w:rPr>
        <w:t>to, (c) is indicted on, or (d) is arraigned and held over on charges involving money laundering or predicate crimes to</w:t>
      </w:r>
      <w:r>
        <w:rPr>
          <w:rFonts w:ascii="Arial" w:cs="Arial" w:eastAsia="Arial" w:hAnsi="Arial"/>
          <w:sz w:val="20"/>
          <w:szCs w:val="20"/>
          <w:i w:val="1"/>
          <w:iCs w:val="1"/>
          <w:color w:val="auto"/>
        </w:rPr>
        <w:t xml:space="preserve"> </w:t>
      </w:r>
      <w:r>
        <w:rPr>
          <w:rFonts w:ascii="Arial" w:cs="Arial" w:eastAsia="Arial" w:hAnsi="Arial"/>
          <w:sz w:val="20"/>
          <w:szCs w:val="20"/>
          <w:color w:val="auto"/>
        </w:rPr>
        <w:t>money laundering.</w:t>
      </w:r>
    </w:p>
    <w:p>
      <w:pPr>
        <w:spacing w:after="0" w:line="156" w:lineRule="exact"/>
        <w:rPr>
          <w:sz w:val="20"/>
          <w:szCs w:val="20"/>
          <w:color w:val="auto"/>
        </w:rPr>
      </w:pPr>
    </w:p>
    <w:p>
      <w:pPr>
        <w:jc w:val="both"/>
        <w:ind w:left="500" w:hanging="285"/>
        <w:spacing w:after="0" w:line="218" w:lineRule="auto"/>
        <w:rPr>
          <w:sz w:val="20"/>
          <w:szCs w:val="20"/>
          <w:color w:val="auto"/>
        </w:rPr>
      </w:pPr>
      <w:r>
        <w:rPr>
          <w:rFonts w:ascii="Arial" w:cs="Arial" w:eastAsia="Arial" w:hAnsi="Arial"/>
          <w:sz w:val="20"/>
          <w:szCs w:val="20"/>
          <w:color w:val="auto"/>
        </w:rPr>
        <w:t>No Loan Party shall make any change in its (a) accounting policies or reporting practices (other than as permitted under GAAP or pursuant to applicable securities laws or regulations of the SEC), or (b) fiscal years or fiscal quarters. The fiscal year of Borrower shall end on December 31.</w:t>
      </w:r>
    </w:p>
    <w:p>
      <w:pPr>
        <w:spacing w:after="0" w:line="156" w:lineRule="exact"/>
        <w:rPr>
          <w:sz w:val="20"/>
          <w:szCs w:val="20"/>
          <w:color w:val="auto"/>
        </w:rPr>
      </w:pPr>
    </w:p>
    <w:p>
      <w:pPr>
        <w:jc w:val="both"/>
        <w:ind w:left="500" w:hanging="280"/>
        <w:spacing w:after="0" w:line="213" w:lineRule="auto"/>
        <w:rPr>
          <w:sz w:val="20"/>
          <w:szCs w:val="20"/>
          <w:color w:val="auto"/>
        </w:rPr>
      </w:pPr>
      <w:r>
        <w:rPr>
          <w:rFonts w:ascii="Arial" w:cs="Arial" w:eastAsia="Arial" w:hAnsi="Arial"/>
          <w:sz w:val="20"/>
          <w:szCs w:val="20"/>
          <w:color w:val="auto"/>
        </w:rPr>
        <w:t>The executed Compliance Certificate, and all Financial Statements required to be delivered pursuant to clauses (a), (b), (c) and (d) shall be sent via e-mail to financialstatements@htgc.com with a copy to legal@htgc.com and lkulchenko@htgc.com provided, that if e-mail is not available or sending such Financial Statements via e-mail is not possible, they shall be faxed to Agent at: (650) 473-9194, attention Account Manager: Ouster, Inc.</w:t>
      </w:r>
    </w:p>
    <w:p>
      <w:pPr>
        <w:spacing w:after="0" w:line="14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Notwithstanding the foregoing, documents required to be delivered </w:t>
      </w:r>
      <w:r>
        <w:rPr>
          <w:rFonts w:ascii="Arial" w:cs="Arial" w:eastAsia="Arial" w:hAnsi="Arial"/>
          <w:sz w:val="20"/>
          <w:szCs w:val="20"/>
          <w:u w:val="single" w:color="auto"/>
          <w:color w:val="auto"/>
        </w:rPr>
        <w:t>hereunder</w:t>
      </w:r>
      <w:r>
        <w:rPr>
          <w:rFonts w:ascii="Arial" w:cs="Arial" w:eastAsia="Arial" w:hAnsi="Arial"/>
          <w:sz w:val="20"/>
          <w:szCs w:val="20"/>
          <w:color w:val="auto"/>
        </w:rPr>
        <w:t xml:space="preserve"> (to the extent any such documents are included in materials otherwise filed with the SEC) may be delivered electronically and if so delivered, shall be deemed to have been delivered on the date on which Borrower makes such documents or materials publicly available.</w:t>
      </w:r>
    </w:p>
    <w:p>
      <w:pPr>
        <w:spacing w:after="0" w:line="29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7.2 Management Rights. The Loan Parties shall permit any representative that Agent or the Lenders authorizes, including its attorneys and accountants, to inspect the Collateral and examine and make copies and abstracts of the books of account and records of the Loan Parties at reasonable times and upon reasonable notice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so long as no Event of Default has occurred and is continuing, such examinations shall be limited to no more often than once per fiscal year. In addition, any such representative shall have the right to meet with management and officers of the Loan Parties to discuss such books of account and records. In addition, Agent or the Lenders shall be entitled at reasonable times and intervals to consult with and advise the management and officers of the Loan Parties concerning significant business issues affecting the Loan Parties. Such consultations shall not unreasonably interfere with the Loan Parties’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the Loan Parties’ management or policies.</w:t>
      </w:r>
    </w:p>
    <w:p>
      <w:pPr>
        <w:spacing w:after="0" w:line="16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7.3 Further Assurances. Each Loan Party shall from time to time execute, deliver and file, alone or with Agent, any financing statements, security agreements, collateral assignments, notices, control agreements, or other documents to perfect or give the highest priority to Agent’s Lien on the Collateral. Each Loan Party shall from time to time procure any instruments or documents as may be reasonably requested by Agent, and take all further action that may be necessary, or that Agent may reasonably request, to perfect and protect the Liens granted hereby and thereby. In addition, and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2"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purposes only, each Loan Party hereby authorizes Agent to execute and deliver on its behalf and to file such financing statements (including an indication that the financing statement covers “all assets or all personal property” of such Loan Party in accordance with Section 9-504 of the UCC) without the signature of the Loan Parties either in Agent’s name or in the name of Agent as agent and attorney-in-fact for the Loan Parties. Each Loan Party shall in good faith and in its reasonable commercial discretion, in each case subject to the terms of this Agreement, protect and defend its title to the Collateral and Agent’s Lien thereon against all Persons claiming any interest adverse to such Loan Party or Agent other than Permitted Liens.</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7.4 Indebtedness. No Loan Party shall create, incur, assume, guarantee nor be or remain liable with respect to any Indebtedness, or permit any Subsidiary so to do, other than Permitted Indebtedness, or prepay any Indebtedness or take any actions which impose on any Loan Party an obligation to prepay any Indebtedness, except (a) for the conversion of Indebtedness into equity securities and the payment of cash in lieu of fractional shares in connection with such conversion, (b) for purchase money Indebtedness pursuant to its then-applicable payment schedule or with other purchase money Indebtedness permitted hereunder, (c) for prepayment by (i) any Loan Party or Subsidiary of intercompany Indebtedness owed to Borrower, or (ii) by any Subsidiary that is not a Loan Party of intercompany Indebtedness owed by such Subsidiary to another Subsidiary that is not a Loan Party, (d) as may be permitted under the subordination agreement governing such Subordinated Indebtedness, (e) as otherwise permitted hereunder or approved in writing by Agent, and (f) Permitted Indebtedness with the proceeds of other Permitted Indebtedness. 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Debt upon satisfaction of a condition related to the stock price of Borrower’s common stock), settlement or early termination or cancellation of (whether in whole or in part and including by netting or set-off) (in each case, whether in cash, common stock of Borrower or, following a merger event or other change of the common stock of Borrower, other securities or property), or the satisfaction of any condition that would permit or require any of the foregoing, any Permitted Convertible Debt shall not constitute a prepayment of Indebtedness by Borrower for the purposes of this Section 7.4 provided that principal payments in cash (other than cash in lieu of fractional shares) shall be allowed with respect to any repurchase in connection with the redemption of Permitted Convertible Debt upon satisfaction of a condition related to the stock price of Borrower’s common stock only if the Redemption Conditions are satisfied in respect of such redemption and at all times after such redemption.</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7.5 Collateral. Each Loan Party shall at all times keep the Collateral and all other property and assets used in the Loan Parties’ business or in which the Loan Parties now or hereafter holds any interest free and clear from any Liens whatsoever (other than Permitted Liens). No Loan Party shall agree with any Person other than Agent or Lender not to encumber its property, other than Permitted Liens. No Loan Party shall enter into or suffer to exist or become effective any agreement that prohibits or limits the ability of any Loan Party to create, incur, assume or suffer to exist any Lien upon any of its Intellectual Property, whether now owned or hereafter acquired, to secure its obligations under the Loan Documents to which it is a party other than pursuant to (x) this Agreement and the other Loan Documents, (y) any agreements governing any purchase money Liens or Capital Lease obligations otherwise permitted hereby (in which case, any prohibition or limitation shall only be effective against the assets financed thereby) or (z) customary restrictions on the assignment of leases, licenses and other agreements. Each Loan Party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Liens whatsoever (except for Permitted Liens), and shall give Agent prompt written notice of any legal process that is reasonably likely to result in damages, expenses or liabilities in excess of $1,000,000.</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7.6 Investments. No Loan Party shall directly or indirectly acquire or own, or make any Investment in or to any Person, or permit any of its Subsidiaries so to do, other than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7.7 Distributions; Investments. (a) Pay any dividends or make any distribution or payment or redeem, retire or purchase any capital stock provided that (i) Borrower may convert any of its convertible securities into other securities pursuant to the terms of such convertible securities or otherwise in exchange thereof and make cash payments in lieu of fractional shares in connection with any such conversions, (ii) Borrower may pay dividends solely in common stock, (iii) Borrower may repurchase the stock or other equity interests of current or former employees, consultants or directors (their spouses, trusts, heirs and estates) pursuant to or otherwise in connection with stock repurchase agreements, option agreements or similar agreements (A) so long as an Event of Default does not exist at the time of any such repurchase and would not exist immediately after giving effect to any such repurchase, provided that the aggregate amount of all such repurchases does not exceed Five Hundred Thousand Dollars ($500,000) in any fiscal year, (iv) Borrower may repurchase stock or other equity interests from employees, consultants or directors in connection with secondary sales where the consideration for such repurchase is the proceeds of the issuance of Borrower’s equity interests consummated immediately prior or substantially contemporaneously with such repurchase; or (b) directly or indirectly make any Investment (including, without limitation, by the formation of any Subsidiary) other than Permitted Investments, or permit any of its Subsidiaries to do so. Notwithstanding the foregoing, Subsidiaries of Borrower shall be permitted to pay dividends to Borrower or make distributions to Borrower.</w:t>
      </w:r>
    </w:p>
    <w:p>
      <w:pPr>
        <w:spacing w:after="0" w:line="16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Notwithstanding the foregoing, and for the avoidance of doubt, this Section 7.7 shall not prohibit (i) the conversion or exchange by holders of (including any cash payment upon conversion or exchange),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be allowed with respect to any repurchase in connection with the redemption of Permitted Convertible Debt only if the Redemption Conditions are satisfied in respect of such redemption and at all times after such redemption, (ii) the entry into (including the payment of premiums in connection therewith) or any required payment with respect to, or required early unwind or settlement of, any Warrant, Permitted Bond Hedge Transaction or Permitted Warrant Transaction, in each case, in accordance with the terms of the agreement governing such Warrant, Permitted Bond Hedge Transaction or Permitted Warrant Transaction, or (iii) the withholding of shares of common stock upon the vesting of performance stock units and restricted stock units issued to the Borrower’s employees under the Borrower’s equity incentive plan upon vesting of such stock units.</w:t>
      </w:r>
    </w:p>
    <w:p>
      <w:pPr>
        <w:spacing w:after="0" w:line="18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such different series of Permitted Convertible Debt minus the net cost of any Permitted Convertible Debt Call Transaction entered into in connection therewith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7.8 Transfers. Except for Permitted Transfers, No Loan Party shall voluntarily or involuntarily transfer, sell, lease, license, lend or in any other manner convey (“Transfer”) any equitable, beneficial or legal interest in any material portion of its assets.</w:t>
      </w:r>
    </w:p>
    <w:p>
      <w:pPr>
        <w:spacing w:after="0" w:line="15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7.9 Mergers and Consolidations. Borrower will not, and will not permit any Subsidiary to, liquidate or dissolve, consolidate with, or merge into or with, any other Person, or Dispose of (whether in one transaction or in a series of transactions) all or substantially all of its assets, except (a)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2"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 xml:space="preserve">may consolidate or merge with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Borrower be the continuing or surviving corporation, (b) any Loan Party (other than the Borrower) may consolidate or merge with and into any other Loan Party, (c) any Subsidiary that is not a Loan Party may consolidate or merge with and into any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continuing or surviving Person shall be such Loan Party, (d) any Subsidiary that is not a Loan Party may merge with or into any other Subsidiary that is not a Loan Party, (e) any Subsidiary that is not a Loan Party may dissolve, liquidate or wind up its affairs at any time, and (f) in connection with any Permitted Transfer, Permitted Investment, Permitted Acquisition or Permitted Indebtedness.</w:t>
      </w:r>
    </w:p>
    <w:p>
      <w:pPr>
        <w:spacing w:after="0" w:line="160"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7.10 Taxes. Each Loan Party and its Subsidiaries shall pay when due all material Taxes of any nature whatsoever now or hereafter imposed or assessed against any Loan Party, any of its Subsidiaries or the Collateral or upon any Loan Party’s or any of its Subsidiaries’ ownership, possession, use, operation or disposition thereof or upon any Loan Party’s or, any of its Subsidiaries’ rents, receipts or earnings arising therefrom. Each Loan Party shall, and shall cause each of its Subsidiaries to, accurately file on or before the due date therefor (taking into account proper extensions) all federal and state income Tax returns and other material Tax returns required to be filed. Notwithstanding the foregoing, any Loan Party may contest, in good faith and by appropriate proceedings diligently conducted, Taxes for which the Loan Parties maintain adequate reserves in accordance with GAAP.</w:t>
      </w:r>
    </w:p>
    <w:p>
      <w:pPr>
        <w:spacing w:after="0" w:line="15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7.11 Corporate Changes; Location of Collateral. No Loan Party nor any Subsidiary shall change its legal name, legal form or jurisdiction of organization or formation, as applicable, without twenty (20) days’ prior written notice to Agent. No Loan Party shall suffer a Change in Control. No Loan Party nor any Subsidiary shall relocate its chief executive office or its principal place of business unless it has provided prior written notice to Agent. No Loan Party nor any Subsidiary shall relocate any item of Collateral (other than (x) sales of Inventory in the ordinary course of business, (y) relocations of Equipment having an aggregate value of up to Five Hundred Thousand Dollars ($500,000) in any fiscal year, and (z) relocations of Collateral from a location described on Exhibit B to another location described on Exhibit B) unless (i) it has provided prompt written notice to Agent, (ii) such relocation is within the continental United States of America and, (iii) if such relocation is to a third party bailee, it has used commercially reasonable efforts to deliver a bailee agreement in form and substance reasonably acceptable to Agent.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color w:val="auto"/>
        </w:rPr>
        <w:t>Deposit Accounts.</w:t>
      </w:r>
    </w:p>
    <w:p>
      <w:pPr>
        <w:spacing w:after="0" w:line="189" w:lineRule="exact"/>
        <w:rPr>
          <w:sz w:val="20"/>
          <w:szCs w:val="20"/>
          <w:color w:val="auto"/>
        </w:rPr>
      </w:pPr>
    </w:p>
    <w:p>
      <w:pPr>
        <w:ind w:left="660" w:right="20" w:firstLine="644"/>
        <w:spacing w:after="0" w:line="246" w:lineRule="auto"/>
        <w:tabs>
          <w:tab w:leader="none" w:pos="1946" w:val="left"/>
        </w:tabs>
        <w:numPr>
          <w:ilvl w:val="0"/>
          <w:numId w:val="41"/>
        </w:numPr>
        <w:rPr>
          <w:rFonts w:ascii="Arial" w:cs="Arial" w:eastAsia="Arial" w:hAnsi="Arial"/>
          <w:sz w:val="20"/>
          <w:szCs w:val="20"/>
          <w:color w:val="auto"/>
        </w:rPr>
      </w:pPr>
      <w:r>
        <w:rPr>
          <w:rFonts w:ascii="Arial" w:cs="Arial" w:eastAsia="Arial" w:hAnsi="Arial"/>
          <w:sz w:val="20"/>
          <w:szCs w:val="20"/>
          <w:color w:val="auto"/>
        </w:rPr>
        <w:t>Other than Excluded Accounts, no Loan Party shall maintain any Deposit Accounts, or accounts holding Investment Property, except with respect to which Agent has an Account Control Agreement.</w:t>
      </w:r>
    </w:p>
    <w:p>
      <w:pPr>
        <w:spacing w:after="0" w:line="176" w:lineRule="exact"/>
        <w:rPr>
          <w:rFonts w:ascii="Arial" w:cs="Arial" w:eastAsia="Arial" w:hAnsi="Arial"/>
          <w:sz w:val="20"/>
          <w:szCs w:val="20"/>
          <w:color w:val="auto"/>
        </w:rPr>
      </w:pPr>
    </w:p>
    <w:p>
      <w:pPr>
        <w:ind w:left="660" w:firstLine="644"/>
        <w:spacing w:after="0" w:line="272"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Subsidiary which is not a Loan Party shall maintain any Deposit Accounts, or accounts holding Investment Property, except to the extent such Deposit Account or account holding Investment Property is an Excluded Account.</w:t>
      </w:r>
    </w:p>
    <w:p>
      <w:pPr>
        <w:spacing w:after="0" w:line="13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7.13 Future Subsidiaries. Each Loan Party shall notify Agent of each Subsidiary formed subsequent to the Closing Date and, within thirty (30) days of formation, shall cause any such Domestic Subsidiary (other than an Excluded Subsidiary) to execute and deliver to Agent a Joinder Agreement.</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7.14 Notification Regarding Collateral. Borrower shall give Agent prompt written notice of any legal process that is reasonably likely to result in damages, expenses or liabilities in excess of $1,000,000 affecting the Collateral, such other property and assets, or any Liens thereon, provided however, that the Collateral and such other property and assets may be subject to Permitted Liens.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7.15 Notification of Event of Default. Borrower shall notify Agent promptly, in any event within three (3) Business Days, of the occurrence of any event of Default.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7.17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7.18</w:t>
      </w:r>
      <w:r>
        <w:rPr>
          <w:sz w:val="20"/>
          <w:szCs w:val="20"/>
          <w:color w:val="auto"/>
        </w:rPr>
        <w:tab/>
      </w:r>
      <w:r>
        <w:rPr>
          <w:rFonts w:ascii="Arial" w:cs="Arial" w:eastAsia="Arial" w:hAnsi="Arial"/>
          <w:sz w:val="18"/>
          <w:szCs w:val="18"/>
          <w:color w:val="auto"/>
        </w:rPr>
        <w:t>Compliance with Laws.</w:t>
      </w:r>
    </w:p>
    <w:p>
      <w:pPr>
        <w:spacing w:after="0" w:line="175" w:lineRule="exact"/>
        <w:rPr>
          <w:sz w:val="20"/>
          <w:szCs w:val="20"/>
          <w:color w:val="auto"/>
        </w:rPr>
      </w:pPr>
    </w:p>
    <w:p>
      <w:pPr>
        <w:jc w:val="both"/>
        <w:ind w:left="660" w:firstLine="644"/>
        <w:spacing w:after="0" w:line="210" w:lineRule="auto"/>
        <w:tabs>
          <w:tab w:leader="none" w:pos="1946" w:val="left"/>
        </w:tabs>
        <w:numPr>
          <w:ilvl w:val="0"/>
          <w:numId w:val="42"/>
        </w:numPr>
        <w:rPr>
          <w:rFonts w:ascii="Arial" w:cs="Arial" w:eastAsia="Arial" w:hAnsi="Arial"/>
          <w:sz w:val="20"/>
          <w:szCs w:val="20"/>
          <w:color w:val="auto"/>
        </w:rPr>
      </w:pPr>
      <w:r>
        <w:rPr>
          <w:rFonts w:ascii="Arial" w:cs="Arial" w:eastAsia="Arial" w:hAnsi="Arial"/>
          <w:sz w:val="20"/>
          <w:szCs w:val="20"/>
          <w:color w:val="auto"/>
        </w:rPr>
        <w:t>Each Loan Party shall maintain, and shall cause its Subsidiaries to maintain, compliance in all material respect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such Loan Party’s business.</w:t>
      </w:r>
    </w:p>
    <w:p>
      <w:pPr>
        <w:spacing w:after="0" w:line="154" w:lineRule="exact"/>
        <w:rPr>
          <w:rFonts w:ascii="Arial" w:cs="Arial" w:eastAsia="Arial" w:hAnsi="Arial"/>
          <w:sz w:val="20"/>
          <w:szCs w:val="20"/>
          <w:color w:val="auto"/>
        </w:rPr>
      </w:pPr>
    </w:p>
    <w:p>
      <w:pPr>
        <w:jc w:val="both"/>
        <w:ind w:left="660" w:firstLine="644"/>
        <w:spacing w:after="0" w:line="215" w:lineRule="auto"/>
        <w:tabs>
          <w:tab w:leader="none" w:pos="19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Neither Borrower nor any of its Subsidiaries shall, nor shall Borrower or any of its Subsidiaries permit any Affiliate to, directly or indirectly, knowingly enter into any documents, instruments, agreements or contracts with any Person listed on the OFAC Lists. No Loan Party nor any of its Subsidiaries shall, nor shall any Loan Party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55" w:lineRule="exact"/>
        <w:rPr>
          <w:rFonts w:ascii="Arial" w:cs="Arial" w:eastAsia="Arial" w:hAnsi="Arial"/>
          <w:sz w:val="19"/>
          <w:szCs w:val="19"/>
          <w:color w:val="auto"/>
        </w:rPr>
      </w:pPr>
    </w:p>
    <w:p>
      <w:pPr>
        <w:jc w:val="both"/>
        <w:ind w:left="660" w:firstLine="644"/>
        <w:spacing w:after="0" w:line="210" w:lineRule="auto"/>
        <w:tabs>
          <w:tab w:leader="none" w:pos="1946" w:val="left"/>
        </w:tabs>
        <w:numPr>
          <w:ilvl w:val="0"/>
          <w:numId w:val="42"/>
        </w:numPr>
        <w:rPr>
          <w:rFonts w:ascii="Arial" w:cs="Arial" w:eastAsia="Arial" w:hAnsi="Arial"/>
          <w:sz w:val="20"/>
          <w:szCs w:val="20"/>
          <w:color w:val="auto"/>
        </w:rPr>
      </w:pPr>
      <w:r>
        <w:rPr>
          <w:rFonts w:ascii="Arial" w:cs="Arial" w:eastAsia="Arial" w:hAnsi="Arial"/>
          <w:sz w:val="20"/>
          <w:szCs w:val="20"/>
          <w:color w:val="auto"/>
        </w:rPr>
        <w:t>Each Loan Party has implemented and maintains in effect policies and procedures designed to ensure compliance by such Loan Party, its Subsidiaries and their respective directors, officers, employees and agents with Anti-Corruption Laws and applicable Sanctions, and each Loan Party’s, its Subsidiaries and their respective officers and employees and to the knowledge of such Loan Party’s, its directors and agents, are in compliance with Anti-Corruption Laws and applicable Sanctions in all material respects.</w:t>
      </w:r>
    </w:p>
    <w:p>
      <w:pPr>
        <w:spacing w:after="0" w:line="154" w:lineRule="exact"/>
        <w:rPr>
          <w:rFonts w:ascii="Arial" w:cs="Arial" w:eastAsia="Arial" w:hAnsi="Arial"/>
          <w:sz w:val="20"/>
          <w:szCs w:val="20"/>
          <w:color w:val="auto"/>
        </w:rPr>
      </w:pPr>
    </w:p>
    <w:p>
      <w:pPr>
        <w:jc w:val="both"/>
        <w:ind w:left="660" w:firstLine="644"/>
        <w:spacing w:after="0" w:line="213" w:lineRule="auto"/>
        <w:tabs>
          <w:tab w:leader="none" w:pos="19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 Loan Party, any of its Subsidiaries or any of their respective directors, officers or employees, or to the knowledge of such Loan Party, any agent for such Loan Party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7.19 Financial Covenant. Commencing with the quarter ending on June 30, 2023 and for each fiscal quarter thereafter which is a Testing Period, Borrower shall achieve T12M Revenue as set forth in Schedule 7.19 as of the last day of such fiscal quarter.</w:t>
      </w:r>
    </w:p>
    <w:p>
      <w:pPr>
        <w:spacing w:after="0" w:line="15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7.20 Intellectual Property. Each Loan Party shall (i) protect, defend and maintain the validity and enforceability of its Intellectual Property; (ii) promptly advise Agent in writing of material infringements of its Intellectual Property; and (iii) not allow any Intellectual Property material to such Loan Party’s business to be abandoned, forfeited or dedicated to the public without Agent’s written consent. If a Loan Party (a) obtains any Patent, registered Trademark, registered Copyright, registered mask work, or any pending application for any of the foregoing, whether as owner, licensee or otherwise, or (b) applies for any Patent (other than provisional patent applications) or the registration of any Trademark, then such Loan Party shall immediately provide written notice thereof to Agent and shall execute such intellectual property security agreements and other documents and take such other actions as Agent may request in its good faith business judgment to perfect and maintain a first priority (subject to the Permitted Liens) perfected security interest in favor of Agent in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7.21 Transactions with Affiliates.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except for (a) transactions solely among the Loan Parties, (b) transactions between or among any Loan Party and any one or more of its Subsidiaries that were entered into prior to the Closing Date (provided, that, such transactions are not expressly prohibited hereunder), (c) reasonable and customary fees paid to members of the board of directors (or similar governing body) of the Borrower or any Subsidiary as approved by Borrower’s board of directors (or similar governing body), (d) compensation, indemnities, and other employment arrangements for directors, officers and other employees of the Borrower and its Subsidiaries entered into in the ordinary course of business, and (e) any loans permitted to officers or management permitted hereunder and the Permitted Borrower Equity Buybacks.</w:t>
      </w:r>
    </w:p>
    <w:p>
      <w:pPr>
        <w:spacing w:after="0" w:line="335"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u w:val="single" w:color="auto"/>
          <w:color w:val="auto"/>
        </w:rPr>
        <w:t>[RESERVED]</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b w:val="1"/>
          <w:bCs w:val="1"/>
          <w:u w:val="single" w:color="auto"/>
          <w:color w:val="auto"/>
        </w:rPr>
        <w:t>EVENTS OF DEFAULT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occurrence of any one or more of the following events shall be an Event of Default:</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9.1 Payments. Any Loan Party fails to (a) pay any principal or interest on any Loan on its due date or (b) make any payment when due on account of any other Secured Obligations within two (2) Business days after the applicable due date; provided, however, that in each case, an Event of Default shall not occur on account of a failure to pay due solely to an administrative or operational error of Agent or Lender or any Loan Party’s bank if such Loan Party had the funds to make the payment when due and makes the payment within three (3) Business Days following such Loan Party’s knowledge of such failure to pay; or</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9.2 Covenants. Any Loan Party breaches or defaults in the performance of any covenant or Secured Obligation under this Agreement, or any of the other Loan Documents, Agent and the Lenders, and (a) with respect to a default under any covenant under this Agreement (other than the Sections specifically identified in clause (b) hereof), any other Loan Document, such default continues for more than fifteen (15) days after the earlier of the date on which (i) Agent or the Lenders has given notice of such default to the Loan Parties and</w:t>
      </w:r>
    </w:p>
    <w:p>
      <w:pPr>
        <w:spacing w:after="0" w:line="3" w:lineRule="exact"/>
        <w:rPr>
          <w:sz w:val="20"/>
          <w:szCs w:val="20"/>
          <w:color w:val="auto"/>
        </w:rPr>
      </w:pPr>
    </w:p>
    <w:p>
      <w:pPr>
        <w:ind w:firstLine="8"/>
        <w:spacing w:after="0" w:line="220" w:lineRule="auto"/>
        <w:tabs>
          <w:tab w:leader="none" w:pos="3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Loan Party has actual knowledge of such default or (b) with respect to a default under any of Sections 6, 7.4, 7.5, 7.6, 7.7, 7.8, 7.9, 7.15, 7.17, 7.19, 7.20, and 7.21, the occurrence of such default; or</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9.3 Material Adverse Effect. A circumstance has occurred that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achieve the Interest Only Milestone or Performance Milestone shall not be deemed a Material Adverse Effect; or</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9.4 Representations. Any representation or warranty made by any Loan Party in any Loan Document when taken as a whole shall have been false or misleading in any material respect when made or when deemed made; or</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9.5 Insolvency. Any Loan Party (A) (i) shall make an assignment for the benefit of creditors; or (ii) shall be unable to pay its debts as they become due;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any Loan Party or of all or any substantial part (i.e., 33-1/3% or more) of the assets or property of any Loan Party; or (vi) shall cease operations of its business as its business has normally been conducted, or terminate substantially all of its employees; or (vii) any Loan Party or its directors or majority shareholders shall take any action initiating any of the foregoing actions described in clauses (i) through (vi); or (B) either (i) forty-five (45) days shall have expired after the commencement of an involuntary action against any Loan Party seeking reorganization, arrangement, composition, readjustment, liquidation, dissolution or similar relief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8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any present or future statute, law or regulation, without such action being dismissed or all orders or proceedings thereunder affecting the operations or the business of any Loan Party being stayed; or (ii) a stay of any such order or proceedings shall thereafter be set aside and the action setting it aside shall not be timely appealed; or (iii) any Loan Party shall file any answer admitting or not contesting the material allegations of a petition filed against any Loan Party in any such proceedings; or (iv) the court in which such proceedings are pending shall enter a decree or order granting the relief sought in any such proceedings; or (v) forty-five (45) days shall have expired after the appointment, without the consent or acquiescence of any Loan Party, of any trustee, receiver or liquidator of any Loan Party or of all or any substantial part of the properties of any Loan Party without such appointment being vacated; or</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9.6 Attachments; Judgments. Any portion of the assets of the Loan Parties in the aggregate value of at least [***] is attached or seized, or a levy is filed against any such assets, or a judgment or judgments, order or orders, or action and actions, either by a court of competent jurisdiction or by a regulatory agency with the power to do so is/are entered and enforceable against a Loan Party, and the same are not, within twenty (20) days after the entry, assessment or issuance thereof, discharged, or after execution thereof, stayed or bonded pending appeal, or such judgments, orders or actions are not discharged prior to the expiration of any such stay, for the payment of money (not covered by independent third party insurance as to which liability has not been rejected by such insurance carrier), individually or in the aggregate, of at least [***], or any Loan Party is enjoined or in any way prevented by court order from conducting any part of its business; or</w:t>
      </w:r>
    </w:p>
    <w:p>
      <w:pPr>
        <w:spacing w:after="0" w:line="15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9.7 Other Obligations. The occurrence of any default under any agreement or obligation of any Loan Party involving any Indebtedness in excess of Two Million Dollars ($2,000,000).</w:t>
      </w:r>
    </w:p>
    <w:p>
      <w:pPr>
        <w:spacing w:after="0" w:line="14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u w:val="single" w:color="auto"/>
          <w:color w:val="auto"/>
        </w:rPr>
        <w:t>REMEDIES</w:t>
      </w:r>
    </w:p>
    <w:p>
      <w:pPr>
        <w:spacing w:after="0" w:line="18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10.1 General. Upon the occurrence and during the continuation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Each Loan Party hereby irrevocably appoints Agent as its lawful attorney-in-fact to: exercisable following the occurrence of an Event of Default, (i) sign such Loan Party’s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such Loan Party’s name, as Agent may elect); (iii) make, settle, and adjust all claims under such Loan Party’s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any Loan Party’s; (vii) endorse such Loan Party’s name on any checks, payment instruments, or other forms of payment or security; and (viii) notify all account debtors to pay Agent directly. Each Loan Party hereby appoints Agent as its lawful attorney-in-fact to sign such Loan Party’s name on any documents necessary to perfect or continue the perfection of Agent’s security interest in the Collateral regardless of whether an Event of Default has occurred until all Secured Obligations have been satisfied in full and the Loan Documents (other than the Warrant) have been terminated. Agent’s foregoing appointment as each Loan Party’s attorney in fact, and all of Agent’s rights and powers, coupled with an interest, are irrevocable until all Secured Obligations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10.2 Collection; Foreclosure. Upon the occurrence and during the continuance of any Event of Default, Agent may at the direction of the Required Lenders, at any time or from time to time, apply, collect, liquidate, sell in one or more sales, lease or otherwise dispose of, any or all of the Collateral in accordance with applicable law, in its then condition or following any commercially reasonable preparation or processing, in such order as Agent may elect. Any such sale may be made either at public or private sale at its place of business or elsewhere. Each Loan Party agrees that any such public or private sale may occur upon ten (10) calendar days’ prior written notice to such Loan Party. Agent may require any Loan Party to assemble the Collateral and make it available to Agent at a place designated by Agent that is reasonably convenient to Agent and such Loan Party. The proceeds of any sale, disposition or other realization upon all or any part of the Collateral shall be applied by Agent in the following order of priorities:</w:t>
      </w:r>
    </w:p>
    <w:p>
      <w:pPr>
        <w:spacing w:after="0" w:line="155" w:lineRule="exact"/>
        <w:rPr>
          <w:sz w:val="20"/>
          <w:szCs w:val="20"/>
          <w:color w:val="auto"/>
        </w:rPr>
      </w:pPr>
    </w:p>
    <w:p>
      <w:pPr>
        <w:jc w:val="both"/>
        <w:ind w:left="1220"/>
        <w:spacing w:after="0" w:line="229" w:lineRule="auto"/>
        <w:rPr>
          <w:sz w:val="20"/>
          <w:szCs w:val="20"/>
          <w:color w:val="auto"/>
        </w:rPr>
      </w:pPr>
      <w:r>
        <w:rPr>
          <w:rFonts w:ascii="Arial" w:cs="Arial" w:eastAsia="Arial" w:hAnsi="Arial"/>
          <w:sz w:val="20"/>
          <w:szCs w:val="20"/>
          <w:color w:val="auto"/>
        </w:rPr>
        <w:t>First, to Agent and Lender in an amount sufficient to pay in full Agent’s and Lender’s reasonable costs and professionals’ and advisors’ fees and expenses as described in Section 11.12;</w:t>
      </w:r>
    </w:p>
    <w:p>
      <w:pPr>
        <w:spacing w:after="0" w:line="155" w:lineRule="exact"/>
        <w:rPr>
          <w:sz w:val="20"/>
          <w:szCs w:val="20"/>
          <w:color w:val="auto"/>
        </w:rPr>
      </w:pPr>
    </w:p>
    <w:p>
      <w:pPr>
        <w:jc w:val="both"/>
        <w:ind w:left="1220"/>
        <w:spacing w:after="0" w:line="229" w:lineRule="auto"/>
        <w:rPr>
          <w:sz w:val="20"/>
          <w:szCs w:val="20"/>
          <w:color w:val="auto"/>
        </w:rPr>
      </w:pPr>
      <w:r>
        <w:rPr>
          <w:rFonts w:ascii="Arial" w:cs="Arial" w:eastAsia="Arial" w:hAnsi="Arial"/>
          <w:sz w:val="20"/>
          <w:szCs w:val="20"/>
          <w:color w:val="auto"/>
        </w:rPr>
        <w:t>Second, to Lender in an amount equal to the then unpaid amount of the Secured Obligations (including principal, interest, and the default interest rate), in such order and priority as Agent may choose in its sole discretion; and</w:t>
      </w:r>
    </w:p>
    <w:p>
      <w:pPr>
        <w:spacing w:after="0" w:line="155" w:lineRule="exact"/>
        <w:rPr>
          <w:sz w:val="20"/>
          <w:szCs w:val="20"/>
          <w:color w:val="auto"/>
        </w:rPr>
      </w:pPr>
    </w:p>
    <w:p>
      <w:pPr>
        <w:jc w:val="both"/>
        <w:ind w:left="1220"/>
        <w:spacing w:after="0" w:line="218" w:lineRule="auto"/>
        <w:rPr>
          <w:sz w:val="20"/>
          <w:szCs w:val="20"/>
          <w:color w:val="auto"/>
        </w:rPr>
      </w:pPr>
      <w:r>
        <w:rPr>
          <w:rFonts w:ascii="Arial" w:cs="Arial" w:eastAsia="Arial" w:hAnsi="Arial"/>
          <w:sz w:val="20"/>
          <w:szCs w:val="20"/>
          <w:color w:val="auto"/>
        </w:rPr>
        <w:t>Finally, after the full and final payment in Cash of all of the Secured Obligations (other than inchoate obligations), to any creditor holding a junior Lien on the Collateral, or to the Loan Parties or their representatives or as a court of competent jurisdiction may direct.</w:t>
      </w:r>
    </w:p>
    <w:p>
      <w:pPr>
        <w:spacing w:after="0" w:line="156" w:lineRule="exact"/>
        <w:rPr>
          <w:sz w:val="20"/>
          <w:szCs w:val="20"/>
          <w:color w:val="auto"/>
        </w:rPr>
      </w:pPr>
    </w:p>
    <w:p>
      <w:pPr>
        <w:jc w:val="both"/>
        <w:ind w:left="1220"/>
        <w:spacing w:after="0" w:line="229" w:lineRule="auto"/>
        <w:rPr>
          <w:sz w:val="20"/>
          <w:szCs w:val="20"/>
          <w:color w:val="auto"/>
        </w:rPr>
      </w:pPr>
      <w:r>
        <w:rPr>
          <w:rFonts w:ascii="Arial" w:cs="Arial" w:eastAsia="Arial" w:hAnsi="Arial"/>
          <w:sz w:val="20"/>
          <w:szCs w:val="20"/>
          <w:color w:val="auto"/>
        </w:rPr>
        <w:t>Agent shall be deemed to have acted reasonably in the custody, preservation and disposition of any of the Collateral if it complies with the obligations of a secured party under the UCC.</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10.3 No Waiver. Agent shall be under no obligation to marshal any of the Collateral for the benefit of the Loan Parties or any other Person, and each Loan Party expressly waives all rights, if any, to require Agent to marshal any Collateral.</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46"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u w:val="single" w:color="auto"/>
          <w:color w:val="auto"/>
        </w:rPr>
        <w:t>MISCELLANEOUS</w:t>
      </w:r>
    </w:p>
    <w:p>
      <w:pPr>
        <w:spacing w:after="0" w:line="18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59" w:lineRule="exact"/>
        <w:rPr>
          <w:sz w:val="20"/>
          <w:szCs w:val="20"/>
          <w:color w:val="auto"/>
        </w:rPr>
      </w:pPr>
    </w:p>
    <w:p>
      <w:pPr>
        <w:ind w:left="1940" w:hanging="636"/>
        <w:spacing w:after="0"/>
        <w:tabs>
          <w:tab w:leader="none" w:pos="19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HERCULES CAPITAL, INC.</w:t>
      </w:r>
    </w:p>
    <w:p>
      <w:pPr>
        <w:ind w:left="1300"/>
        <w:spacing w:after="0" w:line="197" w:lineRule="auto"/>
        <w:rPr>
          <w:sz w:val="20"/>
          <w:szCs w:val="20"/>
          <w:color w:val="auto"/>
        </w:rPr>
      </w:pPr>
      <w:r>
        <w:rPr>
          <w:rFonts w:ascii="Arial" w:cs="Arial" w:eastAsia="Arial" w:hAnsi="Arial"/>
          <w:sz w:val="20"/>
          <w:szCs w:val="20"/>
          <w:color w:val="auto"/>
        </w:rPr>
        <w:t>Legal Department</w:t>
      </w:r>
    </w:p>
    <w:p>
      <w:pPr>
        <w:ind w:left="1300"/>
        <w:spacing w:after="0" w:line="197" w:lineRule="auto"/>
        <w:rPr>
          <w:sz w:val="20"/>
          <w:szCs w:val="20"/>
          <w:color w:val="auto"/>
        </w:rPr>
      </w:pPr>
      <w:r>
        <w:rPr>
          <w:rFonts w:ascii="Arial" w:cs="Arial" w:eastAsia="Arial" w:hAnsi="Arial"/>
          <w:sz w:val="20"/>
          <w:szCs w:val="20"/>
          <w:color w:val="auto"/>
        </w:rPr>
        <w:t>Attention: Chief Legal Officer and Lesya Kulchenko</w:t>
      </w:r>
    </w:p>
    <w:p>
      <w:pPr>
        <w:ind w:left="1300"/>
        <w:spacing w:after="0" w:line="197" w:lineRule="auto"/>
        <w:rPr>
          <w:sz w:val="20"/>
          <w:szCs w:val="20"/>
          <w:color w:val="auto"/>
        </w:rPr>
      </w:pPr>
      <w:r>
        <w:rPr>
          <w:rFonts w:ascii="Arial" w:cs="Arial" w:eastAsia="Arial" w:hAnsi="Arial"/>
          <w:sz w:val="20"/>
          <w:szCs w:val="20"/>
          <w:color w:val="auto"/>
        </w:rPr>
        <w:t>400 Hamilton Avenue, Suite 310</w:t>
      </w:r>
    </w:p>
    <w:p>
      <w:pPr>
        <w:ind w:left="1300"/>
        <w:spacing w:after="0" w:line="197" w:lineRule="auto"/>
        <w:rPr>
          <w:sz w:val="20"/>
          <w:szCs w:val="20"/>
          <w:color w:val="auto"/>
        </w:rPr>
      </w:pPr>
      <w:r>
        <w:rPr>
          <w:rFonts w:ascii="Arial" w:cs="Arial" w:eastAsia="Arial" w:hAnsi="Arial"/>
          <w:sz w:val="20"/>
          <w:szCs w:val="20"/>
          <w:color w:val="auto"/>
        </w:rPr>
        <w:t>Palo Alto, CA 94301</w:t>
      </w:r>
    </w:p>
    <w:p>
      <w:pPr>
        <w:ind w:left="1300"/>
        <w:spacing w:after="0" w:line="198" w:lineRule="auto"/>
        <w:rPr>
          <w:sz w:val="20"/>
          <w:szCs w:val="20"/>
          <w:color w:val="auto"/>
        </w:rPr>
      </w:pPr>
      <w:r>
        <w:rPr>
          <w:rFonts w:ascii="Arial" w:cs="Arial" w:eastAsia="Arial" w:hAnsi="Arial"/>
          <w:sz w:val="20"/>
          <w:szCs w:val="20"/>
          <w:color w:val="auto"/>
        </w:rPr>
        <w:t>email: legal@htgc.com</w:t>
      </w:r>
    </w:p>
    <w:p>
      <w:pPr>
        <w:ind w:left="1300"/>
        <w:spacing w:after="0"/>
        <w:rPr>
          <w:sz w:val="20"/>
          <w:szCs w:val="20"/>
          <w:color w:val="auto"/>
        </w:rPr>
      </w:pPr>
      <w:r>
        <w:rPr>
          <w:rFonts w:ascii="Arial" w:cs="Arial" w:eastAsia="Arial" w:hAnsi="Arial"/>
          <w:sz w:val="20"/>
          <w:szCs w:val="20"/>
          <w:color w:val="auto"/>
        </w:rPr>
        <w:t>Telephone: 650-289-3060</w:t>
      </w:r>
    </w:p>
    <w:p>
      <w:pPr>
        <w:spacing w:after="0" w:line="159" w:lineRule="exact"/>
        <w:rPr>
          <w:sz w:val="20"/>
          <w:szCs w:val="20"/>
          <w:color w:val="auto"/>
        </w:rPr>
      </w:pPr>
    </w:p>
    <w:p>
      <w:pPr>
        <w:ind w:left="1280" w:hanging="636"/>
        <w:spacing w:after="0"/>
        <w:tabs>
          <w:tab w:leader="none" w:pos="12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to the Lenders:</w:t>
      </w:r>
    </w:p>
    <w:p>
      <w:pPr>
        <w:spacing w:after="0" w:line="150"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HERCULES CAPITAL, INC., and</w:t>
      </w:r>
    </w:p>
    <w:p>
      <w:pPr>
        <w:ind w:left="1300" w:right="3620"/>
        <w:spacing w:after="0" w:line="197" w:lineRule="auto"/>
        <w:rPr>
          <w:rFonts w:ascii="Arial" w:cs="Arial" w:eastAsia="Arial" w:hAnsi="Arial"/>
          <w:sz w:val="20"/>
          <w:szCs w:val="20"/>
          <w:color w:val="auto"/>
        </w:rPr>
      </w:pPr>
      <w:r>
        <w:rPr>
          <w:rFonts w:ascii="Arial" w:cs="Arial" w:eastAsia="Arial" w:hAnsi="Arial"/>
          <w:sz w:val="20"/>
          <w:szCs w:val="20"/>
          <w:color w:val="auto"/>
        </w:rPr>
        <w:t>HERCULES PRIVATE GLOBAL VENTURE GROWTH FUND I L.P. Legal Department</w:t>
      </w:r>
    </w:p>
    <w:p>
      <w:pPr>
        <w:ind w:left="1300" w:right="5100"/>
        <w:spacing w:after="0" w:line="197" w:lineRule="auto"/>
        <w:rPr>
          <w:rFonts w:ascii="Arial" w:cs="Arial" w:eastAsia="Arial" w:hAnsi="Arial"/>
          <w:sz w:val="20"/>
          <w:szCs w:val="20"/>
          <w:color w:val="auto"/>
        </w:rPr>
      </w:pPr>
      <w:r>
        <w:rPr>
          <w:rFonts w:ascii="Arial" w:cs="Arial" w:eastAsia="Arial" w:hAnsi="Arial"/>
          <w:sz w:val="20"/>
          <w:szCs w:val="20"/>
          <w:color w:val="auto"/>
        </w:rPr>
        <w:t>Attention: Chief Legal Officer and Lesya Kulchenko 400 Hamilton Avenue, Suite 310</w:t>
      </w:r>
    </w:p>
    <w:p>
      <w:pPr>
        <w:ind w:left="1300"/>
        <w:spacing w:after="0" w:line="197" w:lineRule="auto"/>
        <w:rPr>
          <w:rFonts w:ascii="Arial" w:cs="Arial" w:eastAsia="Arial" w:hAnsi="Arial"/>
          <w:sz w:val="20"/>
          <w:szCs w:val="20"/>
          <w:color w:val="auto"/>
        </w:rPr>
      </w:pPr>
      <w:r>
        <w:rPr>
          <w:rFonts w:ascii="Arial" w:cs="Arial" w:eastAsia="Arial" w:hAnsi="Arial"/>
          <w:sz w:val="20"/>
          <w:szCs w:val="20"/>
          <w:color w:val="auto"/>
        </w:rPr>
        <w:t>Palo Alto, CA 94301</w:t>
      </w:r>
    </w:p>
    <w:p>
      <w:pPr>
        <w:ind w:left="1300"/>
        <w:spacing w:after="0" w:line="197" w:lineRule="auto"/>
        <w:rPr>
          <w:rFonts w:ascii="Arial" w:cs="Arial" w:eastAsia="Arial" w:hAnsi="Arial"/>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legal@htgc.com</w:t>
      </w:r>
      <w:r>
        <w:rPr>
          <w:rFonts w:ascii="Arial" w:cs="Arial" w:eastAsia="Arial" w:hAnsi="Arial"/>
          <w:sz w:val="20"/>
          <w:szCs w:val="20"/>
          <w:color w:val="auto"/>
        </w:rPr>
        <w:t>; lkulchenko@htgc.com</w:t>
      </w:r>
    </w:p>
    <w:p>
      <w:pPr>
        <w:ind w:left="1300"/>
        <w:spacing w:after="0"/>
        <w:rPr>
          <w:rFonts w:ascii="Arial" w:cs="Arial" w:eastAsia="Arial" w:hAnsi="Arial"/>
          <w:sz w:val="20"/>
          <w:szCs w:val="20"/>
          <w:color w:val="auto"/>
        </w:rPr>
      </w:pPr>
      <w:r>
        <w:rPr>
          <w:rFonts w:ascii="Arial" w:cs="Arial" w:eastAsia="Arial" w:hAnsi="Arial"/>
          <w:sz w:val="20"/>
          <w:szCs w:val="20"/>
          <w:color w:val="auto"/>
        </w:rPr>
        <w:t>Telephone: 650-289-3060</w:t>
      </w:r>
    </w:p>
    <w:p>
      <w:pPr>
        <w:spacing w:after="0" w:line="159" w:lineRule="exact"/>
        <w:rPr>
          <w:rFonts w:ascii="Arial" w:cs="Arial" w:eastAsia="Arial" w:hAnsi="Arial"/>
          <w:sz w:val="20"/>
          <w:szCs w:val="20"/>
          <w:color w:val="auto"/>
        </w:rPr>
      </w:pPr>
    </w:p>
    <w:p>
      <w:pPr>
        <w:ind w:left="1280" w:hanging="636"/>
        <w:spacing w:after="0"/>
        <w:tabs>
          <w:tab w:leader="none" w:pos="12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to Borrower:</w:t>
      </w:r>
    </w:p>
    <w:p>
      <w:pPr>
        <w:spacing w:after="0" w:line="175" w:lineRule="exact"/>
        <w:rPr>
          <w:rFonts w:ascii="Arial" w:cs="Arial" w:eastAsia="Arial" w:hAnsi="Arial"/>
          <w:sz w:val="20"/>
          <w:szCs w:val="20"/>
          <w:color w:val="auto"/>
        </w:rPr>
      </w:pPr>
    </w:p>
    <w:p>
      <w:pPr>
        <w:ind w:left="1300" w:right="7260"/>
        <w:spacing w:after="0" w:line="228" w:lineRule="auto"/>
        <w:rPr>
          <w:rFonts w:ascii="Arial" w:cs="Arial" w:eastAsia="Arial" w:hAnsi="Arial"/>
          <w:sz w:val="20"/>
          <w:szCs w:val="20"/>
          <w:color w:val="auto"/>
        </w:rPr>
      </w:pPr>
      <w:r>
        <w:rPr>
          <w:rFonts w:ascii="Arial" w:cs="Arial" w:eastAsia="Arial" w:hAnsi="Arial"/>
          <w:sz w:val="18"/>
          <w:szCs w:val="18"/>
          <w:color w:val="auto"/>
        </w:rPr>
        <w:t>OUSTER, INC. Attention: Adam Dolinko</w:t>
      </w:r>
    </w:p>
    <w:p>
      <w:pPr>
        <w:ind w:left="1300"/>
        <w:spacing w:after="0" w:line="197" w:lineRule="auto"/>
        <w:rPr>
          <w:sz w:val="20"/>
          <w:szCs w:val="20"/>
          <w:color w:val="auto"/>
        </w:rPr>
      </w:pPr>
      <w:r>
        <w:rPr>
          <w:rFonts w:ascii="Arial" w:cs="Arial" w:eastAsia="Arial" w:hAnsi="Arial"/>
          <w:sz w:val="20"/>
          <w:szCs w:val="20"/>
          <w:color w:val="auto"/>
        </w:rPr>
        <w:t>350 Treat Avenue</w:t>
      </w:r>
    </w:p>
    <w:p>
      <w:pPr>
        <w:ind w:left="1300"/>
        <w:spacing w:after="0" w:line="198" w:lineRule="auto"/>
        <w:rPr>
          <w:sz w:val="20"/>
          <w:szCs w:val="20"/>
          <w:color w:val="auto"/>
        </w:rPr>
      </w:pPr>
      <w:r>
        <w:rPr>
          <w:rFonts w:ascii="Arial" w:cs="Arial" w:eastAsia="Arial" w:hAnsi="Arial"/>
          <w:sz w:val="20"/>
          <w:szCs w:val="20"/>
          <w:color w:val="auto"/>
        </w:rPr>
        <w:t>San Francisco, California 94110</w:t>
      </w:r>
    </w:p>
    <w:p>
      <w:pPr>
        <w:ind w:left="1300"/>
        <w:spacing w:after="0" w:line="197" w:lineRule="auto"/>
        <w:rPr>
          <w:sz w:val="20"/>
          <w:szCs w:val="20"/>
          <w:color w:val="auto"/>
        </w:rPr>
      </w:pPr>
      <w:r>
        <w:rPr>
          <w:rFonts w:ascii="Arial" w:cs="Arial" w:eastAsia="Arial" w:hAnsi="Arial"/>
          <w:sz w:val="20"/>
          <w:szCs w:val="20"/>
          <w:color w:val="auto"/>
        </w:rPr>
        <w:t>email: legal@ouster.io</w:t>
      </w:r>
    </w:p>
    <w:p>
      <w:pPr>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5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Entire Agreement; Amendments.</w:t>
      </w:r>
    </w:p>
    <w:p>
      <w:pPr>
        <w:spacing w:after="0" w:line="175" w:lineRule="exact"/>
        <w:rPr>
          <w:sz w:val="20"/>
          <w:szCs w:val="20"/>
          <w:color w:val="auto"/>
        </w:rPr>
      </w:pPr>
    </w:p>
    <w:p>
      <w:pPr>
        <w:jc w:val="both"/>
        <w:ind w:firstLine="644"/>
        <w:spacing w:after="0" w:line="210" w:lineRule="auto"/>
        <w:tabs>
          <w:tab w:leader="none" w:pos="128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December 2, 2021 and the Non-Disclosure Agreement).</w:t>
      </w:r>
    </w:p>
    <w:p>
      <w:pPr>
        <w:spacing w:after="0" w:line="154" w:lineRule="exact"/>
        <w:rPr>
          <w:rFonts w:ascii="Arial" w:cs="Arial" w:eastAsia="Arial" w:hAnsi="Arial"/>
          <w:sz w:val="20"/>
          <w:szCs w:val="20"/>
          <w:color w:val="auto"/>
        </w:rPr>
      </w:pPr>
    </w:p>
    <w:p>
      <w:pPr>
        <w:jc w:val="both"/>
        <w:ind w:firstLine="644"/>
        <w:spacing w:after="0" w:line="224" w:lineRule="auto"/>
        <w:tabs>
          <w:tab w:leader="none" w:pos="12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each party to the relevant Loan Document may, or, with the written consent of the Required Lenders, the Agent and the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80"/>
          </w:cols>
          <w:pgMar w:left="980" w:top="1440" w:right="339" w:bottom="1440" w:gutter="0" w:footer="0" w:header="0"/>
        </w:sectPr>
      </w:pPr>
    </w:p>
    <w:bookmarkStart w:id="78" w:name="page79"/>
    <w:bookmarkEnd w:id="78"/>
    <w:p>
      <w:pPr>
        <w:spacing w:after="0" w:line="182" w:lineRule="exact"/>
        <w:rPr>
          <w:sz w:val="20"/>
          <w:szCs w:val="20"/>
          <w:color w:val="auto"/>
        </w:rPr>
      </w:pPr>
    </w:p>
    <w:p>
      <w:pPr>
        <w:jc w:val="both"/>
        <w:ind w:left="660"/>
        <w:spacing w:after="0" w:line="221" w:lineRule="auto"/>
        <w:rPr>
          <w:sz w:val="20"/>
          <w:szCs w:val="20"/>
          <w:color w:val="auto"/>
        </w:rPr>
      </w:pPr>
      <w:r>
        <w:rPr>
          <w:rFonts w:ascii="Arial" w:cs="Arial" w:eastAsia="Arial" w:hAnsi="Arial"/>
          <w:sz w:val="19"/>
          <w:szCs w:val="19"/>
          <w:color w:val="auto"/>
        </w:rPr>
        <w:t>by the Loan Parties of any of their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Section 11.18 without the written consent of the Agent. Any such waiver and any such amendment, supplement or modification shall apply equally to each Lender and shall be binding upon the Loan Parties, the Lender, the Agent and all future holders of the Loans.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11.5 No Waiver. The powers conferred upon Agent and Lender by this Agreement are solely to protect its rights hereunder and under the other Loan Documents and its interest in the Collateral and shall not impose any duty upon Agent or Lender to exercise any such powers. No omission or delay by Agent or Lender at any time to enforce any right or remedy reserved to it, or to require performance of any of the terms, covenants or provisions hereof by the Loan Parties at any time designated, shall be a waiver of any such right or remedy to which Agent or Lender is entitled, nor shall it in any way affect the right of Agent or Lender to enforce such provisions thereafter.</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11.6 Survival. All agreements, representations and warranties contained in this Agreement and the other Loan Documents or in any document delivered pursuant hereto or thereto shall be for the benefit of Agent, the Lenders, and each Loan Party, and shall survive the execution and delivery of this Agreement. Sections 6.3, 11.14, 11.15 and 11.17 shall survive the termination of this Agreement.</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11.7 Successors and Assigns. The provisions of this Agreement and the other Loan Documents shall inure to the benefit of and be binding on each Loan Party and its permitted assigns (if any). No Loan Party shall assign its obligations under this Agreement or any of the other Loan Documents (other than the Warrant which may be assigned in accordance with its terms) without Agent’s express prior written consent, and any such attempted assignment shall be void and of no effect. Agent and the Lenders may assign, transfer, or endorse its rights hereunder and under the other Loan Documents without prior notice to the Loan Parties,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any Loan Party or a distressed debt or vulture fund (as reasonably determined by Agent), it being acknowledged that in all cases, any transfer to a controlled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Loan Parties,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Loan Parties, the Agent and the Lender(s) shall treat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Person whose name is recorded in the Register pursuant to the terms hereof as a Lender hereunder for all purposes of this Agreement. The Register shall be available for inspection by the any Loan Party and any Lender, at any reasonable time and from time to time upon reasonable prior notice.</w:t>
      </w:r>
    </w:p>
    <w:p>
      <w:pPr>
        <w:spacing w:after="0" w:line="15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6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1.9 Governing Law. This Agreement and the other Loan Documents have been negotiated and delivered to Agent and the Lenders in the State of California, and shall have been accepted by Agent and the Lenders in the State of California. Payment to Agent and the Lenders by the Loan Parties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w:t>
      </w:r>
    </w:p>
    <w:p>
      <w:pPr>
        <w:spacing w:after="0" w:line="1" w:lineRule="exact"/>
        <w:rPr>
          <w:sz w:val="20"/>
          <w:szCs w:val="20"/>
          <w:color w:val="auto"/>
        </w:rPr>
      </w:pPr>
    </w:p>
    <w:p>
      <w:pPr>
        <w:jc w:val="both"/>
        <w:ind w:firstLine="8"/>
        <w:spacing w:after="0" w:line="214" w:lineRule="auto"/>
        <w:tabs>
          <w:tab w:leader="none" w:pos="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Mutual Waiver of Jury Trial / Judicial Reference.</w:t>
      </w:r>
    </w:p>
    <w:p>
      <w:pPr>
        <w:spacing w:after="0" w:line="175" w:lineRule="exact"/>
        <w:rPr>
          <w:sz w:val="20"/>
          <w:szCs w:val="20"/>
          <w:color w:val="auto"/>
        </w:rPr>
      </w:pPr>
    </w:p>
    <w:p>
      <w:pPr>
        <w:jc w:val="both"/>
        <w:ind w:left="660" w:firstLine="644"/>
        <w:spacing w:after="0" w:line="207" w:lineRule="auto"/>
        <w:tabs>
          <w:tab w:leader="none" w:pos="1946" w:val="left"/>
        </w:tabs>
        <w:numPr>
          <w:ilvl w:val="0"/>
          <w:numId w:val="48"/>
        </w:numPr>
        <w:rPr>
          <w:rFonts w:ascii="Arial" w:cs="Arial" w:eastAsia="Arial" w:hAnsi="Arial"/>
          <w:sz w:val="20"/>
          <w:szCs w:val="20"/>
          <w:color w:val="auto"/>
        </w:rPr>
      </w:pPr>
      <w:r>
        <w:rPr>
          <w:rFonts w:ascii="Arial" w:cs="Arial" w:eastAsia="Arial" w:hAnsi="Arial"/>
          <w:sz w:val="20"/>
          <w:szCs w:val="20"/>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THE LOAN PARTIES, AGENT AND THE LENDERS SPECIFICALLY WAIVES ANY RIGHT IT MAY HAVE TO TRIAL BY JURY OF ANY CAUSE OF ACTION, CLAIM, CROSS-CLAIM, COUNTERCLAIM, THIRD PARTY CLAIM OR ANY OTHER CLAIM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2" w:lineRule="exact"/>
        <w:rPr>
          <w:sz w:val="20"/>
          <w:szCs w:val="20"/>
          <w:color w:val="auto"/>
        </w:rPr>
      </w:pPr>
    </w:p>
    <w:p>
      <w:pPr>
        <w:jc w:val="both"/>
        <w:ind w:left="660"/>
        <w:spacing w:after="0" w:line="207" w:lineRule="auto"/>
        <w:rPr>
          <w:sz w:val="20"/>
          <w:szCs w:val="20"/>
          <w:color w:val="auto"/>
        </w:rPr>
      </w:pPr>
      <w:r>
        <w:rPr>
          <w:rFonts w:ascii="Arial" w:cs="Arial" w:eastAsia="Arial" w:hAnsi="Arial"/>
          <w:sz w:val="20"/>
          <w:szCs w:val="20"/>
          <w:color w:val="auto"/>
        </w:rPr>
        <w:t>“CLAIMS”) ASSERTED BY THE LOAN PARTIES AGAINST AGENT, THE LENDERS OR THEIR RESPECTIVE ASSIGNEE OR BY AGENT, THE LENDERS OR THEIR RESPECTIVE ASSIGNEE AGAINST ANY LOAN PARTY. This waiver extends to all such Claims, including Claims that involve Persons other than Agent, the Loan Parties and the Lenders; Claims that arise out of or are in any way connected to the relationship among the Loan Parties, Agent and the Lenders; and any Claims for damages, breach of contract, tort, specific performance, or any equitable or legal relief of any kind, arising out of this Agreement, any other Loan Document.</w:t>
      </w:r>
    </w:p>
    <w:p>
      <w:pPr>
        <w:spacing w:after="0" w:line="160" w:lineRule="exact"/>
        <w:rPr>
          <w:sz w:val="20"/>
          <w:szCs w:val="20"/>
          <w:color w:val="auto"/>
        </w:rPr>
      </w:pPr>
    </w:p>
    <w:p>
      <w:pPr>
        <w:jc w:val="both"/>
        <w:ind w:left="660" w:firstLine="644"/>
        <w:spacing w:after="0" w:line="21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54" w:lineRule="exact"/>
        <w:rPr>
          <w:rFonts w:ascii="Arial" w:cs="Arial" w:eastAsia="Arial" w:hAnsi="Arial"/>
          <w:sz w:val="20"/>
          <w:szCs w:val="20"/>
          <w:color w:val="auto"/>
        </w:rPr>
      </w:pPr>
    </w:p>
    <w:p>
      <w:pPr>
        <w:jc w:val="both"/>
        <w:ind w:left="660" w:firstLine="644"/>
        <w:spacing w:after="0" w:line="230" w:lineRule="auto"/>
        <w:tabs>
          <w:tab w:leader="none" w:pos="1946"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1.12 Professional Fees. Each Loan Party promises to pay Agent’s and the Lenders’ reasonable and documented out-of-pocket fees and expenses necessary to finalize the loan documentation, including but not limited to reasonable attorneys’ fees, UCC searches, filing costs, and other miscellaneous expenses, provided that the Due Diligence Fee shall be applied in its entirety to the Lenders’ non-legal transaction costs and due diligence expenses. In addition, each Loan Party promises to pay any and all reasonable and documented out-of-pocket attorneys’ and other professionals’ fees and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the Loan Parties or the Collateral, and any appeal or review thereof; and (g) any bankruptcy, restructuring, reorganization, assignment for the benefit of creditors, workout, foreclosure, or other action related to the Loan Parties, the Collateral, the Loan Documents, including representing Agent or the Lenders in any adversary proceeding or contested matter commenced or continued by or on behalf of any Loan Party’s estate, and any appeal or review thereof.</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1.13 Confidentiality. Agent and the Lenders acknowledge that certain items of Collateral and information provided to Agent and the Lenders by the Loan Parties are confidential and proprietary information of the Loan Parties, if and to the extent such information either</w:t>
      </w:r>
    </w:p>
    <w:p>
      <w:pPr>
        <w:spacing w:after="0" w:line="1" w:lineRule="exact"/>
        <w:rPr>
          <w:sz w:val="20"/>
          <w:szCs w:val="20"/>
          <w:color w:val="auto"/>
        </w:rPr>
      </w:pPr>
    </w:p>
    <w:p>
      <w:pPr>
        <w:jc w:val="both"/>
        <w:ind w:firstLine="8"/>
        <w:spacing w:after="0" w:line="252"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is marked as confidential by the Loan Parties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the Loan Parties, except that Agent and the Lenders may disclose any such information: (a) to its Affiliates and its partners, lenders, directors, officers, employees, agents, advisors, accountants, counsel, representative and other professional advisors if Agent or the Lenders in their reasonable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pursuant to similar terms;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Loan Parties and not in violation of any confidentiality obligations known to the Agent 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82" w:lineRule="exact"/>
        <w:rPr>
          <w:sz w:val="20"/>
          <w:szCs w:val="20"/>
          <w:color w:val="auto"/>
        </w:rPr>
      </w:pPr>
    </w:p>
    <w:p>
      <w:pPr>
        <w:jc w:val="both"/>
        <w:ind w:firstLine="8"/>
        <w:spacing w:after="0" w:line="212" w:lineRule="auto"/>
        <w:tabs>
          <w:tab w:leader="none" w:pos="297"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no less protective than the provisions of this Section 11.13; (h) to any investor or potential investor (and each of their respective Affiliates or clients) in the Agent or Lender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any of the Loan Parties; or (j) otherwise with the prior consent of the Loan Parties; provided, that any disclosure made in violation of this Agreement shall not affect the obligations of any Loan Party or any of its Affiliates or any guarantor under this Agreement or the other Loan Documents. Agent’s and the Lenders’ obligations under this Section 11.13 shall supersede all of their respective obligations under the Non-Disclosure Agreement.</w:t>
      </w:r>
    </w:p>
    <w:p>
      <w:pPr>
        <w:spacing w:after="0" w:line="15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1.14 Assignment of Rights. Each Loan Party acknowledges and understands that Agent or the Lenders may, subject to Section 11.7, sell and assign all or part of its interest hereunder and under the Loan Documents (other than the Warrant which is subject to any 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any Loan Party of any of its obligations hereunder. Each Lender agrees that in the event of any transfer by it of the promissory note(s) (if any), it shall endorse thereon a notation as to the portion of the principal of such promissory note(s), which shall have been paid at the time of such transfer and as to the date to which interest shall have been last paid thereon.</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1.15 Termination; Revival of Secured Obligations. Other than as set forth in Section 11.6, this Agreement and the other Loan Documents (except for the Warrant) shall terminate on the payment in full in cash of the Secured Obligations (other than any obligations that specifically survive termination). Notwithstanding the preceding sentence, this Agreement and the Loan Documents shall remain in full force and effect and continue to be effective if any petition is filed by or against any Loan Party for liquidation or reorganization, if any Loan Party becomes insolvent or makes an assignment for the benefit of creditors, if a receiver or trustee is appointed for all or any significant part of any Loan Party’s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(other than obligations that survive termination),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and final payment to Agent or the Lenders in Cash.</w:t>
      </w:r>
    </w:p>
    <w:p>
      <w:pPr>
        <w:spacing w:after="0" w:line="15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1.17 No Third Party Beneficiaries. No provisions of the Loan Documents are intended, nor will be interpreted, to provide or create any third-party beneficiary rights or any other rights of any kind in any Person other than Agent, the Lenders and the Loan Parties unless specifically provided otherwise herein, and, except as otherwise so provided, all provisions of the Loan Documents will be personal and solely among Agent, the Lenders and the Loan Parties which are a party thereto.</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1.18 Agency. Agent and each Lender hereby agree to the terms and conditions set forth on Addendum 3 attached hereto. Each Loan Party acknowledges and agrees to the terms and conditions set forth on Addendum 3 attached hereto.</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1.21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44" w:lineRule="exact"/>
        <w:rPr>
          <w:sz w:val="20"/>
          <w:szCs w:val="20"/>
          <w:color w:val="auto"/>
        </w:rPr>
      </w:pPr>
    </w:p>
    <w:p>
      <w:pPr>
        <w:ind w:left="2600"/>
        <w:spacing w:after="0"/>
        <w:tabs>
          <w:tab w:leader="none" w:pos="448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u w:val="single" w:color="auto"/>
          <w:color w:val="auto"/>
        </w:rPr>
        <w:t>GUARANTY.</w:t>
      </w:r>
    </w:p>
    <w:p>
      <w:pPr>
        <w:spacing w:after="0" w:line="19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12.1 Guaranty. Each Loan Party hereby agrees that such Loan Party is jointly and severally liable for, and hereby absolutely and unconditionally guarantees to the Agent and the Lenders and their respective successors and assigns, the full and prompt payment (whether at stated maturity, by acceleration or otherwise) and performance of, all Obligations owed or hereafter owing to the Agent and the Lenders by each other Loan Party. Each Loan Party agrees that its guaranty obligation hereunder is a continuing guaranty of payment and performance and not of collection, and that its obligations under this Section 12 shall be absolute and unconditional, irrespective of, and unaffected by:</w:t>
      </w:r>
    </w:p>
    <w:p>
      <w:pPr>
        <w:spacing w:after="0" w:line="156" w:lineRule="exact"/>
        <w:rPr>
          <w:sz w:val="20"/>
          <w:szCs w:val="20"/>
          <w:color w:val="auto"/>
        </w:rPr>
      </w:pPr>
    </w:p>
    <w:p>
      <w:pPr>
        <w:ind w:left="660" w:firstLine="644"/>
        <w:spacing w:after="0" w:line="269" w:lineRule="auto"/>
        <w:tabs>
          <w:tab w:leader="none" w:pos="19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genuineness, validity, regularity, enforceability or any future amendment of, or change in, this Agreement, any other Loan Document or any other agreement, document or instrument to which any Loan Party is or may become a party;</w:t>
      </w:r>
    </w:p>
    <w:p>
      <w:pPr>
        <w:spacing w:after="0" w:line="130" w:lineRule="exact"/>
        <w:rPr>
          <w:rFonts w:ascii="Arial" w:cs="Arial" w:eastAsia="Arial" w:hAnsi="Arial"/>
          <w:sz w:val="18"/>
          <w:szCs w:val="18"/>
          <w:color w:val="auto"/>
        </w:rPr>
      </w:pPr>
    </w:p>
    <w:p>
      <w:pPr>
        <w:ind w:left="660" w:firstLine="644"/>
        <w:spacing w:after="0" w:line="229" w:lineRule="auto"/>
        <w:tabs>
          <w:tab w:leader="none" w:pos="19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absence of any action to enforce this Agreement (including this Section 12) or any other Loan Document or the waiver or consent by the Agent and the Lenders with respect to any of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2" w:lineRule="exact"/>
        <w:rPr>
          <w:sz w:val="20"/>
          <w:szCs w:val="20"/>
          <w:color w:val="auto"/>
        </w:rPr>
      </w:pPr>
    </w:p>
    <w:p>
      <w:pPr>
        <w:ind w:left="660" w:firstLine="644"/>
        <w:spacing w:after="0" w:line="269" w:lineRule="auto"/>
        <w:tabs>
          <w:tab w:leader="none" w:pos="19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existence, value or condition of, or failure to perfect its Lien against, any security for the Obligations or any action, or the absence of any action, by the Agent and the Lenders in respect thereof (including the release of any such security);</w:t>
      </w:r>
    </w:p>
    <w:p>
      <w:pPr>
        <w:spacing w:after="0" w:line="130" w:lineRule="exact"/>
        <w:rPr>
          <w:rFonts w:ascii="Arial" w:cs="Arial" w:eastAsia="Arial" w:hAnsi="Arial"/>
          <w:sz w:val="18"/>
          <w:szCs w:val="18"/>
          <w:color w:val="auto"/>
        </w:rPr>
      </w:pPr>
    </w:p>
    <w:p>
      <w:pPr>
        <w:ind w:left="1940" w:hanging="636"/>
        <w:spacing w:after="0"/>
        <w:tabs>
          <w:tab w:leader="none" w:pos="19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insolvency of any Loan Party; or</w:t>
      </w:r>
    </w:p>
    <w:p>
      <w:pPr>
        <w:spacing w:after="0" w:line="175" w:lineRule="exact"/>
        <w:rPr>
          <w:rFonts w:ascii="Arial" w:cs="Arial" w:eastAsia="Arial" w:hAnsi="Arial"/>
          <w:sz w:val="20"/>
          <w:szCs w:val="20"/>
          <w:color w:val="auto"/>
        </w:rPr>
      </w:pPr>
    </w:p>
    <w:p>
      <w:pPr>
        <w:ind w:left="660" w:firstLine="644"/>
        <w:spacing w:after="0" w:line="229" w:lineRule="auto"/>
        <w:tabs>
          <w:tab w:leader="none" w:pos="1946"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other action or circumstances which might otherwise constitute a legal or equitable discharge or defense of a surety or guarantor;</w:t>
      </w:r>
    </w:p>
    <w:p>
      <w:pPr>
        <w:spacing w:after="0" w:line="155" w:lineRule="exact"/>
        <w:rPr>
          <w:sz w:val="20"/>
          <w:szCs w:val="20"/>
          <w:color w:val="auto"/>
        </w:rPr>
      </w:pPr>
    </w:p>
    <w:p>
      <w:pPr>
        <w:jc w:val="both"/>
        <w:ind w:left="580"/>
        <w:spacing w:after="0" w:line="218" w:lineRule="auto"/>
        <w:rPr>
          <w:sz w:val="20"/>
          <w:szCs w:val="20"/>
          <w:color w:val="auto"/>
        </w:rPr>
      </w:pPr>
      <w:r>
        <w:rPr>
          <w:rFonts w:ascii="Arial" w:cs="Arial" w:eastAsia="Arial" w:hAnsi="Arial"/>
          <w:sz w:val="20"/>
          <w:szCs w:val="20"/>
          <w:color w:val="auto"/>
        </w:rPr>
        <w:t>it being agreed by each Loan Party that its obligations under this Section 12 shall not be discharged until the Termination Date has occurred. Each Loan Party shall be regarded, and shall be in the same position, as principal debtor with respect to the Obligations guaranteed hereunder.</w:t>
      </w:r>
    </w:p>
    <w:p>
      <w:pPr>
        <w:spacing w:after="0" w:line="156"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12.2 Waivers by the Loan Parties. Each Loan Party expressly waives all rights it may have now or in the future under any statute, or at common law, or pursuant to any other laws or in equity, or otherwise, to compel the Agent or the Lenders to marshal assets or to proceed in respect of the Obligations guaranteed hereunder against any other Loan Party, any other party or against any security for the payment and performance of the Obligations before proceeding against, or as a condition to proceeding against, such Loan Party. It is agreed among each Loan Party, the Agent and the Lenders that the foregoing waivers are of the essence of the transaction contemplated by this Agreement and the other Loan Documents and that, but for the provisions of this Section 12 and such waivers, the Agent and the Lenders would decline to enter into this Agreement.</w:t>
      </w:r>
    </w:p>
    <w:p>
      <w:pPr>
        <w:spacing w:after="0" w:line="15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12.3 Benefit of Guaranty. Each Loan Party agrees that the provisions of this Section 12 are for the benefit of the Agent and the other Secured Parties and their respective successors, transferees, endorsees and assigns, and nothing herein contained shall impair, as between the Borrower, on the one hand, and the Agent and the Lenders, on the other hand, the obligations of such other Loan Party under the Loan Documents.</w:t>
      </w:r>
    </w:p>
    <w:p>
      <w:pPr>
        <w:spacing w:after="0" w:line="1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12.4 Subordination of Subrogation, Etc. Notwithstanding anything to the contrary in this Agreement or in any other Loan Document, and except as set forth in Section 11.7, each Loan Party hereby expressly and irrevocably subordinates to the prior payment in full, in cash, of the Obligations (other than contingent indemnity obligations for which no claim is outstanding) any and all rights pursuant to any laws or in equity to subrogation, reimbursement, exoneration, contribution, indemnification or set off and any and all defenses available to a surety, guarantor or accommodation co-obligor until the Termination Date has occurred. Each Loan Party acknowledges and agrees that this subordination is intended to benefit the Agent and the Lenders and shall not limit or otherwise affect such Loan Party’s liability hereunder or the enforceability of this Section 11, and that the Agent, the Lenders and their respective successors and assigns are intended third party beneficiaries of the waivers and agreements set forth in this Section 12.4.</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12.5 Election of Remedies. If the Agent or any Lender may, under applicable law, proceed to realize its benefits under any of the Loan Documents giving the Agent or such Lender a Lien upon any Collateral, whether owned by any Loan Party or by any other Person, either by judicial foreclosure or by non judicial sale or enforcement, the Agent or any Lender may, at its sole option, determine which of its remedies or rights it may pursue without affecting any of its rights and remedies under this Section 11. If, in the exercise of any of its rights and remedies, the Agent or any Lender shall forfeit any of its rights or remedies, including its right to enter a deficiency judgment against any Loan Party or any other Person, whether because of any applicable laws pertaining to “election of remedies” or the like, each Loan Party hereby consents to such action by the Agent or such Lender and waives any claim based upon such action, even if such action by the Agent or such Lender shall result in a full or partial loss of any rights of subrogation which each Loan Party might otherwise have had but for such action by the Agent or such Lender. Any election of remedies which results in the denial or impairment of the right of the Agent or any Lender to seek a deficiency judgment against any Loan Party shall not impair any other Loan Party’s obligation to pay the full amount of the Obligations. In the event the Agent or any Lender shall bid at any foreclosure or trustee’s sale or at any private sale permitted by law or the Loan Documents, the Agent (either directly or through one or more acquisition vehicles) or such Lender may offset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against the purchase price of such bid in lieu of accepting cash or other non-cash consideration in connection with such sale or other disposition. The amount of the successful bid at any such sale, whether the Agent, any Lender or any other party is the successful bidder, shall be conclusively deemed to be the fair and reasonably equivalent value of the Collateral and the difference between such bid amount and the remaining balance of the Obligations shall be conclusively deemed to be the amount of the Obligations guaranteed under this Section 11, notwithstanding that any present or future law or court decision or ruling may have the effect of reducing the amount of any deficiency claim to which the Agent or any Lender might otherwise be entitled but for such bidding at any such sale.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12.6 Limitation. Notwithstanding any provision herein contained to the contrary, the liability of each Loan Party (other than the Borrower) under this Section 12 (which liability is in any event in addition to amounts for which such Loan Party is primarily liable under Section 2) shall be limited to an amount not to exceed as of any date of determination the greater of:</w:t>
      </w:r>
    </w:p>
    <w:p>
      <w:pPr>
        <w:spacing w:after="0" w:line="156" w:lineRule="exact"/>
        <w:rPr>
          <w:sz w:val="20"/>
          <w:szCs w:val="20"/>
          <w:color w:val="auto"/>
        </w:rPr>
      </w:pPr>
    </w:p>
    <w:p>
      <w:pPr>
        <w:ind w:left="660" w:firstLine="644"/>
        <w:spacing w:after="0" w:line="242" w:lineRule="auto"/>
        <w:tabs>
          <w:tab w:leader="none" w:pos="19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net amount of all Loans (plus all other Obligations owing in connection therewith) advanced to any other Loan Party under this Agreement and then re-loaned or otherwise transferred to, or for the benefit of, such Loan Party; and</w:t>
      </w:r>
    </w:p>
    <w:p>
      <w:pPr>
        <w:spacing w:after="0" w:line="153" w:lineRule="exact"/>
        <w:rPr>
          <w:rFonts w:ascii="Arial" w:cs="Arial" w:eastAsia="Arial" w:hAnsi="Arial"/>
          <w:sz w:val="19"/>
          <w:szCs w:val="19"/>
          <w:color w:val="auto"/>
        </w:rPr>
      </w:pPr>
    </w:p>
    <w:p>
      <w:pPr>
        <w:ind w:left="660" w:firstLine="644"/>
        <w:spacing w:after="0" w:line="229" w:lineRule="auto"/>
        <w:tabs>
          <w:tab w:leader="none" w:pos="1944"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amount which could be claimed by the Agent and the Lenders from such Loan Party under this Section 11 without rendering such claim voidable or avoidable under</w:t>
      </w:r>
    </w:p>
    <w:p>
      <w:pPr>
        <w:spacing w:after="0" w:line="155" w:lineRule="exact"/>
        <w:rPr>
          <w:rFonts w:ascii="Arial" w:cs="Arial" w:eastAsia="Arial" w:hAnsi="Arial"/>
          <w:sz w:val="20"/>
          <w:szCs w:val="20"/>
          <w:color w:val="auto"/>
        </w:rPr>
      </w:pPr>
    </w:p>
    <w:p>
      <w:pPr>
        <w:jc w:val="both"/>
        <w:ind w:left="660" w:firstLine="644"/>
        <w:spacing w:after="0" w:line="244" w:lineRule="auto"/>
        <w:tabs>
          <w:tab w:leader="none" w:pos="19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548 of Chapter 11 of the United States Bankruptcy Code, as amended, or under any applicable state Uniform Fraudulent Transfer Act, Uniform Fraudulent Conveyance Act or similar statute or common law after taking into account, among other things, such Loan Party’s right of contribution and indemnification from each other Loan Party under Section 12.6.</w:t>
      </w:r>
    </w:p>
    <w:p>
      <w:pPr>
        <w:spacing w:after="0" w:line="152" w:lineRule="exact"/>
        <w:rPr>
          <w:sz w:val="20"/>
          <w:szCs w:val="20"/>
          <w:color w:val="auto"/>
        </w:rPr>
      </w:pPr>
    </w:p>
    <w:p>
      <w:pPr>
        <w:ind w:left="580"/>
        <w:spacing w:after="0" w:line="229" w:lineRule="auto"/>
        <w:rPr>
          <w:sz w:val="20"/>
          <w:szCs w:val="20"/>
          <w:color w:val="auto"/>
        </w:rPr>
      </w:pPr>
      <w:r>
        <w:rPr>
          <w:rFonts w:ascii="Arial" w:cs="Arial" w:eastAsia="Arial" w:hAnsi="Arial"/>
          <w:sz w:val="20"/>
          <w:szCs w:val="20"/>
          <w:color w:val="auto"/>
        </w:rPr>
        <w:t>The provisions of this Section 12.6 shall be implemented automatically without the need for any amendment, modification, termination or waiver of any provision of this Agreement or any other Loan Document.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Contribution with Respect to Guaranty Obligations.</w:t>
      </w:r>
    </w:p>
    <w:p>
      <w:pPr>
        <w:spacing w:after="0" w:line="175" w:lineRule="exact"/>
        <w:rPr>
          <w:sz w:val="20"/>
          <w:szCs w:val="20"/>
          <w:color w:val="auto"/>
        </w:rPr>
      </w:pPr>
    </w:p>
    <w:p>
      <w:pPr>
        <w:jc w:val="both"/>
        <w:ind w:left="660" w:firstLine="644"/>
        <w:spacing w:after="0" w:line="227" w:lineRule="auto"/>
        <w:tabs>
          <w:tab w:leader="none" w:pos="19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extent that any Loan Party shall make a payment under this Section 12 of all or any of the Obligations (other than Loans made to that Loan Party for which it is primarily liable) (a “Guarantor Payment”) which, taking into account all other Guarantor Payments then previously or concurrently made by any other Loan Party, exceeds the amount which such Loan Party would otherwise have paid if each Loan Party had paid the aggregate Obligations satisfied by such Guarantor Payment in the same proportion that such Loan Party’s “Allocable Amount” (as defined below) (as determined immediately prior to such Guarantor Payment) bore to the aggregate Allocable Amounts of each of the Loan Parties as determined immediately prior to the making of such Guarantor Payment, then, following the occurrence of the Termination Date, such Loan Party shall be entitled to receive contribution and indemnification payments from, and be reimbursed by, each other Loan Party for the amount of such excess, pro rata based upon their respective Allocable Amounts in effect immediately prior to such Guarantor Payment.</w:t>
      </w:r>
    </w:p>
    <w:p>
      <w:pPr>
        <w:spacing w:after="0" w:line="155" w:lineRule="exact"/>
        <w:rPr>
          <w:rFonts w:ascii="Arial" w:cs="Arial" w:eastAsia="Arial" w:hAnsi="Arial"/>
          <w:sz w:val="18"/>
          <w:szCs w:val="18"/>
          <w:color w:val="auto"/>
        </w:rPr>
      </w:pPr>
    </w:p>
    <w:p>
      <w:pPr>
        <w:jc w:val="both"/>
        <w:ind w:left="660" w:firstLine="644"/>
        <w:spacing w:after="0" w:line="224"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As of any date of determination, the “Allocable Amount” of any Loan Parties shall be equal to the maximum amount of the claim which could then be recovered from such Loan Parties under this Section 12 without rendering such claim voidable or avoidable under Section 548 of Chapter 11 of the United States Bankruptcy Code, as amended or under any applicable state Uniform Fraudulent Transfer Act, Uniform Fraudulent Conveyance Act or similar statute or common law.</w:t>
      </w:r>
    </w:p>
    <w:p>
      <w:pPr>
        <w:spacing w:after="0" w:line="156" w:lineRule="exact"/>
        <w:rPr>
          <w:rFonts w:ascii="Arial" w:cs="Arial" w:eastAsia="Arial" w:hAnsi="Arial"/>
          <w:sz w:val="19"/>
          <w:szCs w:val="19"/>
          <w:color w:val="auto"/>
        </w:rPr>
      </w:pPr>
    </w:p>
    <w:p>
      <w:pPr>
        <w:jc w:val="both"/>
        <w:ind w:left="660" w:firstLine="644"/>
        <w:spacing w:after="0" w:line="213" w:lineRule="auto"/>
        <w:tabs>
          <w:tab w:leader="none" w:pos="1946"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Section 12.7 is intended only to define the relative rights of Loan Parties and nothing set forth in this Section 12.7 is intended to or shall impair the obligations of Loan Parties, jointly and severally, to pay any amounts as and when the same shall become due and payable in accordance with the terms of this Agreement, including Section 12.1. Nothing contained in this Section 12.7 shall limit the liability of any Loan Party to pay the Loans made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2"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auto"/>
        </w:rPr>
        <w:t>indirectly to that Loan Party and accrued interest, Fees, expenses and all other Obligations with respect thereto for which such Loan Party shall be primarily liable.</w:t>
      </w:r>
    </w:p>
    <w:p>
      <w:pPr>
        <w:spacing w:after="0" w:line="155" w:lineRule="exact"/>
        <w:rPr>
          <w:sz w:val="20"/>
          <w:szCs w:val="20"/>
          <w:color w:val="auto"/>
        </w:rPr>
      </w:pPr>
    </w:p>
    <w:p>
      <w:pPr>
        <w:ind w:left="660" w:firstLine="644"/>
        <w:spacing w:after="0" w:line="229"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Party to which such contribution and indemnification is owing.</w:t>
      </w:r>
    </w:p>
    <w:p>
      <w:pPr>
        <w:spacing w:after="0" w:line="155" w:lineRule="exact"/>
        <w:rPr>
          <w:rFonts w:ascii="Arial" w:cs="Arial" w:eastAsia="Arial" w:hAnsi="Arial"/>
          <w:sz w:val="20"/>
          <w:szCs w:val="20"/>
          <w:color w:val="auto"/>
        </w:rPr>
      </w:pPr>
    </w:p>
    <w:p>
      <w:pPr>
        <w:ind w:left="660" w:right="20" w:firstLine="644"/>
        <w:spacing w:after="0" w:line="229" w:lineRule="auto"/>
        <w:tabs>
          <w:tab w:leader="none" w:pos="1946"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rights of the indemnifying Loan Parties against other Loan Parties under this Section 12.7 shall be exercisable upon and after the Termination Date.</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12.8 Liability Cumulative. The liability of Loan Parties under this Section 12 is in addition to and shall be cumulative with all liabilities of each Loan Party to the Agent and the Lenders under this Agreement and the other Loan Documents to which such Loan Party is a party or in respect of any Obligations or obligation of any other Loan Party, without any limitation as to amount, unless the instrument or agreement evidencing or creating such other liability specifically provides to the contrary.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WITNESS WHEREOF, the Loan Parties, Agent and the Lenders have duly executed and delivered this Loan and Security Agreement as of the day and year first above written.</w:t>
      </w:r>
    </w:p>
    <w:p>
      <w:pPr>
        <w:spacing w:after="0" w:line="15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BORROWER:</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OUSTER, INC.</w:t>
      </w:r>
    </w:p>
    <w:p>
      <w:pPr>
        <w:spacing w:after="0" w:line="175" w:lineRule="exact"/>
        <w:rPr>
          <w:sz w:val="20"/>
          <w:szCs w:val="20"/>
          <w:color w:val="auto"/>
        </w:rPr>
      </w:pPr>
    </w:p>
    <w:p>
      <w:pPr>
        <w:ind w:left="4540"/>
        <w:spacing w:after="0"/>
        <w:tabs>
          <w:tab w:leader="none" w:pos="55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u w:val="single" w:color="auto"/>
          <w:color w:val="auto"/>
        </w:rPr>
        <w:t>/s/ Charles Angus Pacala</w:t>
      </w:r>
      <w:r>
        <w:rPr>
          <w:rFonts w:ascii="Arial" w:cs="Arial" w:eastAsia="Arial" w:hAnsi="Arial"/>
          <w:sz w:val="16"/>
          <w:szCs w:val="16"/>
          <w:color w:val="auto"/>
        </w:rPr>
        <w:t>___</w:t>
      </w:r>
    </w:p>
    <w:p>
      <w:pPr>
        <w:spacing w:after="0" w:line="175" w:lineRule="exact"/>
        <w:rPr>
          <w:sz w:val="20"/>
          <w:szCs w:val="20"/>
          <w:color w:val="auto"/>
        </w:rPr>
      </w:pPr>
    </w:p>
    <w:p>
      <w:pPr>
        <w:ind w:left="4540"/>
        <w:spacing w:after="0"/>
        <w:tabs>
          <w:tab w:leader="none" w:pos="568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u w:val="single" w:color="auto"/>
          <w:color w:val="auto"/>
        </w:rPr>
        <w:t>Charles Angus Pacala</w:t>
      </w:r>
      <w:r>
        <w:rPr>
          <w:rFonts w:ascii="Arial" w:cs="Arial" w:eastAsia="Arial" w:hAnsi="Arial"/>
          <w:sz w:val="16"/>
          <w:szCs w:val="16"/>
          <w:color w:val="auto"/>
        </w:rPr>
        <w:t>______</w:t>
      </w:r>
    </w:p>
    <w:p>
      <w:pPr>
        <w:spacing w:after="0" w:line="175" w:lineRule="exact"/>
        <w:rPr>
          <w:sz w:val="20"/>
          <w:szCs w:val="20"/>
          <w:color w:val="auto"/>
        </w:rPr>
      </w:pPr>
    </w:p>
    <w:p>
      <w:pPr>
        <w:ind w:left="454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GUARANTOR:</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SENSE PHOTONICS, INC.</w:t>
      </w:r>
    </w:p>
    <w:p>
      <w:pPr>
        <w:spacing w:after="0" w:line="175" w:lineRule="exact"/>
        <w:rPr>
          <w:sz w:val="20"/>
          <w:szCs w:val="20"/>
          <w:color w:val="auto"/>
        </w:rPr>
      </w:pPr>
    </w:p>
    <w:p>
      <w:pPr>
        <w:ind w:left="4540"/>
        <w:spacing w:after="0"/>
        <w:tabs>
          <w:tab w:leader="none" w:pos="55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u w:val="single" w:color="auto"/>
          <w:color w:val="auto"/>
        </w:rPr>
        <w:t>/s/ Charles Angus Pacala</w:t>
      </w:r>
      <w:r>
        <w:rPr>
          <w:rFonts w:ascii="Arial" w:cs="Arial" w:eastAsia="Arial" w:hAnsi="Arial"/>
          <w:sz w:val="16"/>
          <w:szCs w:val="16"/>
          <w:color w:val="auto"/>
        </w:rPr>
        <w:t>___</w:t>
      </w:r>
    </w:p>
    <w:p>
      <w:pPr>
        <w:spacing w:after="0" w:line="175" w:lineRule="exact"/>
        <w:rPr>
          <w:sz w:val="20"/>
          <w:szCs w:val="20"/>
          <w:color w:val="auto"/>
        </w:rPr>
      </w:pPr>
    </w:p>
    <w:p>
      <w:pPr>
        <w:ind w:left="4540"/>
        <w:spacing w:after="0"/>
        <w:tabs>
          <w:tab w:leader="none" w:pos="568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u w:val="single" w:color="auto"/>
          <w:color w:val="auto"/>
        </w:rPr>
        <w:t>Charles Angus Pacala</w:t>
      </w:r>
      <w:r>
        <w:rPr>
          <w:rFonts w:ascii="Arial" w:cs="Arial" w:eastAsia="Arial" w:hAnsi="Arial"/>
          <w:sz w:val="16"/>
          <w:szCs w:val="16"/>
          <w:color w:val="auto"/>
        </w:rPr>
        <w:t>______</w:t>
      </w:r>
    </w:p>
    <w:p>
      <w:pPr>
        <w:spacing w:after="0" w:line="175" w:lineRule="exact"/>
        <w:rPr>
          <w:sz w:val="20"/>
          <w:szCs w:val="20"/>
          <w:color w:val="auto"/>
        </w:rPr>
      </w:pPr>
    </w:p>
    <w:p>
      <w:pPr>
        <w:ind w:left="454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Accepted in Palo Alto, California:</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AGENT and LENDER:</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HERCULES CAPITAL, INC.</w:t>
      </w:r>
    </w:p>
    <w:p>
      <w:pPr>
        <w:spacing w:after="0" w:line="17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Seth Meyer</w:t>
      </w:r>
      <w:r>
        <w:rPr>
          <w:rFonts w:ascii="Arial" w:cs="Arial" w:eastAsia="Arial" w:hAnsi="Arial"/>
          <w:sz w:val="16"/>
          <w:szCs w:val="16"/>
          <w:color w:val="auto"/>
        </w:rPr>
        <w:t>____________________</w:t>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Seth Meyer</w:t>
      </w:r>
    </w:p>
    <w:p>
      <w:pPr>
        <w:ind w:left="4540"/>
        <w:spacing w:after="0"/>
        <w:tabs>
          <w:tab w:leader="none" w:pos="49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CFO</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LENDER:</w:t>
      </w:r>
    </w:p>
    <w:p>
      <w:pPr>
        <w:spacing w:after="0" w:line="18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Hercules Private Global Venture Growth Fund I L.P.</w:t>
      </w: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Seth Meyer</w:t>
      </w:r>
      <w:r>
        <w:rPr>
          <w:rFonts w:ascii="Arial" w:cs="Arial" w:eastAsia="Arial" w:hAnsi="Arial"/>
          <w:sz w:val="20"/>
          <w:szCs w:val="20"/>
          <w:color w:val="auto"/>
        </w:rPr>
        <w:t>____________________</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Seth Meyer</w:t>
      </w:r>
    </w:p>
    <w:p>
      <w:pPr>
        <w:spacing w:after="0" w:line="202"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139"/>
          </w:cols>
          <w:pgMar w:left="320" w:top="1440" w:right="1440" w:bottom="1440" w:gutter="0" w:footer="0" w:header="0"/>
        </w:sectPr>
      </w:pPr>
    </w:p>
    <w:bookmarkStart w:id="88" w:name="page89"/>
    <w:bookmarkEnd w:id="88"/>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Table of Addenda, Exhibits and Schedules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Addendum 1: Taxes; Increased Costs</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Addendum 2:</w:t>
      </w:r>
      <w:r>
        <w:rPr>
          <w:sz w:val="20"/>
          <w:szCs w:val="20"/>
          <w:color w:val="auto"/>
        </w:rPr>
        <w:tab/>
      </w:r>
      <w:r>
        <w:rPr>
          <w:rFonts w:ascii="Arial" w:cs="Arial" w:eastAsia="Arial" w:hAnsi="Arial"/>
          <w:sz w:val="18"/>
          <w:szCs w:val="18"/>
          <w:color w:val="auto"/>
        </w:rPr>
        <w:t>[reserved]</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Addendum 3:</w:t>
      </w:r>
      <w:r>
        <w:rPr>
          <w:sz w:val="20"/>
          <w:szCs w:val="20"/>
          <w:color w:val="auto"/>
        </w:rPr>
        <w:tab/>
      </w:r>
      <w:r>
        <w:rPr>
          <w:rFonts w:ascii="Arial" w:cs="Arial" w:eastAsia="Arial" w:hAnsi="Arial"/>
          <w:sz w:val="16"/>
          <w:szCs w:val="16"/>
          <w:color w:val="auto"/>
        </w:rPr>
        <w:t>Agent and Lender Terms</w:t>
      </w:r>
    </w:p>
    <w:p>
      <w:pPr>
        <w:spacing w:after="0" w:line="150"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Advance Request</w:t>
      </w:r>
    </w:p>
    <w:p>
      <w:pPr>
        <w:ind w:left="400"/>
        <w:spacing w:after="0"/>
        <w:rPr>
          <w:sz w:val="20"/>
          <w:szCs w:val="20"/>
          <w:color w:val="auto"/>
        </w:rPr>
      </w:pPr>
      <w:r>
        <w:rPr>
          <w:rFonts w:ascii="Arial" w:cs="Arial" w:eastAsia="Arial" w:hAnsi="Arial"/>
          <w:sz w:val="20"/>
          <w:szCs w:val="20"/>
          <w:color w:val="auto"/>
        </w:rPr>
        <w:t>Attachment to Advance Request</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Name, Locations, and Other Information for Loan Parties</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Loan Parties’ Patents, Trademarks, Copyrights and Licenses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Loan Parties’ Deposit Accounts and Investment Accounts</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Compliance Certificate</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6"/>
          <w:szCs w:val="16"/>
          <w:color w:val="auto"/>
        </w:rPr>
        <w:t>Joinder Agreement</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ACH Debit Authorization Agreement</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ind w:left="1140" w:right="480" w:hanging="1295"/>
        <w:spacing w:after="0" w:line="229" w:lineRule="auto"/>
        <w:tabs>
          <w:tab w:leader="none" w:pos="1120" w:val="left"/>
        </w:tabs>
        <w:rPr>
          <w:sz w:val="20"/>
          <w:szCs w:val="20"/>
          <w:color w:val="auto"/>
        </w:rPr>
      </w:pPr>
      <w:r>
        <w:rPr>
          <w:rFonts w:ascii="Arial" w:cs="Arial" w:eastAsia="Arial" w:hAnsi="Arial"/>
          <w:sz w:val="20"/>
          <w:szCs w:val="20"/>
          <w:color w:val="auto"/>
        </w:rPr>
        <w:t>Exhibit J-1:</w:t>
        <w:tab/>
        <w:t>Form of U.S. Tax Compliance Certificate (For Foreign Lenders That Are Not Partnerships For U.S. Federal Income Tax Purposes)</w:t>
      </w:r>
    </w:p>
    <w:p>
      <w:pPr>
        <w:spacing w:after="0" w:line="155" w:lineRule="exact"/>
        <w:rPr>
          <w:sz w:val="20"/>
          <w:szCs w:val="20"/>
          <w:color w:val="auto"/>
        </w:rPr>
      </w:pPr>
    </w:p>
    <w:p>
      <w:pPr>
        <w:ind w:left="1140" w:right="180" w:hanging="1295"/>
        <w:spacing w:after="0" w:line="229" w:lineRule="auto"/>
        <w:tabs>
          <w:tab w:leader="none" w:pos="1120" w:val="left"/>
        </w:tabs>
        <w:rPr>
          <w:sz w:val="20"/>
          <w:szCs w:val="20"/>
          <w:color w:val="auto"/>
        </w:rPr>
      </w:pPr>
      <w:r>
        <w:rPr>
          <w:rFonts w:ascii="Arial" w:cs="Arial" w:eastAsia="Arial" w:hAnsi="Arial"/>
          <w:sz w:val="20"/>
          <w:szCs w:val="20"/>
          <w:color w:val="auto"/>
        </w:rPr>
        <w:t>Exhibit J-2:</w:t>
        <w:tab/>
        <w:t>Form of U.S. Tax Compliance Certificate (For Foreign Participants That Are Not Partnerships For U.S. Federal Income Tax Purposes)</w:t>
      </w:r>
    </w:p>
    <w:p>
      <w:pPr>
        <w:spacing w:after="0" w:line="155" w:lineRule="exact"/>
        <w:rPr>
          <w:sz w:val="20"/>
          <w:szCs w:val="20"/>
          <w:color w:val="auto"/>
        </w:rPr>
      </w:pPr>
    </w:p>
    <w:p>
      <w:pPr>
        <w:ind w:left="1140" w:right="520" w:hanging="1295"/>
        <w:spacing w:after="0" w:line="229" w:lineRule="auto"/>
        <w:tabs>
          <w:tab w:leader="none" w:pos="1120" w:val="left"/>
        </w:tabs>
        <w:rPr>
          <w:sz w:val="20"/>
          <w:szCs w:val="20"/>
          <w:color w:val="auto"/>
        </w:rPr>
      </w:pPr>
      <w:r>
        <w:rPr>
          <w:rFonts w:ascii="Arial" w:cs="Arial" w:eastAsia="Arial" w:hAnsi="Arial"/>
          <w:sz w:val="20"/>
          <w:szCs w:val="20"/>
          <w:color w:val="auto"/>
        </w:rPr>
        <w:t>Exhibit J-3:</w:t>
        <w:tab/>
        <w:t>Form of U.S. Tax Compliance Certificate (For Foreign Participants That Are Partnerships For U.S. Federal Income Tax Purposes)</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J-4:</w:t>
      </w:r>
      <w:r>
        <w:rPr>
          <w:sz w:val="20"/>
          <w:szCs w:val="20"/>
          <w:color w:val="auto"/>
        </w:rPr>
        <w:tab/>
      </w:r>
      <w:r>
        <w:rPr>
          <w:rFonts w:ascii="Arial" w:cs="Arial" w:eastAsia="Arial" w:hAnsi="Arial"/>
          <w:sz w:val="16"/>
          <w:szCs w:val="16"/>
          <w:color w:val="auto"/>
        </w:rPr>
        <w:t>Form of U.S. Tax Compliance Certificate (For Foreign Lenders That Are Partnerships For U.S. Federal Income Tax Purposes)</w:t>
      </w:r>
    </w:p>
    <w:p>
      <w:pPr>
        <w:spacing w:after="0" w:line="15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1.1</w:t>
      </w:r>
      <w:r>
        <w:rPr>
          <w:sz w:val="20"/>
          <w:szCs w:val="20"/>
          <w:color w:val="auto"/>
        </w:rPr>
        <w:tab/>
      </w:r>
      <w:r>
        <w:rPr>
          <w:rFonts w:ascii="Arial" w:cs="Arial" w:eastAsia="Arial" w:hAnsi="Arial"/>
          <w:sz w:val="18"/>
          <w:szCs w:val="18"/>
          <w:color w:val="auto"/>
        </w:rPr>
        <w:t>Commitments</w:t>
      </w:r>
    </w:p>
    <w:p>
      <w:pPr>
        <w:spacing w:after="0"/>
        <w:tabs>
          <w:tab w:leader="none" w:pos="1060" w:val="left"/>
        </w:tabs>
        <w:rPr>
          <w:sz w:val="20"/>
          <w:szCs w:val="20"/>
          <w:color w:val="auto"/>
        </w:rPr>
      </w:pPr>
      <w:r>
        <w:rPr>
          <w:rFonts w:ascii="Arial" w:cs="Arial" w:eastAsia="Arial" w:hAnsi="Arial"/>
          <w:sz w:val="20"/>
          <w:szCs w:val="20"/>
          <w:color w:val="auto"/>
        </w:rPr>
        <w:t>Schedule 1</w:t>
      </w:r>
      <w:r>
        <w:rPr>
          <w:sz w:val="20"/>
          <w:szCs w:val="20"/>
          <w:color w:val="auto"/>
        </w:rPr>
        <w:tab/>
      </w:r>
      <w:r>
        <w:rPr>
          <w:rFonts w:ascii="Arial" w:cs="Arial" w:eastAsia="Arial" w:hAnsi="Arial"/>
          <w:sz w:val="16"/>
          <w:szCs w:val="16"/>
          <w:color w:val="auto"/>
        </w:rPr>
        <w:t>Subsidiaries</w:t>
      </w:r>
    </w:p>
    <w:p>
      <w:pPr>
        <w:spacing w:after="0"/>
        <w:tabs>
          <w:tab w:leader="none" w:pos="1200" w:val="left"/>
        </w:tabs>
        <w:rPr>
          <w:sz w:val="20"/>
          <w:szCs w:val="20"/>
          <w:color w:val="auto"/>
        </w:rPr>
      </w:pPr>
      <w:r>
        <w:rPr>
          <w:rFonts w:ascii="Arial" w:cs="Arial" w:eastAsia="Arial" w:hAnsi="Arial"/>
          <w:sz w:val="20"/>
          <w:szCs w:val="20"/>
          <w:color w:val="auto"/>
        </w:rPr>
        <w:t>Schedule 1A</w:t>
      </w:r>
      <w:r>
        <w:rPr>
          <w:sz w:val="20"/>
          <w:szCs w:val="20"/>
          <w:color w:val="auto"/>
        </w:rPr>
        <w:tab/>
      </w:r>
      <w:r>
        <w:rPr>
          <w:rFonts w:ascii="Arial" w:cs="Arial" w:eastAsia="Arial" w:hAnsi="Arial"/>
          <w:sz w:val="16"/>
          <w:szCs w:val="16"/>
          <w:color w:val="auto"/>
        </w:rPr>
        <w:t>Existing Permitted Indebtedness</w:t>
      </w:r>
    </w:p>
    <w:tbl>
      <w:tblPr>
        <w:tblLayout w:type="fixed"/>
        <w:tblInd w:w="0" w:type="dxa"/>
        <w:tblCellMar>
          <w:top w:w="0" w:type="dxa"/>
          <w:left w:w="0" w:type="dxa"/>
          <w:bottom w:w="0" w:type="dxa"/>
          <w:right w:w="0" w:type="dxa"/>
        </w:tblCellMar>
      </w:tblPr>
      <w:tr>
        <w:trPr>
          <w:trHeight w:val="177"/>
        </w:trPr>
        <w:tc>
          <w:tcPr>
            <w:tcW w:w="1120" w:type="dxa"/>
            <w:vAlign w:val="bottom"/>
          </w:tcPr>
          <w:p>
            <w:pPr>
              <w:spacing w:after="0" w:line="177" w:lineRule="exact"/>
              <w:rPr>
                <w:sz w:val="20"/>
                <w:szCs w:val="20"/>
                <w:color w:val="auto"/>
              </w:rPr>
            </w:pPr>
            <w:r>
              <w:rPr>
                <w:rFonts w:ascii="Arial" w:cs="Arial" w:eastAsia="Arial" w:hAnsi="Arial"/>
                <w:sz w:val="20"/>
                <w:szCs w:val="20"/>
                <w:color w:val="auto"/>
                <w:w w:val="96"/>
              </w:rPr>
              <w:t>Schedule 1B</w:t>
            </w:r>
          </w:p>
        </w:tc>
        <w:tc>
          <w:tcPr>
            <w:tcW w:w="2580" w:type="dxa"/>
            <w:vAlign w:val="bottom"/>
            <w:gridSpan w:val="2"/>
          </w:tcPr>
          <w:p>
            <w:pPr>
              <w:ind w:left="100"/>
              <w:spacing w:after="0" w:line="177" w:lineRule="exact"/>
              <w:rPr>
                <w:sz w:val="20"/>
                <w:szCs w:val="20"/>
                <w:color w:val="auto"/>
              </w:rPr>
            </w:pPr>
            <w:r>
              <w:rPr>
                <w:rFonts w:ascii="Arial" w:cs="Arial" w:eastAsia="Arial" w:hAnsi="Arial"/>
                <w:sz w:val="20"/>
                <w:szCs w:val="20"/>
                <w:color w:val="auto"/>
                <w:w w:val="89"/>
              </w:rPr>
              <w:t>Existing Permitted Investments</w:t>
            </w:r>
          </w:p>
        </w:tc>
      </w:tr>
      <w:tr>
        <w:trPr>
          <w:trHeight w:val="189"/>
        </w:trPr>
        <w:tc>
          <w:tcPr>
            <w:tcW w:w="1120" w:type="dxa"/>
            <w:vAlign w:val="bottom"/>
          </w:tcPr>
          <w:p>
            <w:pPr>
              <w:spacing w:after="0" w:line="189" w:lineRule="exact"/>
              <w:rPr>
                <w:sz w:val="20"/>
                <w:szCs w:val="20"/>
                <w:color w:val="auto"/>
              </w:rPr>
            </w:pPr>
            <w:r>
              <w:rPr>
                <w:rFonts w:ascii="Arial" w:cs="Arial" w:eastAsia="Arial" w:hAnsi="Arial"/>
                <w:sz w:val="20"/>
                <w:szCs w:val="20"/>
                <w:color w:val="auto"/>
                <w:w w:val="96"/>
              </w:rPr>
              <w:t>Schedule 1C</w:t>
            </w:r>
          </w:p>
        </w:tc>
        <w:tc>
          <w:tcPr>
            <w:tcW w:w="2580" w:type="dxa"/>
            <w:vAlign w:val="bottom"/>
            <w:gridSpan w:val="2"/>
          </w:tcPr>
          <w:p>
            <w:pPr>
              <w:ind w:left="100"/>
              <w:spacing w:after="0" w:line="189" w:lineRule="exact"/>
              <w:rPr>
                <w:sz w:val="20"/>
                <w:szCs w:val="20"/>
                <w:color w:val="auto"/>
              </w:rPr>
            </w:pPr>
            <w:r>
              <w:rPr>
                <w:rFonts w:ascii="Arial" w:cs="Arial" w:eastAsia="Arial" w:hAnsi="Arial"/>
                <w:sz w:val="20"/>
                <w:szCs w:val="20"/>
                <w:color w:val="auto"/>
              </w:rPr>
              <w:t>Existing Permitted Liens</w:t>
            </w: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20"/>
                <w:szCs w:val="20"/>
                <w:color w:val="auto"/>
                <w:w w:val="99"/>
              </w:rPr>
              <w:t>Schedule 5.3</w:t>
            </w:r>
          </w:p>
        </w:tc>
        <w:tc>
          <w:tcPr>
            <w:tcW w:w="2520" w:type="dxa"/>
            <w:vAlign w:val="bottom"/>
          </w:tcPr>
          <w:p>
            <w:pPr>
              <w:ind w:left="40"/>
              <w:spacing w:after="0" w:line="189" w:lineRule="exact"/>
              <w:rPr>
                <w:sz w:val="20"/>
                <w:szCs w:val="20"/>
                <w:color w:val="auto"/>
              </w:rPr>
            </w:pPr>
            <w:r>
              <w:rPr>
                <w:rFonts w:ascii="Arial" w:cs="Arial" w:eastAsia="Arial" w:hAnsi="Arial"/>
                <w:sz w:val="20"/>
                <w:szCs w:val="20"/>
                <w:color w:val="auto"/>
              </w:rPr>
              <w:t>Consents, Etc.</w:t>
            </w: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20"/>
                <w:szCs w:val="20"/>
                <w:color w:val="auto"/>
                <w:w w:val="99"/>
              </w:rPr>
              <w:t>Schedule 5.8</w:t>
            </w:r>
          </w:p>
        </w:tc>
        <w:tc>
          <w:tcPr>
            <w:tcW w:w="2520" w:type="dxa"/>
            <w:vAlign w:val="bottom"/>
          </w:tcPr>
          <w:p>
            <w:pPr>
              <w:ind w:left="40"/>
              <w:spacing w:after="0" w:line="189" w:lineRule="exact"/>
              <w:rPr>
                <w:sz w:val="20"/>
                <w:szCs w:val="20"/>
                <w:color w:val="auto"/>
              </w:rPr>
            </w:pPr>
            <w:r>
              <w:rPr>
                <w:rFonts w:ascii="Arial" w:cs="Arial" w:eastAsia="Arial" w:hAnsi="Arial"/>
                <w:sz w:val="20"/>
                <w:szCs w:val="20"/>
                <w:color w:val="auto"/>
              </w:rPr>
              <w:t>Tax Matters</w:t>
            </w:r>
          </w:p>
        </w:tc>
      </w:tr>
      <w:tr>
        <w:trPr>
          <w:trHeight w:val="189"/>
        </w:trPr>
        <w:tc>
          <w:tcPr>
            <w:tcW w:w="3700" w:type="dxa"/>
            <w:vAlign w:val="bottom"/>
            <w:gridSpan w:val="3"/>
          </w:tcPr>
          <w:p>
            <w:pPr>
              <w:spacing w:after="0" w:line="189" w:lineRule="exact"/>
              <w:rPr>
                <w:sz w:val="20"/>
                <w:szCs w:val="20"/>
                <w:color w:val="auto"/>
              </w:rPr>
            </w:pPr>
            <w:r>
              <w:rPr>
                <w:rFonts w:ascii="Arial" w:cs="Arial" w:eastAsia="Arial" w:hAnsi="Arial"/>
                <w:sz w:val="20"/>
                <w:szCs w:val="20"/>
                <w:color w:val="auto"/>
                <w:w w:val="99"/>
              </w:rPr>
              <w:t>Schedule 5.9  Intellectual Property Claims</w:t>
            </w: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20"/>
                <w:szCs w:val="20"/>
                <w:color w:val="auto"/>
                <w:w w:val="90"/>
              </w:rPr>
              <w:t>Schedule 5.10</w:t>
            </w:r>
          </w:p>
        </w:tc>
        <w:tc>
          <w:tcPr>
            <w:tcW w:w="2520" w:type="dxa"/>
            <w:vAlign w:val="bottom"/>
          </w:tcPr>
          <w:p>
            <w:pPr>
              <w:ind w:left="140"/>
              <w:spacing w:after="0" w:line="189" w:lineRule="exact"/>
              <w:rPr>
                <w:sz w:val="20"/>
                <w:szCs w:val="20"/>
                <w:color w:val="auto"/>
              </w:rPr>
            </w:pPr>
            <w:r>
              <w:rPr>
                <w:rFonts w:ascii="Arial" w:cs="Arial" w:eastAsia="Arial" w:hAnsi="Arial"/>
                <w:sz w:val="20"/>
                <w:szCs w:val="20"/>
                <w:color w:val="auto"/>
              </w:rPr>
              <w:t>Intellectual Property</w:t>
            </w: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20"/>
                <w:szCs w:val="20"/>
                <w:color w:val="auto"/>
                <w:w w:val="90"/>
              </w:rPr>
              <w:t>Schedule 5.11</w:t>
            </w:r>
          </w:p>
        </w:tc>
        <w:tc>
          <w:tcPr>
            <w:tcW w:w="2520" w:type="dxa"/>
            <w:vAlign w:val="bottom"/>
          </w:tcPr>
          <w:p>
            <w:pPr>
              <w:ind w:left="140"/>
              <w:spacing w:after="0" w:line="189" w:lineRule="exact"/>
              <w:rPr>
                <w:sz w:val="20"/>
                <w:szCs w:val="20"/>
                <w:color w:val="auto"/>
              </w:rPr>
            </w:pPr>
            <w:r>
              <w:rPr>
                <w:rFonts w:ascii="Arial" w:cs="Arial" w:eastAsia="Arial" w:hAnsi="Arial"/>
                <w:sz w:val="20"/>
                <w:szCs w:val="20"/>
                <w:color w:val="auto"/>
              </w:rPr>
              <w:t>Borrower Products</w:t>
            </w:r>
          </w:p>
        </w:tc>
      </w:tr>
      <w:tr>
        <w:trPr>
          <w:trHeight w:val="202"/>
        </w:trPr>
        <w:tc>
          <w:tcPr>
            <w:tcW w:w="1180" w:type="dxa"/>
            <w:vAlign w:val="bottom"/>
            <w:gridSpan w:val="2"/>
          </w:tcPr>
          <w:p>
            <w:pPr>
              <w:spacing w:after="0" w:line="202" w:lineRule="exact"/>
              <w:rPr>
                <w:sz w:val="20"/>
                <w:szCs w:val="20"/>
                <w:color w:val="auto"/>
              </w:rPr>
            </w:pPr>
            <w:r>
              <w:rPr>
                <w:rFonts w:ascii="Arial" w:cs="Arial" w:eastAsia="Arial" w:hAnsi="Arial"/>
                <w:sz w:val="20"/>
                <w:szCs w:val="20"/>
                <w:color w:val="auto"/>
                <w:w w:val="90"/>
              </w:rPr>
              <w:t>Schedule 5.14</w:t>
            </w:r>
          </w:p>
        </w:tc>
        <w:tc>
          <w:tcPr>
            <w:tcW w:w="2520" w:type="dxa"/>
            <w:vAlign w:val="bottom"/>
          </w:tcPr>
          <w:p>
            <w:pPr>
              <w:ind w:left="140"/>
              <w:spacing w:after="0" w:line="202" w:lineRule="exact"/>
              <w:rPr>
                <w:sz w:val="20"/>
                <w:szCs w:val="20"/>
                <w:color w:val="auto"/>
              </w:rPr>
            </w:pPr>
            <w:r>
              <w:rPr>
                <w:rFonts w:ascii="Arial" w:cs="Arial" w:eastAsia="Arial" w:hAnsi="Arial"/>
                <w:sz w:val="20"/>
                <w:szCs w:val="20"/>
                <w:color w:val="auto"/>
              </w:rPr>
              <w:t>Capitalization</w:t>
            </w:r>
          </w:p>
        </w:tc>
      </w:tr>
    </w:tbl>
    <w:p>
      <w:pPr>
        <w:spacing w:after="0"/>
        <w:tabs>
          <w:tab w:leader="none" w:pos="1300" w:val="left"/>
        </w:tabs>
        <w:rPr>
          <w:sz w:val="20"/>
          <w:szCs w:val="20"/>
          <w:color w:val="auto"/>
        </w:rPr>
      </w:pPr>
      <w:r>
        <w:rPr>
          <w:rFonts w:ascii="Arial" w:cs="Arial" w:eastAsia="Arial" w:hAnsi="Arial"/>
          <w:sz w:val="20"/>
          <w:szCs w:val="20"/>
          <w:color w:val="auto"/>
        </w:rPr>
        <w:t>Schedule 7.19</w:t>
      </w:r>
      <w:r>
        <w:rPr>
          <w:sz w:val="20"/>
          <w:szCs w:val="20"/>
          <w:color w:val="auto"/>
        </w:rPr>
        <w:tab/>
      </w:r>
      <w:r>
        <w:rPr>
          <w:rFonts w:ascii="Arial" w:cs="Arial" w:eastAsia="Arial" w:hAnsi="Arial"/>
          <w:sz w:val="18"/>
          <w:szCs w:val="18"/>
          <w:color w:val="auto"/>
        </w:rPr>
        <w:t>T12M Revenue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120"/>
          </w:cols>
          <w:pgMar w:left="320" w:top="1440" w:right="459" w:bottom="1440" w:gutter="0" w:footer="0" w:header="0"/>
        </w:sectPr>
      </w:pPr>
    </w:p>
    <w:bookmarkStart w:id="89" w:name="page90"/>
    <w:bookmarkEnd w:id="89"/>
    <w:p>
      <w:pPr>
        <w:spacing w:after="0" w:line="176" w:lineRule="exact"/>
        <w:rPr>
          <w:sz w:val="20"/>
          <w:szCs w:val="20"/>
          <w:color w:val="auto"/>
        </w:rPr>
      </w:pPr>
    </w:p>
    <w:p>
      <w:pPr>
        <w:ind w:left="3007"/>
        <w:spacing w:after="0"/>
        <w:rPr>
          <w:sz w:val="20"/>
          <w:szCs w:val="20"/>
          <w:color w:val="auto"/>
        </w:rPr>
      </w:pPr>
      <w:r>
        <w:rPr>
          <w:rFonts w:ascii="Arial" w:cs="Arial" w:eastAsia="Arial" w:hAnsi="Arial"/>
          <w:sz w:val="20"/>
          <w:szCs w:val="20"/>
          <w:b w:val="1"/>
          <w:bCs w:val="1"/>
          <w:color w:val="auto"/>
        </w:rPr>
        <w:t>ADDENDUM 1 to LOAN AND SECURITY AGREEMENT</w:t>
      </w:r>
    </w:p>
    <w:p>
      <w:pPr>
        <w:spacing w:after="0" w:line="175" w:lineRule="exact"/>
        <w:rPr>
          <w:sz w:val="20"/>
          <w:szCs w:val="20"/>
          <w:color w:val="auto"/>
        </w:rPr>
      </w:pPr>
    </w:p>
    <w:p>
      <w:pPr>
        <w:ind w:left="3367"/>
        <w:spacing w:after="0"/>
        <w:rPr>
          <w:sz w:val="20"/>
          <w:szCs w:val="20"/>
          <w:color w:val="auto"/>
        </w:rPr>
      </w:pPr>
      <w:r>
        <w:rPr>
          <w:rFonts w:ascii="Arial" w:cs="Arial" w:eastAsia="Arial" w:hAnsi="Arial"/>
          <w:sz w:val="20"/>
          <w:szCs w:val="20"/>
          <w:b w:val="1"/>
          <w:bCs w:val="1"/>
          <w:color w:val="auto"/>
        </w:rPr>
        <w:t>TAXES; INCREASED COSTS</w:t>
      </w:r>
    </w:p>
    <w:p>
      <w:pPr>
        <w:spacing w:after="0" w:line="175" w:lineRule="exact"/>
        <w:rPr>
          <w:sz w:val="20"/>
          <w:szCs w:val="20"/>
          <w:color w:val="auto"/>
        </w:rPr>
      </w:pPr>
    </w:p>
    <w:p>
      <w:pPr>
        <w:ind w:left="327" w:hanging="327"/>
        <w:spacing w:after="0"/>
        <w:tabs>
          <w:tab w:leader="none" w:pos="327"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Defined Terms</w:t>
      </w:r>
      <w:r>
        <w:rPr>
          <w:rFonts w:ascii="Arial" w:cs="Arial" w:eastAsia="Arial" w:hAnsi="Arial"/>
          <w:sz w:val="20"/>
          <w:szCs w:val="20"/>
          <w:color w:val="auto"/>
        </w:rPr>
        <w:t>. For purposes of this Addendum 1:</w:t>
      </w:r>
    </w:p>
    <w:p>
      <w:pPr>
        <w:spacing w:after="0" w:line="175" w:lineRule="exact"/>
        <w:rPr>
          <w:rFonts w:ascii="Arial" w:cs="Arial" w:eastAsia="Arial" w:hAnsi="Arial"/>
          <w:sz w:val="20"/>
          <w:szCs w:val="20"/>
          <w:color w:val="auto"/>
        </w:rPr>
      </w:pPr>
    </w:p>
    <w:p>
      <w:pPr>
        <w:ind w:left="967" w:hanging="319"/>
        <w:spacing w:after="0" w:line="232" w:lineRule="auto"/>
        <w:tabs>
          <w:tab w:leader="none" w:pos="956"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49" w:lineRule="exact"/>
        <w:rPr>
          <w:rFonts w:ascii="Arial" w:cs="Arial" w:eastAsia="Arial" w:hAnsi="Arial"/>
          <w:sz w:val="20"/>
          <w:szCs w:val="20"/>
          <w:color w:val="auto"/>
        </w:rPr>
      </w:pPr>
    </w:p>
    <w:p>
      <w:pPr>
        <w:jc w:val="both"/>
        <w:ind w:left="967" w:hanging="319"/>
        <w:spacing w:after="0" w:line="213" w:lineRule="auto"/>
        <w:tabs>
          <w:tab w:leader="none" w:pos="967"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57" w:lineRule="exact"/>
        <w:rPr>
          <w:rFonts w:ascii="Arial" w:cs="Arial" w:eastAsia="Arial" w:hAnsi="Arial"/>
          <w:sz w:val="19"/>
          <w:szCs w:val="19"/>
          <w:color w:val="auto"/>
        </w:rPr>
      </w:pPr>
    </w:p>
    <w:p>
      <w:pPr>
        <w:jc w:val="both"/>
        <w:ind w:left="967" w:hanging="319"/>
        <w:spacing w:after="0" w:line="211" w:lineRule="auto"/>
        <w:tabs>
          <w:tab w:leader="none" w:pos="956"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0" w:lineRule="exact"/>
        <w:rPr>
          <w:rFonts w:ascii="Arial" w:cs="Arial" w:eastAsia="Arial" w:hAnsi="Arial"/>
          <w:sz w:val="20"/>
          <w:szCs w:val="20"/>
          <w:color w:val="auto"/>
        </w:rPr>
      </w:pPr>
    </w:p>
    <w:p>
      <w:pPr>
        <w:ind w:left="967" w:hanging="319"/>
        <w:spacing w:after="0"/>
        <w:tabs>
          <w:tab w:leader="none" w:pos="9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Lender</w:t>
      </w:r>
      <w:r>
        <w:rPr>
          <w:rFonts w:ascii="Arial" w:cs="Arial" w:eastAsia="Arial" w:hAnsi="Arial"/>
          <w:sz w:val="20"/>
          <w:szCs w:val="20"/>
          <w:color w:val="auto"/>
        </w:rPr>
        <w:t>” means a Lender that is not a U.S. Person.</w:t>
      </w:r>
    </w:p>
    <w:p>
      <w:pPr>
        <w:spacing w:after="0" w:line="175" w:lineRule="exact"/>
        <w:rPr>
          <w:rFonts w:ascii="Arial" w:cs="Arial" w:eastAsia="Arial" w:hAnsi="Arial"/>
          <w:sz w:val="20"/>
          <w:szCs w:val="20"/>
          <w:color w:val="auto"/>
        </w:rPr>
      </w:pPr>
    </w:p>
    <w:p>
      <w:pPr>
        <w:jc w:val="both"/>
        <w:ind w:left="967" w:hanging="319"/>
        <w:spacing w:after="0" w:line="220" w:lineRule="auto"/>
        <w:tabs>
          <w:tab w:leader="none" w:pos="956"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(i) Taxes, other than Excluded Taxes, imposed on or with respect to any payment made by or on account of any obligation of any Loan Party under any Loan Document and (ii) to the extent not otherwise described in clause (i), Other Taxes.</w:t>
      </w:r>
    </w:p>
    <w:p>
      <w:pPr>
        <w:spacing w:after="0" w:line="150" w:lineRule="exact"/>
        <w:rPr>
          <w:rFonts w:ascii="Arial" w:cs="Arial" w:eastAsia="Arial" w:hAnsi="Arial"/>
          <w:sz w:val="20"/>
          <w:szCs w:val="20"/>
          <w:color w:val="auto"/>
        </w:rPr>
      </w:pPr>
    </w:p>
    <w:p>
      <w:pPr>
        <w:ind w:left="967" w:hanging="319"/>
        <w:spacing w:after="0"/>
        <w:tabs>
          <w:tab w:leader="none" w:pos="9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w:t>
      </w:r>
      <w:r>
        <w:rPr>
          <w:rFonts w:ascii="Arial" w:cs="Arial" w:eastAsia="Arial" w:hAnsi="Arial"/>
          <w:sz w:val="20"/>
          <w:szCs w:val="20"/>
          <w:color w:val="auto"/>
        </w:rPr>
        <w:t>” has the meaning given to such term in the Agreement, but excluding the Warrant.</w:t>
      </w:r>
    </w:p>
    <w:p>
      <w:pPr>
        <w:spacing w:after="0" w:line="175" w:lineRule="exact"/>
        <w:rPr>
          <w:rFonts w:ascii="Arial" w:cs="Arial" w:eastAsia="Arial" w:hAnsi="Arial"/>
          <w:sz w:val="20"/>
          <w:szCs w:val="20"/>
          <w:color w:val="auto"/>
        </w:rPr>
      </w:pPr>
    </w:p>
    <w:p>
      <w:pPr>
        <w:jc w:val="both"/>
        <w:ind w:left="967" w:hanging="319"/>
        <w:spacing w:after="0" w:line="211" w:lineRule="auto"/>
        <w:tabs>
          <w:tab w:leader="none" w:pos="9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0" w:lineRule="exact"/>
        <w:rPr>
          <w:rFonts w:ascii="Arial" w:cs="Arial" w:eastAsia="Arial" w:hAnsi="Arial"/>
          <w:sz w:val="20"/>
          <w:szCs w:val="20"/>
          <w:color w:val="auto"/>
        </w:rPr>
      </w:pPr>
    </w:p>
    <w:p>
      <w:pPr>
        <w:jc w:val="both"/>
        <w:ind w:left="967" w:hanging="319"/>
        <w:spacing w:after="0" w:line="232" w:lineRule="auto"/>
        <w:tabs>
          <w:tab w:leader="none" w:pos="967"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3"/>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47"/>
          </w:cols>
          <w:pgMar w:left="413" w:top="1440" w:right="339" w:bottom="1440" w:gutter="0" w:footer="0" w:header="0"/>
        </w:sectPr>
      </w:pPr>
    </w:p>
    <w:bookmarkStart w:id="90" w:name="page91"/>
    <w:bookmarkEnd w:id="90"/>
    <w:p>
      <w:pPr>
        <w:spacing w:after="0" w:line="182" w:lineRule="exact"/>
        <w:rPr>
          <w:sz w:val="20"/>
          <w:szCs w:val="20"/>
          <w:color w:val="auto"/>
        </w:rPr>
      </w:pPr>
    </w:p>
    <w:p>
      <w:pPr>
        <w:ind w:left="967"/>
        <w:spacing w:after="0"/>
        <w:rPr>
          <w:sz w:val="20"/>
          <w:szCs w:val="20"/>
          <w:color w:val="auto"/>
        </w:rPr>
      </w:pPr>
      <w:r>
        <w:rPr>
          <w:rFonts w:ascii="Arial" w:cs="Arial" w:eastAsia="Arial" w:hAnsi="Arial"/>
          <w:sz w:val="20"/>
          <w:szCs w:val="20"/>
          <w:color w:val="auto"/>
        </w:rPr>
        <w:t>except any such Taxes that are Other Connection Taxes imposed with respect to an assignment.</w:t>
      </w:r>
    </w:p>
    <w:p>
      <w:pPr>
        <w:spacing w:after="0" w:line="169" w:lineRule="exact"/>
        <w:rPr>
          <w:sz w:val="20"/>
          <w:szCs w:val="20"/>
          <w:color w:val="auto"/>
        </w:rPr>
      </w:pPr>
    </w:p>
    <w:p>
      <w:pPr>
        <w:ind w:left="967" w:hanging="319"/>
        <w:spacing w:after="0"/>
        <w:tabs>
          <w:tab w:leader="none" w:pos="967" w:val="left"/>
        </w:tabs>
        <w:numPr>
          <w:ilvl w:val="2"/>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Recipient</w:t>
      </w:r>
      <w:r>
        <w:rPr>
          <w:rFonts w:ascii="Arial" w:cs="Arial" w:eastAsia="Arial" w:hAnsi="Arial"/>
          <w:sz w:val="20"/>
          <w:szCs w:val="20"/>
          <w:color w:val="auto"/>
        </w:rPr>
        <w:t>” means the Agent or any Lender, as applicable.</w:t>
      </w:r>
    </w:p>
    <w:p>
      <w:pPr>
        <w:spacing w:after="0" w:line="175" w:lineRule="exact"/>
        <w:rPr>
          <w:rFonts w:ascii="Arial" w:cs="Arial" w:eastAsia="Arial" w:hAnsi="Arial"/>
          <w:sz w:val="20"/>
          <w:szCs w:val="20"/>
          <w:color w:val="auto"/>
        </w:rPr>
      </w:pPr>
    </w:p>
    <w:p>
      <w:pPr>
        <w:ind w:left="967" w:hanging="319"/>
        <w:spacing w:after="0"/>
        <w:tabs>
          <w:tab w:leader="none" w:pos="967" w:val="left"/>
        </w:tabs>
        <w:numPr>
          <w:ilvl w:val="2"/>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the applicable Loan Party and the Agent.</w:t>
      </w:r>
    </w:p>
    <w:p>
      <w:pPr>
        <w:spacing w:after="0" w:line="175" w:lineRule="exact"/>
        <w:rPr>
          <w:rFonts w:ascii="Arial" w:cs="Arial" w:eastAsia="Arial" w:hAnsi="Arial"/>
          <w:sz w:val="20"/>
          <w:szCs w:val="20"/>
          <w:color w:val="auto"/>
        </w:rPr>
      </w:pPr>
    </w:p>
    <w:p>
      <w:pPr>
        <w:jc w:val="both"/>
        <w:ind w:left="327" w:hanging="327"/>
        <w:spacing w:after="0" w:line="215" w:lineRule="auto"/>
        <w:tabs>
          <w:tab w:leader="none" w:pos="327"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Payments Free of Taxes</w:t>
      </w:r>
      <w:r>
        <w:rPr>
          <w:rFonts w:ascii="Arial" w:cs="Arial" w:eastAsia="Arial" w:hAnsi="Arial"/>
          <w:sz w:val="19"/>
          <w:szCs w:val="19"/>
          <w:color w:val="auto"/>
        </w:rPr>
        <w:t>. Any and all payments by or on account of any obligation of any Loan Party under any Loan Document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55" w:lineRule="exact"/>
        <w:rPr>
          <w:rFonts w:ascii="Arial" w:cs="Arial" w:eastAsia="Arial" w:hAnsi="Arial"/>
          <w:sz w:val="19"/>
          <w:szCs w:val="19"/>
          <w:color w:val="auto"/>
        </w:rPr>
      </w:pPr>
    </w:p>
    <w:p>
      <w:pPr>
        <w:ind w:left="327" w:hanging="327"/>
        <w:spacing w:after="0" w:line="232" w:lineRule="auto"/>
        <w:tabs>
          <w:tab w:leader="none" w:pos="327"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Payment of Other Taxes by Borrower</w:t>
      </w:r>
      <w:r>
        <w:rPr>
          <w:rFonts w:ascii="Arial" w:cs="Arial" w:eastAsia="Arial" w:hAnsi="Arial"/>
          <w:sz w:val="20"/>
          <w:szCs w:val="20"/>
          <w:color w:val="auto"/>
        </w:rPr>
        <w:t>. The Loan Parties shall timely pay to the relevant governmental authority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or at the option of the Agent timely reimburse it for the payment of, any Other Taxes.</w:t>
      </w:r>
    </w:p>
    <w:p>
      <w:pPr>
        <w:spacing w:after="0" w:line="149" w:lineRule="exact"/>
        <w:rPr>
          <w:rFonts w:ascii="Arial" w:cs="Arial" w:eastAsia="Arial" w:hAnsi="Arial"/>
          <w:sz w:val="20"/>
          <w:szCs w:val="20"/>
          <w:color w:val="auto"/>
        </w:rPr>
      </w:pPr>
    </w:p>
    <w:p>
      <w:pPr>
        <w:jc w:val="both"/>
        <w:ind w:left="327" w:hanging="327"/>
        <w:spacing w:after="0" w:line="215" w:lineRule="auto"/>
        <w:tabs>
          <w:tab w:leader="none" w:pos="327"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Indemnification by Borrower</w:t>
      </w:r>
      <w:r>
        <w:rPr>
          <w:rFonts w:ascii="Arial" w:cs="Arial" w:eastAsia="Arial" w:hAnsi="Arial"/>
          <w:sz w:val="19"/>
          <w:szCs w:val="19"/>
          <w:color w:val="auto"/>
        </w:rPr>
        <w:t>. The Loan Parties shall indemnify each Recipient, within ten (10) days after demand therefor,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 In addition, the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spacing w:after="0" w:line="148" w:lineRule="exact"/>
        <w:rPr>
          <w:rFonts w:ascii="Arial" w:cs="Arial" w:eastAsia="Arial" w:hAnsi="Arial"/>
          <w:sz w:val="19"/>
          <w:szCs w:val="19"/>
          <w:color w:val="auto"/>
        </w:rPr>
      </w:pPr>
    </w:p>
    <w:p>
      <w:pPr>
        <w:ind w:left="327" w:hanging="327"/>
        <w:spacing w:after="0"/>
        <w:tabs>
          <w:tab w:leader="none" w:pos="32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Indemnification by the Lenders</w:t>
      </w:r>
      <w:r>
        <w:rPr>
          <w:rFonts w:ascii="Arial" w:cs="Arial" w:eastAsia="Arial" w:hAnsi="Arial"/>
          <w:sz w:val="18"/>
          <w:szCs w:val="18"/>
          <w:color w:val="auto"/>
        </w:rPr>
        <w:t>. Each Lender shall severally indemnify the Agent, within ten (10) days after demand therefor, for any</w:t>
      </w:r>
    </w:p>
    <w:p>
      <w:pPr>
        <w:spacing w:after="0" w:line="4" w:lineRule="exact"/>
        <w:rPr>
          <w:rFonts w:ascii="Arial" w:cs="Arial" w:eastAsia="Arial" w:hAnsi="Arial"/>
          <w:sz w:val="18"/>
          <w:szCs w:val="18"/>
          <w:color w:val="auto"/>
        </w:rPr>
      </w:pPr>
    </w:p>
    <w:p>
      <w:pPr>
        <w:jc w:val="both"/>
        <w:ind w:left="327" w:hanging="3"/>
        <w:spacing w:after="0" w:line="213" w:lineRule="auto"/>
        <w:tabs>
          <w:tab w:leader="none" w:pos="603" w:val="left"/>
        </w:tabs>
        <w:numPr>
          <w:ilvl w:val="1"/>
          <w:numId w:val="59"/>
        </w:numPr>
        <w:rPr>
          <w:rFonts w:ascii="Arial" w:cs="Arial" w:eastAsia="Arial" w:hAnsi="Arial"/>
          <w:sz w:val="19"/>
          <w:szCs w:val="19"/>
          <w:color w:val="auto"/>
        </w:rPr>
      </w:pPr>
      <w:r>
        <w:rPr>
          <w:rFonts w:ascii="Arial" w:cs="Arial" w:eastAsia="Arial" w:hAnsi="Arial"/>
          <w:sz w:val="19"/>
          <w:szCs w:val="19"/>
          <w:color w:val="auto"/>
        </w:rPr>
        <w:t>Indemnified Taxes attributable to such Lender (but only to the extent that any Loan Party has not already indemnified the Agent for such Indemnified Taxes and without limiting the obligation of the Loan Parties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49" w:lineRule="exact"/>
        <w:rPr>
          <w:rFonts w:ascii="Arial" w:cs="Arial" w:eastAsia="Arial" w:hAnsi="Arial"/>
          <w:sz w:val="19"/>
          <w:szCs w:val="19"/>
          <w:color w:val="auto"/>
        </w:rPr>
      </w:pPr>
    </w:p>
    <w:p>
      <w:pPr>
        <w:jc w:val="both"/>
        <w:ind w:left="327" w:hanging="327"/>
        <w:spacing w:after="0" w:line="214" w:lineRule="auto"/>
        <w:tabs>
          <w:tab w:leader="none" w:pos="327"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Evidence of Payments</w:t>
      </w:r>
      <w:r>
        <w:rPr>
          <w:rFonts w:ascii="Arial" w:cs="Arial" w:eastAsia="Arial" w:hAnsi="Arial"/>
          <w:sz w:val="20"/>
          <w:szCs w:val="20"/>
          <w:color w:val="auto"/>
        </w:rPr>
        <w:t>. As soon as practicable after any payment of Taxes by any Loan Party to a governmental authority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Addendum 1, such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3"/>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147"/>
          </w:cols>
          <w:pgMar w:left="413" w:top="1440" w:right="339" w:bottom="1440" w:gutter="0" w:footer="0" w:header="0"/>
        </w:sectPr>
      </w:pPr>
    </w:p>
    <w:bookmarkStart w:id="91" w:name="page92"/>
    <w:bookmarkEnd w:id="91"/>
    <w:p>
      <w:pPr>
        <w:spacing w:after="0" w:line="176" w:lineRule="exact"/>
        <w:rPr>
          <w:sz w:val="20"/>
          <w:szCs w:val="20"/>
          <w:color w:val="auto"/>
        </w:rPr>
      </w:pPr>
    </w:p>
    <w:p>
      <w:pPr>
        <w:ind w:left="327" w:hanging="327"/>
        <w:spacing w:after="0"/>
        <w:tabs>
          <w:tab w:leader="none" w:pos="327"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Status of Lenders</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left="967" w:hanging="319"/>
        <w:spacing w:after="0" w:line="225" w:lineRule="auto"/>
        <w:tabs>
          <w:tab w:leader="none" w:pos="95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Arial" w:cs="Arial" w:eastAsia="Arial" w:hAnsi="Arial"/>
          <w:sz w:val="18"/>
          <w:szCs w:val="18"/>
          <w:color w:val="auto"/>
        </w:rPr>
      </w:pPr>
    </w:p>
    <w:p>
      <w:pPr>
        <w:ind w:left="967" w:hanging="319"/>
        <w:spacing w:after="0"/>
        <w:tabs>
          <w:tab w:leader="none" w:pos="967" w:val="left"/>
        </w:tabs>
        <w:numPr>
          <w:ilvl w:val="1"/>
          <w:numId w:val="6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75" w:lineRule="exact"/>
        <w:rPr>
          <w:sz w:val="20"/>
          <w:szCs w:val="20"/>
          <w:color w:val="auto"/>
        </w:rPr>
      </w:pPr>
    </w:p>
    <w:p>
      <w:pPr>
        <w:jc w:val="both"/>
        <w:ind w:left="1627" w:hanging="161"/>
        <w:spacing w:after="0" w:line="213" w:lineRule="auto"/>
        <w:rPr>
          <w:sz w:val="20"/>
          <w:szCs w:val="20"/>
          <w:color w:val="auto"/>
        </w:rPr>
      </w:pPr>
      <w:r>
        <w:rPr>
          <w:rFonts w:ascii="Arial" w:cs="Arial" w:eastAsia="Arial" w:hAnsi="Arial"/>
          <w:sz w:val="20"/>
          <w:szCs w:val="20"/>
          <w:color w:val="auto"/>
        </w:rPr>
        <w:t>i. 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56" w:lineRule="exact"/>
        <w:rPr>
          <w:sz w:val="20"/>
          <w:szCs w:val="20"/>
          <w:color w:val="auto"/>
        </w:rPr>
      </w:pPr>
    </w:p>
    <w:p>
      <w:pPr>
        <w:jc w:val="both"/>
        <w:ind w:left="1627" w:right="20" w:hanging="161"/>
        <w:spacing w:after="0" w:line="213" w:lineRule="auto"/>
        <w:rPr>
          <w:sz w:val="20"/>
          <w:szCs w:val="20"/>
          <w:color w:val="auto"/>
        </w:rPr>
      </w:pPr>
      <w:r>
        <w:rPr>
          <w:rFonts w:ascii="Arial" w:cs="Arial" w:eastAsia="Arial" w:hAnsi="Arial"/>
          <w:sz w:val="20"/>
          <w:szCs w:val="20"/>
          <w:color w:val="auto"/>
        </w:rPr>
        <w:t>ii.any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56" w:lineRule="exact"/>
        <w:rPr>
          <w:sz w:val="20"/>
          <w:szCs w:val="20"/>
          <w:color w:val="auto"/>
        </w:rPr>
      </w:pPr>
    </w:p>
    <w:p>
      <w:pPr>
        <w:jc w:val="both"/>
        <w:ind w:left="2267" w:hanging="323"/>
        <w:spacing w:after="0" w:line="206" w:lineRule="auto"/>
        <w:tabs>
          <w:tab w:leader="none" w:pos="225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57" w:lineRule="exact"/>
        <w:rPr>
          <w:rFonts w:ascii="Arial" w:cs="Arial" w:eastAsia="Arial" w:hAnsi="Arial"/>
          <w:sz w:val="20"/>
          <w:szCs w:val="20"/>
          <w:color w:val="auto"/>
        </w:rPr>
      </w:pPr>
    </w:p>
    <w:p>
      <w:pPr>
        <w:ind w:left="2267" w:hanging="323"/>
        <w:spacing w:after="0"/>
        <w:tabs>
          <w:tab w:leader="none" w:pos="2267" w:val="left"/>
        </w:tabs>
        <w:numPr>
          <w:ilvl w:val="0"/>
          <w:numId w:val="61"/>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75" w:lineRule="exact"/>
        <w:rPr>
          <w:rFonts w:ascii="Arial" w:cs="Arial" w:eastAsia="Arial" w:hAnsi="Arial"/>
          <w:sz w:val="20"/>
          <w:szCs w:val="20"/>
          <w:color w:val="auto"/>
        </w:rPr>
      </w:pPr>
    </w:p>
    <w:p>
      <w:pPr>
        <w:jc w:val="both"/>
        <w:ind w:left="2267" w:hanging="323"/>
        <w:spacing w:after="0" w:line="218" w:lineRule="auto"/>
        <w:tabs>
          <w:tab w:leader="none" w:pos="22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9"/>
          <w:szCs w:val="19"/>
          <w:b w:val="1"/>
          <w:bCs w:val="1"/>
          <w:color w:val="auto"/>
        </w:rPr>
        <w:t>U.S. Tax Compliance</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w:t>
      </w:r>
      <w:r>
        <w:rPr>
          <w:rFonts w:ascii="Arial" w:cs="Arial" w:eastAsia="Arial" w:hAnsi="Arial"/>
          <w:sz w:val="19"/>
          <w:szCs w:val="19"/>
          <w:color w:val="auto"/>
        </w:rPr>
        <w:t>”) and (y) executed copies of IRS Form W-8BEN or IRS Form W-8BEN-E; or</w:t>
      </w:r>
    </w:p>
    <w:p>
      <w:pPr>
        <w:spacing w:after="0" w:line="159" w:lineRule="exact"/>
        <w:rPr>
          <w:rFonts w:ascii="Arial" w:cs="Arial" w:eastAsia="Arial" w:hAnsi="Arial"/>
          <w:sz w:val="19"/>
          <w:szCs w:val="19"/>
          <w:color w:val="auto"/>
        </w:rPr>
      </w:pPr>
    </w:p>
    <w:p>
      <w:pPr>
        <w:ind w:left="2267" w:hanging="323"/>
        <w:spacing w:after="0" w:line="229" w:lineRule="auto"/>
        <w:tabs>
          <w:tab w:leader="none" w:pos="2257" w:val="left"/>
        </w:tabs>
        <w:numPr>
          <w:ilvl w:val="0"/>
          <w:numId w:val="61"/>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executed copies of IRS Form W-8IMY, accompanied by IRS Form W-8ECI,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3"/>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147"/>
          </w:cols>
          <w:pgMar w:left="413" w:top="1440" w:right="339" w:bottom="1440" w:gutter="0" w:footer="0" w:header="0"/>
        </w:sectPr>
      </w:pPr>
    </w:p>
    <w:bookmarkStart w:id="92" w:name="page93"/>
    <w:bookmarkEnd w:id="92"/>
    <w:p>
      <w:pPr>
        <w:spacing w:after="0" w:line="182" w:lineRule="exact"/>
        <w:rPr>
          <w:sz w:val="20"/>
          <w:szCs w:val="20"/>
          <w:color w:val="auto"/>
        </w:rPr>
      </w:pPr>
    </w:p>
    <w:p>
      <w:pPr>
        <w:jc w:val="both"/>
        <w:ind w:left="2267"/>
        <w:spacing w:after="0" w:line="233" w:lineRule="auto"/>
        <w:rPr>
          <w:sz w:val="20"/>
          <w:szCs w:val="20"/>
          <w:color w:val="auto"/>
        </w:rPr>
      </w:pPr>
      <w:r>
        <w:rPr>
          <w:rFonts w:ascii="Arial" w:cs="Arial" w:eastAsia="Arial" w:hAnsi="Arial"/>
          <w:sz w:val="18"/>
          <w:szCs w:val="18"/>
          <w:color w:val="auto"/>
        </w:rPr>
        <w:t>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56" w:lineRule="exact"/>
        <w:rPr>
          <w:sz w:val="20"/>
          <w:szCs w:val="20"/>
          <w:color w:val="auto"/>
        </w:rPr>
      </w:pPr>
    </w:p>
    <w:p>
      <w:pPr>
        <w:jc w:val="both"/>
        <w:ind w:left="1627" w:hanging="169"/>
        <w:spacing w:after="0" w:line="206" w:lineRule="auto"/>
        <w:tabs>
          <w:tab w:leader="none" w:pos="1855" w:val="left"/>
        </w:tabs>
        <w:numPr>
          <w:ilvl w:val="2"/>
          <w:numId w:val="6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57" w:lineRule="exact"/>
        <w:rPr>
          <w:rFonts w:ascii="Arial" w:cs="Arial" w:eastAsia="Arial" w:hAnsi="Arial"/>
          <w:sz w:val="20"/>
          <w:szCs w:val="20"/>
          <w:color w:val="auto"/>
        </w:rPr>
      </w:pPr>
    </w:p>
    <w:p>
      <w:pPr>
        <w:jc w:val="both"/>
        <w:ind w:left="1627" w:hanging="169"/>
        <w:spacing w:after="0" w:line="214" w:lineRule="auto"/>
        <w:tabs>
          <w:tab w:leader="none" w:pos="1845" w:val="left"/>
        </w:tabs>
        <w:numPr>
          <w:ilvl w:val="2"/>
          <w:numId w:val="62"/>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57" w:lineRule="exact"/>
        <w:rPr>
          <w:rFonts w:ascii="Arial" w:cs="Arial" w:eastAsia="Arial" w:hAnsi="Arial"/>
          <w:sz w:val="19"/>
          <w:szCs w:val="19"/>
          <w:color w:val="auto"/>
        </w:rPr>
      </w:pPr>
    </w:p>
    <w:p>
      <w:pPr>
        <w:jc w:val="both"/>
        <w:ind w:left="967" w:hanging="319"/>
        <w:spacing w:after="0" w:line="218" w:lineRule="auto"/>
        <w:tabs>
          <w:tab w:leader="none" w:pos="956" w:val="left"/>
        </w:tabs>
        <w:numPr>
          <w:ilvl w:val="1"/>
          <w:numId w:val="63"/>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50" w:lineRule="exact"/>
        <w:rPr>
          <w:rFonts w:ascii="Arial" w:cs="Arial" w:eastAsia="Arial" w:hAnsi="Arial"/>
          <w:sz w:val="20"/>
          <w:szCs w:val="20"/>
          <w:color w:val="auto"/>
        </w:rPr>
      </w:pPr>
    </w:p>
    <w:p>
      <w:pPr>
        <w:jc w:val="both"/>
        <w:ind w:left="327" w:hanging="327"/>
        <w:spacing w:after="0" w:line="254" w:lineRule="auto"/>
        <w:tabs>
          <w:tab w:leader="none" w:pos="327"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Treatment of Certain Refunds</w:t>
      </w:r>
      <w:r>
        <w:rPr>
          <w:rFonts w:ascii="Arial" w:cs="Arial" w:eastAsia="Arial" w:hAnsi="Arial"/>
          <w:sz w:val="16"/>
          <w:szCs w:val="16"/>
          <w:color w:val="auto"/>
        </w:rPr>
        <w:t>. If any party determines, in its sole discretion exercised in good faith, that it has received a refund of</w:t>
      </w:r>
      <w:r>
        <w:rPr>
          <w:rFonts w:ascii="Arial" w:cs="Arial" w:eastAsia="Arial" w:hAnsi="Arial"/>
          <w:sz w:val="16"/>
          <w:szCs w:val="16"/>
          <w:b w:val="1"/>
          <w:bCs w:val="1"/>
          <w:color w:val="auto"/>
        </w:rPr>
        <w:t xml:space="preserve"> </w:t>
      </w:r>
      <w:r>
        <w:rPr>
          <w:rFonts w:ascii="Arial" w:cs="Arial" w:eastAsia="Arial" w:hAnsi="Arial"/>
          <w:sz w:val="16"/>
          <w:szCs w:val="16"/>
          <w:color w:val="auto"/>
        </w:rPr>
        <w:t>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3"/>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147"/>
          </w:cols>
          <w:pgMar w:left="413" w:top="1440" w:right="339" w:bottom="1440" w:gutter="0" w:footer="0" w:header="0"/>
        </w:sectPr>
      </w:pPr>
    </w:p>
    <w:bookmarkStart w:id="93" w:name="page94"/>
    <w:bookmarkEnd w:id="93"/>
    <w:p>
      <w:pPr>
        <w:spacing w:after="0" w:line="182" w:lineRule="exact"/>
        <w:rPr>
          <w:sz w:val="20"/>
          <w:szCs w:val="20"/>
          <w:color w:val="auto"/>
        </w:rPr>
      </w:pPr>
    </w:p>
    <w:p>
      <w:pPr>
        <w:ind w:left="327"/>
        <w:spacing w:after="0"/>
        <w:rPr>
          <w:sz w:val="20"/>
          <w:szCs w:val="20"/>
          <w:color w:val="auto"/>
        </w:rPr>
      </w:pPr>
      <w:r>
        <w:rPr>
          <w:rFonts w:ascii="Arial" w:cs="Arial" w:eastAsia="Arial" w:hAnsi="Arial"/>
          <w:sz w:val="20"/>
          <w:szCs w:val="20"/>
          <w:color w:val="auto"/>
        </w:rPr>
        <w:t>(or any other information relating to its Taxes that it deems confidential) to the indemnifying party or any other Person.</w:t>
      </w:r>
    </w:p>
    <w:p>
      <w:pPr>
        <w:spacing w:after="0" w:line="169" w:lineRule="exact"/>
        <w:rPr>
          <w:sz w:val="20"/>
          <w:szCs w:val="20"/>
          <w:color w:val="auto"/>
        </w:rPr>
      </w:pPr>
    </w:p>
    <w:p>
      <w:pPr>
        <w:jc w:val="both"/>
        <w:ind w:left="327" w:hanging="327"/>
        <w:spacing w:after="0" w:line="230" w:lineRule="auto"/>
        <w:tabs>
          <w:tab w:leader="none" w:pos="327"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Increased Costs</w:t>
      </w:r>
      <w:r>
        <w:rPr>
          <w:rFonts w:ascii="Arial" w:cs="Arial" w:eastAsia="Arial" w:hAnsi="Arial"/>
          <w:sz w:val="18"/>
          <w:szCs w:val="18"/>
          <w:color w:val="auto"/>
        </w:rPr>
        <w:t>. If any change in applicable law shall subject any Recipient to any Taxes (other than (A) Indemnified Taxes, (B) Taxes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50" w:lineRule="exact"/>
        <w:rPr>
          <w:rFonts w:ascii="Arial" w:cs="Arial" w:eastAsia="Arial" w:hAnsi="Arial"/>
          <w:sz w:val="18"/>
          <w:szCs w:val="18"/>
          <w:color w:val="auto"/>
        </w:rPr>
      </w:pPr>
    </w:p>
    <w:p>
      <w:pPr>
        <w:jc w:val="both"/>
        <w:ind w:left="327" w:hanging="327"/>
        <w:spacing w:after="0" w:line="220" w:lineRule="auto"/>
        <w:tabs>
          <w:tab w:leader="none" w:pos="318"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Survival</w:t>
      </w:r>
      <w:r>
        <w:rPr>
          <w:rFonts w:ascii="Arial" w:cs="Arial" w:eastAsia="Arial" w:hAnsi="Arial"/>
          <w:sz w:val="20"/>
          <w:szCs w:val="20"/>
          <w:color w:val="auto"/>
        </w:rPr>
        <w:t>. Each party’s obligations under the provisions of this Addendum 1 shall survive the resignation or replacement of the Agent or</w:t>
      </w:r>
      <w:r>
        <w:rPr>
          <w:rFonts w:ascii="Arial" w:cs="Arial" w:eastAsia="Arial" w:hAnsi="Arial"/>
          <w:sz w:val="20"/>
          <w:szCs w:val="20"/>
          <w:b w:val="1"/>
          <w:bCs w:val="1"/>
          <w:color w:val="auto"/>
        </w:rPr>
        <w:t xml:space="preserve"> </w:t>
      </w:r>
      <w:r>
        <w:rPr>
          <w:rFonts w:ascii="Arial" w:cs="Arial" w:eastAsia="Arial" w:hAnsi="Arial"/>
          <w:sz w:val="20"/>
          <w:szCs w:val="20"/>
          <w:color w:val="auto"/>
        </w:rPr>
        <w:t>any assignment of rights by, or the replacement of, a Lender, the termination of the Term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3"/>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147"/>
          </w:cols>
          <w:pgMar w:left="413" w:top="1440" w:right="339" w:bottom="1440" w:gutter="0" w:footer="0" w:header="0"/>
        </w:sectPr>
      </w:pPr>
    </w:p>
    <w:bookmarkStart w:id="94" w:name="page95"/>
    <w:bookmarkEnd w:id="94"/>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ADDENDUM 2 to LOAN AND SECURITY AGREEMENT</w:t>
      </w:r>
    </w:p>
    <w:p>
      <w:pPr>
        <w:sectPr>
          <w:pgSz w:w="11900" w:h="16838" w:orient="portrait"/>
          <w:cols w:equalWidth="0" w:num="1">
            <w:col w:w="9019"/>
          </w:cols>
          <w:pgMar w:left="1440" w:top="1440" w:right="1440" w:bottom="1440" w:gutter="0" w:footer="0" w:header="0"/>
        </w:sectPr>
      </w:pPr>
    </w:p>
    <w:p>
      <w:pPr>
        <w:spacing w:after="0" w:line="187" w:lineRule="exact"/>
        <w:rPr>
          <w:sz w:val="20"/>
          <w:szCs w:val="20"/>
          <w:color w:val="auto"/>
        </w:rPr>
      </w:pPr>
    </w:p>
    <w:p>
      <w:pPr>
        <w:ind w:left="2120"/>
        <w:spacing w:after="0"/>
        <w:rPr>
          <w:sz w:val="20"/>
          <w:szCs w:val="20"/>
          <w:color w:val="auto"/>
        </w:rPr>
      </w:pPr>
      <w:r>
        <w:rPr>
          <w:rFonts w:ascii="Arial" w:cs="Arial" w:eastAsia="Arial" w:hAnsi="Arial"/>
          <w:sz w:val="19"/>
          <w:szCs w:val="19"/>
          <w:b w:val="1"/>
          <w:bCs w:val="1"/>
          <w:u w:val="single" w:color="auto"/>
          <w:color w:val="auto"/>
        </w:rPr>
        <w:t>[RESERVED]</w:t>
      </w:r>
    </w:p>
    <w:p>
      <w:pPr>
        <w:sectPr>
          <w:pgSz w:w="11900" w:h="16838" w:orient="portrait"/>
          <w:cols w:equalWidth="0" w:num="1">
            <w:col w:w="9019"/>
          </w:cols>
          <w:pgMar w:left="1440" w:top="1440" w:right="1440" w:bottom="1440" w:gutter="0" w:footer="0" w:header="0"/>
          <w:type w:val="continuous"/>
        </w:sectPr>
      </w:pPr>
    </w:p>
    <w:bookmarkStart w:id="95" w:name="page96"/>
    <w:bookmarkEnd w:id="95"/>
    <w:p>
      <w:pPr>
        <w:spacing w:after="0" w:line="176"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ADDENDUM 3 to LOAN AND SECURITY AGREEMENT</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Agent and Lender Terms</w:t>
      </w:r>
    </w:p>
    <w:p>
      <w:pPr>
        <w:spacing w:after="0" w:line="175" w:lineRule="exact"/>
        <w:rPr>
          <w:sz w:val="20"/>
          <w:szCs w:val="20"/>
          <w:color w:val="auto"/>
        </w:rPr>
      </w:pPr>
    </w:p>
    <w:p>
      <w:pPr>
        <w:jc w:val="both"/>
        <w:ind w:firstLine="644"/>
        <w:spacing w:after="0" w:line="244" w:lineRule="auto"/>
        <w:tabs>
          <w:tab w:leader="none" w:pos="12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51" w:lineRule="exact"/>
        <w:rPr>
          <w:rFonts w:ascii="Arial" w:cs="Arial" w:eastAsia="Arial" w:hAnsi="Arial"/>
          <w:sz w:val="18"/>
          <w:szCs w:val="18"/>
          <w:color w:val="auto"/>
        </w:rPr>
      </w:pPr>
    </w:p>
    <w:p>
      <w:pPr>
        <w:jc w:val="both"/>
        <w:ind w:firstLine="644"/>
        <w:spacing w:after="0" w:line="215" w:lineRule="auto"/>
        <w:tabs>
          <w:tab w:leader="none" w:pos="1284"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Lender agrees to indemnify the Agent in its capacity as such (to the extent not reimbursed by the Loan Parties and without limiting the obligation of the Loan Parties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55" w:lineRule="exact"/>
        <w:rPr>
          <w:rFonts w:ascii="Arial" w:cs="Arial" w:eastAsia="Arial" w:hAnsi="Arial"/>
          <w:sz w:val="19"/>
          <w:szCs w:val="19"/>
          <w:color w:val="auto"/>
        </w:rPr>
      </w:pPr>
    </w:p>
    <w:p>
      <w:pPr>
        <w:jc w:val="both"/>
        <w:ind w:firstLine="644"/>
        <w:spacing w:after="0" w:line="213" w:lineRule="auto"/>
        <w:tabs>
          <w:tab w:leader="none" w:pos="1286" w:val="left"/>
        </w:tabs>
        <w:numPr>
          <w:ilvl w:val="0"/>
          <w:numId w:val="66"/>
        </w:numPr>
        <w:rPr>
          <w:rFonts w:ascii="Arial" w:cs="Arial" w:eastAsia="Arial" w:hAnsi="Arial"/>
          <w:sz w:val="20"/>
          <w:szCs w:val="20"/>
          <w:color w:val="auto"/>
        </w:rPr>
      </w:pPr>
      <w:r>
        <w:rPr>
          <w:rFonts w:ascii="Arial" w:cs="Arial" w:eastAsia="Arial" w:hAnsi="Arial"/>
          <w:sz w:val="20"/>
          <w:szCs w:val="20"/>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55" w:lineRule="exact"/>
        <w:rPr>
          <w:rFonts w:ascii="Arial" w:cs="Arial" w:eastAsia="Arial" w:hAnsi="Arial"/>
          <w:sz w:val="20"/>
          <w:szCs w:val="20"/>
          <w:color w:val="auto"/>
        </w:rPr>
      </w:pPr>
    </w:p>
    <w:p>
      <w:pPr>
        <w:ind w:firstLine="644"/>
        <w:spacing w:after="0" w:line="229" w:lineRule="auto"/>
        <w:tabs>
          <w:tab w:leader="none" w:pos="12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Exculpatory Provisions. The Agent shall have no duties or obligations except those expressly set forth herein and in the other Loan Documents. Without limiting the generality of the foregoing, the Agent shall not:</w:t>
      </w:r>
    </w:p>
    <w:p>
      <w:pPr>
        <w:spacing w:after="0" w:line="155" w:lineRule="exact"/>
        <w:rPr>
          <w:rFonts w:ascii="Arial" w:cs="Arial" w:eastAsia="Arial" w:hAnsi="Arial"/>
          <w:sz w:val="20"/>
          <w:szCs w:val="20"/>
          <w:color w:val="auto"/>
        </w:rPr>
      </w:pPr>
    </w:p>
    <w:p>
      <w:pPr>
        <w:ind w:left="1620" w:hanging="328"/>
        <w:spacing w:after="0" w:line="229" w:lineRule="auto"/>
        <w:tabs>
          <w:tab w:leader="none" w:pos="1618" w:val="left"/>
        </w:tabs>
        <w:numPr>
          <w:ilvl w:val="1"/>
          <w:numId w:val="66"/>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55" w:lineRule="exact"/>
        <w:rPr>
          <w:rFonts w:ascii="Arial" w:cs="Arial" w:eastAsia="Arial" w:hAnsi="Arial"/>
          <w:sz w:val="20"/>
          <w:szCs w:val="20"/>
          <w:color w:val="auto"/>
        </w:rPr>
      </w:pPr>
    </w:p>
    <w:p>
      <w:pPr>
        <w:jc w:val="both"/>
        <w:ind w:left="1620" w:hanging="328"/>
        <w:spacing w:after="0" w:line="210" w:lineRule="auto"/>
        <w:tabs>
          <w:tab w:leader="none" w:pos="1619" w:val="left"/>
        </w:tabs>
        <w:numPr>
          <w:ilvl w:val="1"/>
          <w:numId w:val="66"/>
        </w:numPr>
        <w:rPr>
          <w:rFonts w:ascii="Arial" w:cs="Arial" w:eastAsia="Arial" w:hAnsi="Arial"/>
          <w:sz w:val="20"/>
          <w:szCs w:val="20"/>
          <w:color w:val="auto"/>
        </w:rPr>
      </w:pPr>
      <w:r>
        <w:rPr>
          <w:rFonts w:ascii="Arial" w:cs="Arial" w:eastAsia="Arial" w:hAnsi="Arial"/>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54" w:lineRule="exact"/>
        <w:rPr>
          <w:rFonts w:ascii="Arial" w:cs="Arial" w:eastAsia="Arial" w:hAnsi="Arial"/>
          <w:sz w:val="20"/>
          <w:szCs w:val="20"/>
          <w:color w:val="auto"/>
        </w:rPr>
      </w:pPr>
    </w:p>
    <w:p>
      <w:pPr>
        <w:jc w:val="both"/>
        <w:ind w:left="1620" w:hanging="328"/>
        <w:spacing w:after="0" w:line="244"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have any duty to disclose, and the Agent shall not be liable for the failure to disclose, any information relating to any Loan Party or any of its Affiliates that is communicated to or obtained by any Person serving as the Agent or any of its Affiliates in any capacity.</w:t>
      </w:r>
    </w:p>
    <w:p>
      <w:pPr>
        <w:spacing w:after="0" w:line="151" w:lineRule="exact"/>
        <w:rPr>
          <w:rFonts w:ascii="Arial" w:cs="Arial" w:eastAsia="Arial" w:hAnsi="Arial"/>
          <w:sz w:val="18"/>
          <w:szCs w:val="18"/>
          <w:color w:val="auto"/>
        </w:rPr>
      </w:pPr>
    </w:p>
    <w:p>
      <w:pPr>
        <w:jc w:val="both"/>
        <w:ind w:firstLine="644"/>
        <w:spacing w:after="0" w:line="218" w:lineRule="auto"/>
        <w:tabs>
          <w:tab w:leader="none" w:pos="1286"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56" w:lineRule="exact"/>
        <w:rPr>
          <w:rFonts w:ascii="Arial" w:cs="Arial" w:eastAsia="Arial" w:hAnsi="Arial"/>
          <w:sz w:val="20"/>
          <w:szCs w:val="20"/>
          <w:color w:val="auto"/>
        </w:rPr>
      </w:pPr>
    </w:p>
    <w:p>
      <w:pPr>
        <w:jc w:val="both"/>
        <w:ind w:firstLine="644"/>
        <w:spacing w:after="0" w:line="218" w:lineRule="auto"/>
        <w:tabs>
          <w:tab w:leader="none" w:pos="1291"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w:t>
      </w:r>
    </w:p>
    <w:p>
      <w:pPr>
        <w:sectPr>
          <w:pgSz w:w="11900" w:h="16838" w:orient="portrait"/>
          <w:cols w:equalWidth="0" w:num="1">
            <w:col w:w="10580"/>
          </w:cols>
          <w:pgMar w:left="980" w:top="1440" w:right="339" w:bottom="1440" w:gutter="0" w:footer="0" w:header="0"/>
        </w:sectPr>
      </w:pPr>
    </w:p>
    <w:bookmarkStart w:id="96" w:name="page97"/>
    <w:bookmarkEnd w:id="96"/>
    <w:p>
      <w:pPr>
        <w:spacing w:after="0" w:line="182" w:lineRule="exact"/>
        <w:rPr>
          <w:sz w:val="20"/>
          <w:szCs w:val="20"/>
          <w:color w:val="auto"/>
        </w:rPr>
      </w:pPr>
    </w:p>
    <w:p>
      <w:pPr>
        <w:jc w:val="both"/>
        <w:ind w:left="660"/>
        <w:spacing w:after="0" w:line="223" w:lineRule="auto"/>
        <w:rPr>
          <w:sz w:val="20"/>
          <w:szCs w:val="20"/>
          <w:color w:val="auto"/>
        </w:rPr>
      </w:pPr>
      <w:r>
        <w:rPr>
          <w:rFonts w:ascii="Arial" w:cs="Arial" w:eastAsia="Arial" w:hAnsi="Arial"/>
          <w:sz w:val="18"/>
          <w:szCs w:val="18"/>
          <w:color w:val="auto"/>
        </w:rPr>
        <w:t>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WEST\298100232.10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WEST\298100232.10</w:t>
      </w:r>
    </w:p>
    <w:p>
      <w:pPr>
        <w:sectPr>
          <w:pgSz w:w="11900" w:h="16838" w:orient="portrait"/>
          <w:cols w:equalWidth="0" w:num="1">
            <w:col w:w="10139"/>
          </w:cols>
          <w:pgMar w:left="320" w:top="1440"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WEST\298100232.10</w:t>
      </w:r>
    </w:p>
    <w:p>
      <w:pPr>
        <w:sectPr>
          <w:pgSz w:w="11900" w:h="16838" w:orient="portrait"/>
          <w:cols w:equalWidth="0" w:num="1">
            <w:col w:w="10139"/>
          </w:cols>
          <w:pgMar w:left="320" w:top="144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279" w:lineRule="exact"/>
        <w:rPr>
          <w:sz w:val="20"/>
          <w:szCs w:val="20"/>
          <w:color w:val="auto"/>
        </w:rPr>
      </w:pPr>
    </w:p>
    <w:p>
      <w:pPr>
        <w:ind w:left="1040" w:right="320" w:hanging="521"/>
        <w:spacing w:after="0" w:line="342" w:lineRule="auto"/>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279" w:lineRule="exact"/>
        <w:rPr>
          <w:sz w:val="20"/>
          <w:szCs w:val="20"/>
          <w:color w:val="auto"/>
        </w:rPr>
      </w:pPr>
    </w:p>
    <w:p>
      <w:pPr>
        <w:ind w:left="1040" w:right="320" w:hanging="521"/>
        <w:spacing w:after="0" w:line="342" w:lineRule="auto"/>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103" w:name="page104"/>
    <w:bookmarkEnd w:id="103"/>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March 31, 2022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March 31, 2022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2"/>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04"/>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upperLetter"/>
      <w:start w:val="1"/>
    </w:lvl>
  </w:abstractNum>
  <w:abstractNum w:abstractNumId="14">
    <w:nsid w:val="1D4ED43B"/>
    <w:multiLevelType w:val="hybridMultilevel"/>
    <w:lvl w:ilvl="0">
      <w:lvlJc w:val="left"/>
      <w:lvlText w:val="(%1)"/>
      <w:numFmt w:val="lowerLetter"/>
      <w:start w:val="1"/>
    </w:lvl>
    <w:lvl w:ilvl="1">
      <w:lvlJc w:val="left"/>
      <w:lvlText w:val="(%2)"/>
      <w:numFmt w:val="lowerRoman"/>
      <w:start w:val="1"/>
    </w:lvl>
  </w:abstractNum>
  <w:abstractNum w:abstractNumId="15">
    <w:nsid w:val="725A06FB"/>
    <w:multiLevelType w:val="hybridMultilevel"/>
    <w:lvl w:ilvl="0">
      <w:lvlJc w:val="left"/>
      <w:lvlText w:val="(%1)"/>
      <w:numFmt w:val="lowerLetter"/>
      <w:start w:val="5"/>
    </w:lvl>
  </w:abstractNum>
  <w:abstractNum w:abstractNumId="16">
    <w:nsid w:val="2CD89A32"/>
    <w:multiLevelType w:val="hybridMultilevel"/>
    <w:lvl w:ilvl="0">
      <w:lvlJc w:val="left"/>
      <w:lvlText w:val="(%1)"/>
      <w:numFmt w:val="lowerLetter"/>
      <w:start w:val="3"/>
    </w:lvl>
  </w:abstractNum>
  <w:abstractNum w:abstractNumId="17">
    <w:nsid w:val="57E4CCAF"/>
    <w:multiLevelType w:val="hybridMultilevel"/>
    <w:lvl w:ilvl="0">
      <w:lvlJc w:val="left"/>
      <w:lvlText w:val="(%1)"/>
      <w:numFmt w:val="decimal"/>
      <w:start w:val="12"/>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5"/>
    </w:lvl>
  </w:abstractNum>
  <w:abstractNum w:abstractNumId="20">
    <w:nsid w:val="542289EC"/>
    <w:multiLevelType w:val="hybridMultilevel"/>
    <w:lvl w:ilvl="0">
      <w:lvlJc w:val="left"/>
      <w:lvlText w:val="(%1)"/>
      <w:numFmt w:val="lowerRoman"/>
      <w:start w:val="1"/>
    </w:lvl>
  </w:abstractNum>
  <w:abstractNum w:abstractNumId="21">
    <w:nsid w:val="6DE91B18"/>
    <w:multiLevelType w:val="hybridMultilevel"/>
    <w:lvl w:ilvl="0">
      <w:lvlJc w:val="left"/>
      <w:lvlText w:val="(%1)"/>
      <w:numFmt w:val="lowerRoman"/>
      <w:start w:val="9"/>
    </w:lvl>
  </w:abstractNum>
  <w:abstractNum w:abstractNumId="22">
    <w:nsid w:val="38437FDB"/>
    <w:multiLevelType w:val="hybridMultilevel"/>
    <w:lvl w:ilvl="0">
      <w:lvlJc w:val="left"/>
      <w:lvlText w:val="(%1)"/>
      <w:numFmt w:val="lowerRoman"/>
      <w:start w:val="1"/>
    </w:lvl>
  </w:abstractNum>
  <w:abstractNum w:abstractNumId="23">
    <w:nsid w:val="7644A45C"/>
    <w:multiLevelType w:val="hybridMultilevel"/>
    <w:lvl w:ilvl="0">
      <w:lvlJc w:val="left"/>
      <w:lvlText w:val="(%1)"/>
      <w:numFmt w:val="lowerRoman"/>
      <w:start w:val="6"/>
    </w:lvl>
  </w:abstractNum>
  <w:abstractNum w:abstractNumId="24">
    <w:nsid w:val="32FFF902"/>
    <w:multiLevelType w:val="hybridMultilevel"/>
    <w:lvl w:ilvl="0">
      <w:lvlJc w:val="left"/>
      <w:lvlText w:val="(%1)"/>
      <w:numFmt w:val="lowerRoman"/>
      <w:start w:val="1"/>
    </w:lvl>
  </w:abstractNum>
  <w:abstractNum w:abstractNumId="25">
    <w:nsid w:val="684A481A"/>
    <w:multiLevelType w:val="hybridMultilevel"/>
    <w:lvl w:ilvl="0">
      <w:lvlJc w:val="left"/>
      <w:lvlText w:val="(%1)"/>
      <w:numFmt w:val="lowerRoman"/>
      <w:start w:val="3"/>
    </w:lvl>
  </w:abstractNum>
  <w:abstractNum w:abstractNumId="26">
    <w:nsid w:val="579478FE"/>
    <w:multiLevelType w:val="hybridMultilevel"/>
    <w:lvl w:ilvl="0">
      <w:lvlJc w:val="left"/>
      <w:lvlText w:val="(%1)"/>
      <w:numFmt w:val="lowerRoman"/>
      <w:start w:val="12"/>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14"/>
    </w:lvl>
  </w:abstractNum>
  <w:abstractNum w:abstractNumId="29">
    <w:nsid w:val="1BA026FA"/>
    <w:multiLevelType w:val="hybridMultilevel"/>
    <w:lvl w:ilvl="0">
      <w:lvlJc w:val="left"/>
      <w:lvlText w:val="(%1)"/>
      <w:numFmt w:val="lowerLetter"/>
      <w:start w:val="1"/>
    </w:lvl>
    <w:lvl w:ilvl="1">
      <w:lvlJc w:val="left"/>
      <w:lvlText w:val="(%2)"/>
      <w:numFmt w:val="lowerLetter"/>
      <w:start w:val="9"/>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3"/>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Roman"/>
      <w:start w:val="4"/>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decimal"/>
      <w:start w:val="1"/>
    </w:lvl>
    <w:lvl w:ilvl="1">
      <w:lvlJc w:val="left"/>
      <w:lvlText w:val="(%2)"/>
      <w:numFmt w:val="lowerLetter"/>
      <w:start w:val="7"/>
    </w:lvl>
  </w:abstractNum>
  <w:abstractNum w:abstractNumId="39">
    <w:nsid w:val="275AC794"/>
    <w:multiLevelType w:val="hybridMultilevel"/>
    <w:lvl w:ilvl="0">
      <w:lvlJc w:val="left"/>
      <w:lvlText w:val="(%1)"/>
      <w:numFmt w:val="decimal"/>
      <w:start w:val="60"/>
    </w:lvl>
    <w:lvl w:ilvl="1">
      <w:lvlJc w:val="left"/>
      <w:lvlText w:val="(%2)"/>
      <w:numFmt w:val="lowerLetter"/>
      <w:start w:val="9"/>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Roman"/>
      <w:start w:val="2"/>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2"/>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2"/>
    </w:lvl>
  </w:abstractNum>
  <w:abstractNum w:abstractNumId="49">
    <w:nsid w:val="10233C99"/>
    <w:multiLevelType w:val="hybridMultilevel"/>
    <w:lvl w:ilvl="0">
      <w:lvlJc w:val="left"/>
      <w:lvlText w:val="(%1)"/>
      <w:numFmt w:val="lowerRoman"/>
      <w:start w:val="10"/>
    </w:lvl>
  </w:abstractNum>
  <w:abstractNum w:abstractNumId="50">
    <w:nsid w:val="3F6AB60F"/>
    <w:multiLevelType w:val="hybridMultilevel"/>
    <w:lvl w:ilvl="0">
      <w:lvlJc w:val="left"/>
      <w:lvlText w:val="(%1)"/>
      <w:numFmt w:val="lowerLetter"/>
      <w:start w:val="3"/>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3"/>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4"/>
    </w:lvl>
  </w:abstractNum>
  <w:abstractNum w:abstractNumId="56">
    <w:nsid w:val="5FF87E05"/>
    <w:multiLevelType w:val="hybridMultilevel"/>
    <w:lvl w:ilvl="0">
      <w:lvlJc w:val="left"/>
      <w:lvlText w:val="%1."/>
      <w:numFmt w:val="decimal"/>
      <w:start w:val="1"/>
    </w:lvl>
    <w:lvl w:ilvl="1">
      <w:lvlJc w:val="left"/>
      <w:lvlText w:val="%2."/>
      <w:numFmt w:val="lowerLetter"/>
      <w:start w:val="1"/>
    </w:lvl>
  </w:abstractNum>
  <w:abstractNum w:abstractNumId="57">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9">
    <w:nsid w:val="1DBABF00"/>
    <w:multiLevelType w:val="hybridMultilevel"/>
    <w:lvl w:ilvl="0">
      <w:lvlJc w:val="left"/>
      <w:lvlText w:val="%1."/>
      <w:numFmt w:val="decimal"/>
      <w:start w:val="7"/>
    </w:lvl>
    <w:lvl w:ilvl="1">
      <w:lvlJc w:val="left"/>
      <w:lvlText w:val="%2."/>
      <w:numFmt w:val="lowerLetter"/>
      <w:start w:val="1"/>
    </w:lvl>
  </w:abstractNum>
  <w:abstractNum w:abstractNumId="60">
    <w:nsid w:val="4AD084E9"/>
    <w:multiLevelType w:val="hybridMultilevel"/>
    <w:lvl w:ilvl="0">
      <w:lvlJc w:val="left"/>
      <w:lvlText w:val="%1."/>
      <w:numFmt w:val="upperLetter"/>
      <w:start w:val="1"/>
    </w:lvl>
  </w:abstractNum>
  <w:abstractNum w:abstractNumId="61">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2">
    <w:nsid w:val="138182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
    <w:nsid w:val="5DB70AE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4">
    <w:nsid w:val="100F8FCA"/>
    <w:multiLevelType w:val="hybridMultilevel"/>
    <w:lvl w:ilvl="0">
      <w:lvlJc w:val="left"/>
      <w:lvlText w:val="%1."/>
      <w:numFmt w:val="decimal"/>
      <w:start w:val="9"/>
    </w:lvl>
  </w:abstractNum>
  <w:abstractNum w:abstractNumId="65">
    <w:nsid w:val="6590700B"/>
    <w:multiLevelType w:val="hybridMultilevel"/>
    <w:lvl w:ilvl="0">
      <w:lvlJc w:val="left"/>
      <w:lvlText w:val="(%1)"/>
      <w:numFmt w:val="lowerLetter"/>
      <w:start w:val="1"/>
    </w:lvl>
    <w:lvl w:ilvl="1">
      <w:lvlJc w:val="left"/>
      <w:lvlText w:val="(%2)"/>
      <w:numFmt w:val="lowerRoman"/>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8" Type="http://schemas.openxmlformats.org/officeDocument/2006/relationships/hyperlink" Target="https://www.sec.gov/Archives/edgar/data/1816581/000119312521036740/d10549ds4a.htm#rom10549_42" TargetMode="External"/><Relationship Id="rId59" Type="http://schemas.openxmlformats.org/officeDocument/2006/relationships/hyperlink" Target="https://www.sec.gov/Archives/edgar/data/0001816581/000119312521076326/d149743dex31.htm" TargetMode="External"/><Relationship Id="rId60" Type="http://schemas.openxmlformats.org/officeDocument/2006/relationships/hyperlink" Target="https://www.sec.gov/Archives/edgar/data/0001816581/000119312521076326/d14974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2022-05-07T09:09:16Z</dcterms:created>
  <dcterms:modified xsi:type="dcterms:W3CDTF">2022-05-07T09:09:16Z</dcterms:modified>
</cp:coreProperties>
</file>