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Heystee Susan</w:t>
              </w:r>
            </w:hyperlink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Ouster,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OUST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350 TREAT AVENUE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ind w:left="120"/>
        <w:spacing w:after="0" w:line="188" w:lineRule="auto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00FF"/>
          <w:vertAlign w:val="superscript"/>
        </w:rPr>
        <w:t>SAN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0"/>
          <w:szCs w:val="10"/>
          <w:color w:val="0000FF"/>
        </w:rPr>
        <w:t>CA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4"/>
          <w:szCs w:val="14"/>
          <w:color w:val="0000FF"/>
        </w:rPr>
        <w:t>94110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FRANCISCO</w:t>
      </w:r>
    </w:p>
    <w:p>
      <w:pPr>
        <w:spacing w:after="0" w:line="319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9,316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34.805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35,093.7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Megan Chung, as Attorney-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Mark Frichtl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34330" TargetMode="External"/><Relationship Id="rId14" Type="http://schemas.openxmlformats.org/officeDocument/2006/relationships/hyperlink" Target="http://www.sec.gov/cgi-bin/browse-edgar?action=getcompany&amp;CIK=00018165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2026-05-22T17:05:00Z</dcterms:created>
  <dcterms:modified xsi:type="dcterms:W3CDTF">2026-05-22T17:05:00Z</dcterms:modified>
</cp:coreProperties>
</file>