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23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233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Frichtl Mark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350 TREAT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Ouster,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OUST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05/13/2026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28"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45"/>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31,434</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743,731</w:t>
            </w:r>
          </w:p>
        </w:tc>
        <w:tc>
          <w:tcPr>
            <w:tcW w:w="260" w:type="dxa"/>
            <w:vAlign w:val="bottom"/>
          </w:tcPr>
          <w:p>
            <w:pPr>
              <w:spacing w:after="0"/>
              <w:rPr>
                <w:sz w:val="22"/>
                <w:szCs w:val="22"/>
                <w:color w:val="auto"/>
              </w:rPr>
            </w:pPr>
          </w:p>
        </w:tc>
        <w:tc>
          <w:tcPr>
            <w:tcW w:w="66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31,434</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31.0928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712,297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21,341</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733,638</w:t>
            </w:r>
          </w:p>
        </w:tc>
        <w:tc>
          <w:tcPr>
            <w:tcW w:w="260" w:type="dxa"/>
            <w:vAlign w:val="bottom"/>
          </w:tcPr>
          <w:p>
            <w:pPr>
              <w:spacing w:after="0"/>
              <w:rPr>
                <w:sz w:val="22"/>
                <w:szCs w:val="22"/>
                <w:color w:val="auto"/>
              </w:rPr>
            </w:pPr>
          </w:p>
        </w:tc>
        <w:tc>
          <w:tcPr>
            <w:tcW w:w="66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21,341</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712,297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35,000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32</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677,297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2,500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674,797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32,500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33</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642,297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13,659</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34</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628,638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05/14/2026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668,638</w:t>
            </w:r>
          </w:p>
        </w:tc>
        <w:tc>
          <w:tcPr>
            <w:tcW w:w="260" w:type="dxa"/>
            <w:vAlign w:val="bottom"/>
          </w:tcPr>
          <w:p>
            <w:pPr>
              <w:spacing w:after="0"/>
              <w:rPr>
                <w:sz w:val="22"/>
                <w:szCs w:val="22"/>
                <w:color w:val="auto"/>
              </w:rPr>
            </w:pPr>
          </w:p>
        </w:tc>
        <w:tc>
          <w:tcPr>
            <w:tcW w:w="66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40,000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60" w:type="dxa"/>
            <w:vAlign w:val="bottom"/>
            <w:tcBorders>
              <w:bottom w:val="single" w:sz="8" w:color="2C2C2C"/>
            </w:tcBorders>
          </w:tcPr>
          <w:p>
            <w:pPr>
              <w:jc w:val="center"/>
              <w:ind w:left="44"/>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35</w:t>
            </w: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628,638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05/15/2026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4,316</w:t>
            </w: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60" w:type="dxa"/>
            <w:vAlign w:val="bottom"/>
          </w:tcPr>
          <w:p>
            <w:pPr>
              <w:jc w:val="center"/>
              <w:ind w:left="44"/>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14.22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632,954</w:t>
            </w:r>
          </w:p>
        </w:tc>
        <w:tc>
          <w:tcPr>
            <w:tcW w:w="260" w:type="dxa"/>
            <w:vAlign w:val="bottom"/>
          </w:tcPr>
          <w:p>
            <w:pPr>
              <w:spacing w:after="0"/>
              <w:rPr>
                <w:sz w:val="22"/>
                <w:szCs w:val="22"/>
                <w:color w:val="auto"/>
              </w:rPr>
            </w:pPr>
          </w:p>
        </w:tc>
        <w:tc>
          <w:tcPr>
            <w:tcW w:w="660" w:type="dxa"/>
            <w:vAlign w:val="bottom"/>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45"/>
              <w:spacing w:after="0"/>
              <w:rPr>
                <w:sz w:val="20"/>
                <w:szCs w:val="20"/>
                <w:color w:val="auto"/>
              </w:rPr>
            </w:pPr>
            <w:r>
              <w:rPr>
                <w:rFonts w:ascii="Times New Roman" w:cs="Times New Roman" w:eastAsia="Times New Roman" w:hAnsi="Times New Roman"/>
                <w:sz w:val="17"/>
                <w:szCs w:val="17"/>
                <w:color w:val="0000FF"/>
                <w:w w:val="98"/>
              </w:rPr>
              <w:t>05/15/2026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4,316</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36.001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628,638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0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2"/>
          </w:tcPr>
          <w:p>
            <w:pPr>
              <w:jc w:val="center"/>
              <w:ind w:right="6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jc w:val="center"/>
              <w:ind w:right="29"/>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07"/>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jc w:val="center"/>
              <w:ind w:right="29"/>
              <w:spacing w:after="0" w:line="129" w:lineRule="exact"/>
              <w:rPr>
                <w:sz w:val="20"/>
                <w:szCs w:val="20"/>
                <w:color w:val="auto"/>
              </w:rPr>
            </w:pPr>
            <w:r>
              <w:rPr>
                <w:rFonts w:ascii="Arial" w:cs="Arial" w:eastAsia="Arial" w:hAnsi="Arial"/>
                <w:sz w:val="12"/>
                <w:szCs w:val="12"/>
                <w:b w:val="1"/>
                <w:bCs w:val="1"/>
                <w:color w:val="auto"/>
                <w:w w:val="97"/>
              </w:rPr>
              <w:t>Derivative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2.13</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31,434</w:t>
            </w:r>
          </w:p>
        </w:tc>
        <w:tc>
          <w:tcPr>
            <w:tcW w:w="82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10/01/2030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31,434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4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14.22</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05/13/2026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21,341</w:t>
            </w:r>
          </w:p>
        </w:tc>
        <w:tc>
          <w:tcPr>
            <w:tcW w:w="82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10/01/2030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21,341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4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94,379</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14.22</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05/14/2026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jc w:val="center"/>
              <w:ind w:left="260"/>
              <w:spacing w:after="0"/>
              <w:rPr>
                <w:sz w:val="20"/>
                <w:szCs w:val="20"/>
                <w:color w:val="auto"/>
              </w:rPr>
            </w:pPr>
            <w:r>
              <w:rPr>
                <w:rFonts w:ascii="Times New Roman" w:cs="Times New Roman" w:eastAsia="Times New Roman" w:hAnsi="Times New Roman"/>
                <w:sz w:val="13"/>
                <w:szCs w:val="13"/>
                <w:color w:val="0000FF"/>
              </w:rPr>
              <w:t>40,000</w:t>
            </w:r>
          </w:p>
        </w:tc>
        <w:tc>
          <w:tcPr>
            <w:tcW w:w="820" w:type="dxa"/>
            <w:vAlign w:val="bottom"/>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10/01/2030</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40,000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center"/>
              <w:ind w:right="14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tcPr>
          <w:p>
            <w:pPr>
              <w:jc w:val="center"/>
              <w:ind w:left="180"/>
              <w:spacing w:after="0"/>
              <w:rPr>
                <w:sz w:val="20"/>
                <w:szCs w:val="20"/>
                <w:color w:val="auto"/>
              </w:rPr>
            </w:pPr>
            <w:r>
              <w:rPr>
                <w:rFonts w:ascii="Times New Roman" w:cs="Times New Roman" w:eastAsia="Times New Roman" w:hAnsi="Times New Roman"/>
                <w:sz w:val="13"/>
                <w:szCs w:val="13"/>
                <w:color w:val="0000FF"/>
              </w:rPr>
              <w:t>54,379</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640" w:type="dxa"/>
            <w:vAlign w:val="bottom"/>
            <w:vMerge w:val="restart"/>
          </w:tcPr>
          <w:p>
            <w:pPr>
              <w:jc w:val="center"/>
              <w:ind w:lef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14.22</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vMerge w:val="restart"/>
          </w:tcPr>
          <w:p>
            <w:pPr>
              <w:jc w:val="center"/>
              <w:ind w:left="280"/>
              <w:spacing w:after="0"/>
              <w:rPr>
                <w:sz w:val="20"/>
                <w:szCs w:val="20"/>
                <w:color w:val="auto"/>
              </w:rPr>
            </w:pPr>
            <w:r>
              <w:rPr>
                <w:rFonts w:ascii="Times New Roman" w:cs="Times New Roman" w:eastAsia="Times New Roman" w:hAnsi="Times New Roman"/>
                <w:sz w:val="13"/>
                <w:szCs w:val="13"/>
                <w:color w:val="0000FF"/>
              </w:rPr>
              <w:t>4,316</w:t>
            </w:r>
          </w:p>
        </w:tc>
        <w:tc>
          <w:tcPr>
            <w:tcW w:w="8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10/01/2030</w:t>
            </w:r>
          </w:p>
        </w:tc>
        <w:tc>
          <w:tcPr>
            <w:tcW w:w="56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4,316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center"/>
              <w:ind w:right="14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40" w:type="dxa"/>
            <w:vAlign w:val="bottom"/>
            <w:vMerge w:val="restart"/>
          </w:tcPr>
          <w:p>
            <w:pPr>
              <w:jc w:val="center"/>
              <w:ind w:left="180"/>
              <w:spacing w:after="0"/>
              <w:rPr>
                <w:sz w:val="20"/>
                <w:szCs w:val="20"/>
                <w:color w:val="auto"/>
              </w:rPr>
            </w:pPr>
            <w:r>
              <w:rPr>
                <w:rFonts w:ascii="Times New Roman" w:cs="Times New Roman" w:eastAsia="Times New Roman" w:hAnsi="Times New Roman"/>
                <w:sz w:val="13"/>
                <w:szCs w:val="13"/>
                <w:color w:val="0000FF"/>
              </w:rPr>
              <w:t>50,063</w:t>
            </w:r>
          </w:p>
        </w:tc>
        <w:tc>
          <w:tcPr>
            <w:tcW w:w="26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pursuant to a Rule 10b5-1 plan dated December 15, 2025.</w:t>
      </w:r>
    </w:p>
    <w:p>
      <w:pPr>
        <w:spacing w:after="0" w:line="43"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$31.00 to $31.21.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$36.00 to $36.02.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fully vested and exercisable.</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Megan Chung, as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8"/>
        </w:trPr>
        <w:tc>
          <w:tcPr>
            <w:tcW w:w="16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in-Fact for Mark Frichtl</w:t>
            </w:r>
          </w:p>
        </w:tc>
        <w:tc>
          <w:tcPr>
            <w:tcW w:w="6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0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47596" TargetMode="External"/><Relationship Id="rId14" Type="http://schemas.openxmlformats.org/officeDocument/2006/relationships/hyperlink" Target="http://www.sec.gov/cgi-bin/browse-edgar?action=getcompany&amp;CIK=000181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2026-05-15T17:43:02Z</dcterms:created>
  <dcterms:modified xsi:type="dcterms:W3CDTF">2026-05-15T17:43:02Z</dcterms:modified>
</cp:coreProperties>
</file>