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3920" w:right="1980" w:hanging="3894"/>
        <w:spacing w:after="0" w:line="507" w:lineRule="auto"/>
        <w:tabs>
          <w:tab w:leader="none" w:pos="4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0" w:lineRule="exact"/>
        <w:rPr>
          <w:sz w:val="24"/>
          <w:szCs w:val="24"/>
          <w:color w:val="auto"/>
        </w:rPr>
      </w:pPr>
    </w:p>
    <w:p>
      <w:pPr>
        <w:ind w:left="3600" w:right="1580" w:hanging="3574"/>
        <w:spacing w:after="0" w:line="427" w:lineRule="auto"/>
        <w:tabs>
          <w:tab w:leader="none" w:pos="52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7180" w:type="dxa"/>
            <w:vAlign w:val="bottom"/>
            <w:gridSpan w:val="4"/>
          </w:tcPr>
          <w:p>
            <w:pPr>
              <w:jc w:val="center"/>
              <w:ind w:left="3969"/>
              <w:spacing w:after="0"/>
              <w:rPr>
                <w:sz w:val="20"/>
                <w:szCs w:val="20"/>
                <w:color w:val="auto"/>
              </w:rPr>
            </w:pPr>
            <w:r>
              <w:rPr>
                <w:rFonts w:ascii="Times New Roman" w:cs="Times New Roman" w:eastAsia="Times New Roman" w:hAnsi="Times New Roman"/>
                <w:sz w:val="18"/>
                <w:szCs w:val="18"/>
                <w:b w:val="1"/>
                <w:bCs w:val="1"/>
                <w:color w:val="auto"/>
              </w:rPr>
              <w:t>Commission file number 001-39463</w:t>
            </w:r>
          </w:p>
        </w:tc>
        <w:tc>
          <w:tcPr>
            <w:tcW w:w="4080" w:type="dxa"/>
            <w:vAlign w:val="bottom"/>
          </w:tcPr>
          <w:p>
            <w:pPr>
              <w:spacing w:after="0"/>
              <w:rPr>
                <w:sz w:val="20"/>
                <w:szCs w:val="20"/>
                <w:color w:val="auto"/>
              </w:rPr>
            </w:pPr>
          </w:p>
        </w:tc>
      </w:tr>
      <w:tr>
        <w:trPr>
          <w:trHeight w:val="273"/>
        </w:trPr>
        <w:tc>
          <w:tcPr>
            <w:tcW w:w="4340" w:type="dxa"/>
            <w:vAlign w:val="bottom"/>
          </w:tcPr>
          <w:p>
            <w:pPr>
              <w:spacing w:after="0"/>
              <w:rPr>
                <w:sz w:val="23"/>
                <w:szCs w:val="23"/>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23"/>
                <w:szCs w:val="23"/>
                <w:color w:val="auto"/>
              </w:rPr>
            </w:pPr>
          </w:p>
        </w:tc>
      </w:tr>
      <w:tr>
        <w:trPr>
          <w:trHeight w:val="604"/>
        </w:trPr>
        <w:tc>
          <w:tcPr>
            <w:tcW w:w="4340" w:type="dxa"/>
            <w:vAlign w:val="bottom"/>
          </w:tcPr>
          <w:p>
            <w:pPr>
              <w:spacing w:after="0"/>
              <w:rPr>
                <w:sz w:val="24"/>
                <w:szCs w:val="24"/>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43"/>
                <w:szCs w:val="43"/>
                <w:b w:val="1"/>
                <w:bCs w:val="1"/>
                <w:color w:val="231F20"/>
                <w:w w:val="98"/>
              </w:rPr>
              <w:t>Ouster, Inc.</w:t>
            </w:r>
          </w:p>
        </w:tc>
        <w:tc>
          <w:tcPr>
            <w:tcW w:w="4080" w:type="dxa"/>
            <w:vAlign w:val="bottom"/>
          </w:tcPr>
          <w:p>
            <w:pPr>
              <w:spacing w:after="0"/>
              <w:rPr>
                <w:sz w:val="24"/>
                <w:szCs w:val="24"/>
                <w:color w:val="auto"/>
              </w:rPr>
            </w:pPr>
          </w:p>
        </w:tc>
      </w:tr>
      <w:tr>
        <w:trPr>
          <w:trHeight w:val="245"/>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(Exact name of registrant as specified in its charter)</w:t>
            </w:r>
          </w:p>
        </w:tc>
      </w:tr>
      <w:tr>
        <w:trPr>
          <w:trHeight w:val="190"/>
        </w:trPr>
        <w:tc>
          <w:tcPr>
            <w:tcW w:w="4340" w:type="dxa"/>
            <w:vAlign w:val="bottom"/>
          </w:tcPr>
          <w:p>
            <w:pPr>
              <w:spacing w:after="0"/>
              <w:rPr>
                <w:sz w:val="16"/>
                <w:szCs w:val="16"/>
                <w:color w:val="auto"/>
              </w:rPr>
            </w:pPr>
          </w:p>
        </w:tc>
        <w:tc>
          <w:tcPr>
            <w:tcW w:w="28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tc>
        <w:tc>
          <w:tcPr>
            <w:tcW w:w="4080" w:type="dxa"/>
            <w:vAlign w:val="bottom"/>
          </w:tcPr>
          <w:p>
            <w:pPr>
              <w:spacing w:after="0"/>
              <w:rPr>
                <w:sz w:val="16"/>
                <w:szCs w:val="16"/>
                <w:color w:val="auto"/>
              </w:rPr>
            </w:pPr>
          </w:p>
        </w:tc>
      </w:tr>
      <w:tr>
        <w:trPr>
          <w:trHeight w:val="496"/>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86-2528989</w:t>
            </w:r>
          </w:p>
        </w:tc>
      </w:tr>
      <w:tr>
        <w:trPr>
          <w:trHeight w:val="25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302"/>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b w:val="1"/>
                <w:bCs w:val="1"/>
                <w:color w:val="auto"/>
                <w:w w:val="97"/>
              </w:rPr>
              <w:t>350 Treat Avenue</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8"/>
        </w:trPr>
        <w:tc>
          <w:tcPr>
            <w:tcW w:w="4340" w:type="dxa"/>
            <w:vAlign w:val="bottom"/>
          </w:tcPr>
          <w:p>
            <w:pPr>
              <w:jc w:val="center"/>
              <w:ind w:right="209"/>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8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94110</w:t>
            </w:r>
          </w:p>
        </w:tc>
      </w:tr>
      <w:tr>
        <w:trPr>
          <w:trHeight w:val="270"/>
        </w:trPr>
        <w:tc>
          <w:tcPr>
            <w:tcW w:w="4340" w:type="dxa"/>
            <w:vAlign w:val="bottom"/>
          </w:tcPr>
          <w:p>
            <w:pPr>
              <w:jc w:val="center"/>
              <w:ind w:right="22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540"/>
        </w:trPr>
        <w:tc>
          <w:tcPr>
            <w:tcW w:w="112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(415) 949-0108</w:t>
            </w:r>
          </w:p>
        </w:tc>
      </w:tr>
      <w:tr>
        <w:trPr>
          <w:trHeight w:val="67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43"/>
        </w:trPr>
        <w:tc>
          <w:tcPr>
            <w:tcW w:w="43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tcBorders>
          </w:tcPr>
          <w:p>
            <w:pPr>
              <w:spacing w:after="0"/>
              <w:rPr>
                <w:sz w:val="21"/>
                <w:szCs w:val="21"/>
                <w:color w:val="auto"/>
              </w:rPr>
            </w:pPr>
          </w:p>
        </w:tc>
      </w:tr>
      <w:tr>
        <w:trPr>
          <w:trHeight w:val="243"/>
        </w:trPr>
        <w:tc>
          <w:tcPr>
            <w:tcW w:w="4340" w:type="dxa"/>
            <w:vAlign w:val="bottom"/>
            <w:tcBorders>
              <w:left w:val="single" w:sz="8" w:color="auto"/>
              <w:bottom w:val="single" w:sz="8" w:color="auto"/>
            </w:tcBorders>
          </w:tcPr>
          <w:p>
            <w:pPr>
              <w:jc w:val="center"/>
              <w:ind w:left="489"/>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8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0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OUST</w:t>
            </w:r>
          </w:p>
        </w:tc>
        <w:tc>
          <w:tcPr>
            <w:tcW w:w="300" w:type="dxa"/>
            <w:vAlign w:val="bottom"/>
          </w:tcPr>
          <w:p>
            <w:pPr>
              <w:spacing w:after="0"/>
              <w:rPr>
                <w:sz w:val="20"/>
                <w:szCs w:val="20"/>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5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OUST WS</w:t>
            </w:r>
          </w:p>
        </w:tc>
        <w:tc>
          <w:tcPr>
            <w:tcW w:w="300" w:type="dxa"/>
            <w:vAlign w:val="bottom"/>
          </w:tcPr>
          <w:p>
            <w:pPr>
              <w:spacing w:after="0"/>
              <w:rPr>
                <w:sz w:val="19"/>
                <w:szCs w:val="19"/>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4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color w:val="auto"/>
                <w:w w:val="99"/>
              </w:rPr>
              <w:t>Warrants to purchase common stock expiring 2025</w:t>
            </w:r>
          </w:p>
        </w:tc>
        <w:tc>
          <w:tcPr>
            <w:tcW w:w="5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OUST WTA</w:t>
            </w:r>
          </w:p>
        </w:tc>
        <w:tc>
          <w:tcPr>
            <w:tcW w:w="300" w:type="dxa"/>
            <w:vAlign w:val="bottom"/>
          </w:tcPr>
          <w:p>
            <w:pPr>
              <w:spacing w:after="0"/>
              <w:rPr>
                <w:sz w:val="19"/>
                <w:szCs w:val="19"/>
                <w:color w:val="auto"/>
              </w:rPr>
            </w:pPr>
          </w:p>
        </w:tc>
        <w:tc>
          <w:tcPr>
            <w:tcW w:w="4080" w:type="dxa"/>
            <w:vAlign w:val="bottom"/>
            <w:tcBorders>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NYSE American</w:t>
            </w:r>
          </w:p>
        </w:tc>
      </w:tr>
      <w:tr>
        <w:trPr>
          <w:trHeight w:val="22"/>
        </w:trPr>
        <w:tc>
          <w:tcPr>
            <w:tcW w:w="4340" w:type="dxa"/>
            <w:vAlign w:val="bottom"/>
            <w:tcBorders>
              <w:left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right w:val="single" w:sz="8" w:color="auto"/>
            </w:tcBorders>
          </w:tcPr>
          <w:p>
            <w:pPr>
              <w:spacing w:after="0" w:line="20" w:lineRule="exact"/>
              <w:rPr>
                <w:sz w:val="1"/>
                <w:szCs w:val="1"/>
                <w:color w:val="auto"/>
              </w:rPr>
            </w:pPr>
          </w:p>
        </w:tc>
      </w:tr>
    </w:tbl>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95" w:lineRule="exact"/>
        <w:rPr>
          <w:sz w:val="24"/>
          <w:szCs w:val="24"/>
          <w:color w:val="auto"/>
        </w:rPr>
      </w:pPr>
    </w:p>
    <w:p>
      <w:pPr>
        <w:spacing w:after="0" w:line="242" w:lineRule="exact"/>
        <w:tabs>
          <w:tab w:leader="none" w:pos="6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31" w:lineRule="exact"/>
        <w:rPr>
          <w:sz w:val="24"/>
          <w:szCs w:val="24"/>
          <w:color w:val="auto"/>
        </w:rPr>
      </w:pPr>
    </w:p>
    <w:p>
      <w:pPr>
        <w:spacing w:after="0" w:line="242" w:lineRule="exact"/>
        <w:tabs>
          <w:tab w:leader="none" w:pos="93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pacing w:after="0" w:line="261" w:lineRule="exact"/>
        <w:rPr>
          <w:sz w:val="24"/>
          <w:szCs w:val="24"/>
          <w:color w:val="auto"/>
        </w:rPr>
      </w:pPr>
    </w:p>
    <w:p>
      <w:pPr>
        <w:ind w:right="32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64" w:lineRule="exact"/>
        <w:rPr>
          <w:sz w:val="24"/>
          <w:szCs w:val="24"/>
          <w:color w:val="auto"/>
        </w:rPr>
      </w:pPr>
    </w:p>
    <w:p>
      <w:pPr>
        <w:ind w:right="1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ectPr>
          <w:pgSz w:w="11900" w:h="16838" w:orient="portrait"/>
          <w:cols w:equalWidth="0" w:num="1">
            <w:col w:w="11260"/>
          </w:cols>
          <w:pgMar w:left="320" w:top="212" w:right="319" w:bottom="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and “smaller reporting company” in Rule 12b-2 of the Exchange Act.</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9" w:lineRule="exact"/>
        <w:rPr>
          <w:sz w:val="20"/>
          <w:szCs w:val="20"/>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5" w:lineRule="exact"/>
        <w:rPr>
          <w:sz w:val="20"/>
          <w:szCs w:val="20"/>
          <w:color w:val="auto"/>
        </w:rPr>
      </w:pPr>
    </w:p>
    <w:p>
      <w:pPr>
        <w:ind w:right="40"/>
        <w:spacing w:after="0" w:line="247"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21"/>
          <w:szCs w:val="21"/>
          <w:color w:val="auto"/>
        </w:rPr>
        <w:t>☐</w:t>
      </w:r>
    </w:p>
    <w:p>
      <w:pPr>
        <w:spacing w:after="0" w:line="164" w:lineRule="exact"/>
        <w:rPr>
          <w:sz w:val="20"/>
          <w:szCs w:val="20"/>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9" w:lineRule="exact"/>
        <w:rPr>
          <w:sz w:val="20"/>
          <w:szCs w:val="20"/>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49"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the registrant, as of June 30, 2022, the last business day of the registrant’s most recently completed second fiscal quarter, was approximately $252.5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386,269,049 shares of common stock as of 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32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03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 Business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2. Properties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3. 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34"/>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481"/>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6. [Reserved]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8. 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234"/>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481"/>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12. Security Ownership of Certain Beneficial Owner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29"/>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34"/>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14. Principal Accountant Fees and Services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481"/>
        </w:trPr>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0" w:type="dxa"/>
            <w:vAlign w:val="bottom"/>
          </w:tcPr>
          <w:p>
            <w:pPr>
              <w:spacing w:after="0"/>
              <w:rPr>
                <w:sz w:val="1"/>
                <w:szCs w:val="1"/>
                <w:color w:val="auto"/>
              </w:rPr>
            </w:pPr>
          </w:p>
        </w:tc>
      </w:tr>
      <w:tr>
        <w:trPr>
          <w:trHeight w:val="234"/>
        </w:trPr>
        <w:tc>
          <w:tcPr>
            <w:tcW w:w="10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16. 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on Form 10-K may be forward-looking statements. The words “anticipates,” “believe(s),” “could,” “contemplates,”, “continue,” “expects,” “estimates,” “forecasts,” “intends,” “may,” “plans,” “projects,” “predicts,” “potential” “should,” “targets,” or “will” and similar expressions or the negative of these terms or expressions are intended to identify forward-looking statements, though not all forward-looking statements use these words or expressions. Forward-looking statements contained in this Annual Report on Form 10-K include, but are not limited to statements regarding the anticipated benefits of and costs associated with the Velodyne Merger (as defined herein) and related restructuring initiatives; our expectations surrounding the Velodyne Merger; our ability to grow our sales and marketing organization; our expected contractual obligations and capital expenditures; the capabilities of our products; our anticipated new product launches; our future results of operations and financial position; industry and business trends; the remediation of material weaknesses; the impact of market conditions and other macroeconomic factors on our business, financial condition and results of operation; our future business strategy, plans, distribution partnerships, market growth and our objectives for future operations.</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2022.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While we may elect to update such forward-looking statements at some point in the future, we disclaim any obligation to do so, even if subsequent events cause our views to change.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10-K to “we”, “our” and “the Company” refer to the business and operations of Ouster Technologies, Inc. (“OTI”) (formerly known as Ouster, Inc.) and its consolidated subsidiaries prior to the Colonnade Merger (as defined herein) and to Ouster, Inc. (formerly known as Colonnade Acquisition Corp.) and its consolidated subsidiaries following the consummation of the Colonnade Merger.</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21, 2020, OTI entered into an Agreement and Plan of Merger (the “Colonnade Merger Agreement”) with Colonnade Acquisition Corp., a Cayman Islands exempted company (“CLA”), and Beam Merger Sub, Inc. (“Merger Sub”), a Delaware corporation and subsidiary of CLA. OTI’s and CLA’s board of directors unanimously approved OTI’s entry into the Colonnade Merger Agreement, and on March 11, 2021, the transactions contemplated by the Colonnade Merger Agreement were consummated (all such transactions, the “Business Combination”), as further described herein. Pursuant to the terms of the Colonnade Merger Agreement, (i) CLA domesticated as a corporation incorporated under the laws of the State of Delaware (the “Domestication”) and changed its name to “Ouster, Inc.” (with CLA after such domestication and the other transactions pursuant to the Colonnade Merger Agreement being referred to as the “Company”) and (ii) Merger Sub merged with and into OTI (the “Colonnade Merger”), with OTI surviving the Colonnade Merger.</w:t>
      </w:r>
    </w:p>
    <w:p>
      <w:pPr>
        <w:spacing w:after="0" w:line="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may announce material business and financial information to our investors using our investor relations website at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We therefore encourage investors and others interested in Ouster to review the information that we make available on our website, in addition to following our filings with the U.S. Securities and Exchange Commission (“SEC”), webcasts, press releases and conference calls. Information contained on our website is not part of this Annual Report on Form 10-K.</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products are frequently used in applications that are subject to evolving regulations and standards.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76" w:lineRule="exact"/>
        <w:rPr>
          <w:rFonts w:ascii="Arial" w:cs="Arial" w:eastAsia="Arial" w:hAnsi="Arial"/>
          <w:sz w:val="22"/>
          <w:szCs w:val="22"/>
          <w:color w:val="auto"/>
        </w:rPr>
      </w:pPr>
    </w:p>
    <w:p>
      <w:pPr>
        <w:ind w:left="660" w:right="220" w:hanging="328"/>
        <w:spacing w:after="0" w:line="243"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have incurred significant losses to date and may never achieve or sustain profitability. 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73" w:lineRule="exact"/>
        <w:rPr>
          <w:rFonts w:ascii="Arial" w:cs="Arial" w:eastAsia="Arial" w:hAnsi="Arial"/>
          <w:sz w:val="22"/>
          <w:szCs w:val="22"/>
          <w:color w:val="auto"/>
        </w:rPr>
      </w:pPr>
    </w:p>
    <w:p>
      <w:pPr>
        <w:ind w:left="660" w:right="22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and margins could be adversely affected if we fail to maintain competitive average selling prices, high sales volumes, and/or fail to reduce product costs.</w:t>
      </w:r>
    </w:p>
    <w:p>
      <w:pPr>
        <w:spacing w:after="0" w:line="37" w:lineRule="exact"/>
        <w:rPr>
          <w:rFonts w:ascii="Arial" w:cs="Arial" w:eastAsia="Arial" w:hAnsi="Arial"/>
          <w:sz w:val="22"/>
          <w:szCs w:val="22"/>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40" w:lineRule="exact"/>
        <w:rPr>
          <w:rFonts w:ascii="Times New Roman" w:cs="Times New Roman" w:eastAsia="Times New Roman" w:hAnsi="Times New Roman"/>
          <w:sz w:val="18"/>
          <w:szCs w:val="18"/>
          <w:color w:val="auto"/>
        </w:rPr>
      </w:pPr>
    </w:p>
    <w:p>
      <w:pPr>
        <w:ind w:left="660" w:right="52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currently target many customers that are large corporations with substantial negotiating power and exacting product standards. If we are unable to sell our products to these customers, our prospects and results of operations will be adversely affected.</w:t>
      </w:r>
    </w:p>
    <w:p>
      <w:pPr>
        <w:spacing w:after="0" w:line="72" w:lineRule="exact"/>
        <w:rPr>
          <w:rFonts w:ascii="Arial" w:cs="Arial" w:eastAsia="Arial" w:hAnsi="Arial"/>
          <w:sz w:val="22"/>
          <w:szCs w:val="22"/>
          <w:color w:val="auto"/>
        </w:rPr>
      </w:pPr>
    </w:p>
    <w:p>
      <w:pPr>
        <w:ind w:left="660" w:right="30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compete against established market participants that have substantially greater resources than us and against known and unknown market entrants who may disrupt our target markets. If our products are not selected for inclusion in our target markets, our business will be materially and adversely affected.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Market adoption of lidar remains uncertain, and it is difficult to forecast long-term end-customer adoption rates and demand for our products.</w:t>
      </w:r>
    </w:p>
    <w:p>
      <w:pPr>
        <w:spacing w:after="0" w:line="76"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unable to successfully integrate our business with Velodyne or realize the expected benefits on our expected timeframe or at all.</w:t>
      </w:r>
    </w:p>
    <w:p>
      <w:pPr>
        <w:spacing w:after="0" w:line="76" w:lineRule="exact"/>
        <w:rPr>
          <w:rFonts w:ascii="Arial" w:cs="Arial" w:eastAsia="Arial" w:hAnsi="Arial"/>
          <w:sz w:val="22"/>
          <w:szCs w:val="22"/>
          <w:color w:val="auto"/>
        </w:rPr>
      </w:pPr>
    </w:p>
    <w:p>
      <w:pPr>
        <w:ind w:left="660" w:right="660" w:hanging="328"/>
        <w:spacing w:after="0" w:line="24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If we choose to acquire or invest in other new businesses, products or technologies, we may be unable to complete these acquisitions or to successfully integrate them in a cost-effective and non-disruptive manner.</w:t>
      </w:r>
    </w:p>
    <w:p>
      <w:pPr>
        <w:spacing w:after="0" w:line="72" w:lineRule="exact"/>
        <w:rPr>
          <w:rFonts w:ascii="Arial" w:cs="Arial" w:eastAsia="Arial" w:hAnsi="Arial"/>
          <w:sz w:val="22"/>
          <w:szCs w:val="22"/>
          <w:color w:val="auto"/>
        </w:rPr>
      </w:pPr>
    </w:p>
    <w:p>
      <w:pPr>
        <w:jc w:val="both"/>
        <w:ind w:left="660" w:right="120" w:hanging="328"/>
        <w:spacing w:after="0" w:line="239"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Key components in our products come from limited or single source third party suppliers, and we expect to rely on third parties to manufacture a significant portion of our products for the foreseeable future. Interruptions in our relationships with these third parties could adversely impact our business.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face risks related to our indebtedness.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We may require additional capital in order to execute our business plan, which may not be available on terms acceptable to us, or at all.</w:t>
      </w:r>
    </w:p>
    <w:p>
      <w:pPr>
        <w:spacing w:after="0" w:line="35" w:lineRule="exact"/>
        <w:rPr>
          <w:rFonts w:ascii="Arial" w:cs="Arial" w:eastAsia="Arial" w:hAnsi="Arial"/>
          <w:sz w:val="22"/>
          <w:szCs w:val="22"/>
          <w:color w:val="auto"/>
        </w:rPr>
      </w:pPr>
    </w:p>
    <w:p>
      <w:pPr>
        <w:ind w:left="660" w:right="4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intellectual property rights or prevent competitors or other unauthorized parties from copying or reverse engineering our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Ouster, Inc. (“Ouster” or the “Company”) is building the eyes of autonomy. We are a leading global provider of lidar sensors for the automotive, industrial, robotics, and smart infrastructure industries. Ouster’s products include high-resolution scanning and solid-state digital lidar sensors, Velodyne Lidar sensors, and software solutions.</w:t>
      </w:r>
    </w:p>
    <w:p>
      <w:pPr>
        <w:spacing w:after="0" w:line="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believe that our digital lidar sensors are one of the highest performing, lowest cost solutions available today, which we believe positions us at the center of a global revolution in autonomy. We anticipate that 3D vision technologies, coupled with artificial intelligence, will power new autonomous technologies that in turn will fundamentally disrupt business models across many existing industries and also enable entirely new industries and capabilities.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four target markets each have unique use cases for our lidar sensors:</w:t>
      </w:r>
    </w:p>
    <w:p>
      <w:pPr>
        <w:spacing w:after="0" w:line="117" w:lineRule="exact"/>
        <w:rPr>
          <w:sz w:val="20"/>
          <w:szCs w:val="20"/>
          <w:color w:val="auto"/>
        </w:rPr>
      </w:pPr>
    </w:p>
    <w:p>
      <w:pPr>
        <w:ind w:left="660" w:right="5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industrial customers use our lidar sensor to increase safety and automate operations across the global supply chain, in material handling vehicles at ports and warehouses, in off-highway vehicles in mines and on farms, and in manufacturing equipment in factories.</w:t>
      </w:r>
    </w:p>
    <w:p>
      <w:pPr>
        <w:spacing w:after="0" w:line="5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smart infrastructure customers are in both the public and private sector. Cities value increasing safety and efficiency through the use lidar technology on traffic lights and warning systems. In this sense, we believe our products can enhance public welfare through security and smart city applications. Security companies are also looking to improve intrusion detection and tracking by augmenting existing CCTV systems with the spatial tracking capabilities of lidar. We believe these markets present a significant growth opportunity for us, as they touch many aspects of our daily lives.</w:t>
      </w:r>
    </w:p>
    <w:p>
      <w:pPr>
        <w:spacing w:after="0" w:line="7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automotive industry is continuing its rapid shift towards advanced/enhanced safety and autonomy features, powered by lidar, and we believe we are uniquely positioned, with our solid-state digital lidar product lines, to enable this transformation. We work with companies across the entire automotive ecosystem, from technology providers to direct automotive parts suppliers and original equipment manufacturers (“OEMs”), to design and manufacture lidar sensors for these advanced vehicle systems.</w:t>
      </w:r>
    </w:p>
    <w:p>
      <w:pPr>
        <w:spacing w:after="0" w:line="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robotics customers are pioneering an automated future that can affect many aspects of our daily lives as they take on tasks that are redundant, cumbersome, expensive or dangerous for humans.</w:t>
      </w:r>
    </w:p>
    <w:p>
      <w:pPr>
        <w:spacing w:after="0" w:line="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envision a future where lidar-powered solutions are widespread, with useful and affordable 3D perception capabilities embedded within robots, cars, trucks and drones, as well as factories, buildings, stoplights, retail stores, stadiums, docks, and airport terminals.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the simplicity of our digital lidar design gives us meaningful cost advantages in manufacturing, supply chain, and production yields. With broad software-defined customization, we are able to deliver new stock keeping units (“SKUs”) for industry-specific applications, expanding our product offerings with minimal manufacturing or inventory changes. Our main manufacturing partners are Benchmark Electronics, Inc. (“Benchmark”) and Fabrinet USA Inc. (“Fabrinet”). Benchmark and Fabrinet manufacture the majority of our products, which we expect will reduce our product costs and allow us to rapidly scale production to meet our anticipated product demand. Based on cost quotes for our products in mass production, we anticipate our manufacturing costs per unit will decrease as production volumes increase.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mission to make the physical world safer and more efficient is aligned with our commitment to sustainability now and into the future. We believe that our lidar technology is a key enabler of sustainable solutions for our customers, enhancing the efficient use of vehicles, industrial machinery, and robotics across our end markets. Greater levels of industrial and vehicular automation have been shown to have the potential to significantly reduce global carbon dioxide emissions, helping to curb the effects of climate change. Likewise, smart city initiatives powered by lidar can better manage traffic, reduce commute times, and further reduce emissions. In smart city use cases, our lidar sensors also can be customized with a “privacy-safe” mode, protecting citizens from facial recognition technology.</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see a future where our digital technology enables lidar to become universal, playing a key role in the autonomy revolution that will change many aspects of our economy and daily lives. We believe our patented digital approach to lidar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positions us well to be at the epicenter of this societal shift, and we anticipate that our software-defined product architecture can accelerate adoption and unlock more applications for lidar in our focus markets.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10, 2023, Ouster completed the merger (the “Velodyne Merger”) with Velodyne Lidar, Inc. (“Velodyne”) pursuant to the terms of the Agreement and Plan of Merger, dated as of November 4, 2022 (the “Velodyne Merger Agreement”). We expect that the combined company will result in an enhanced suite of product offerings, grow our diverse customer base, increase operational efficiencies, reduce our production costs, improve our path to profitability, and strengthen our future financial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success, competitive advantages, and growth prospects depend in part upon our ability to develop and protect our core technology and intellectual property. We also rely on trade secrets, design and manufacturing know-how, and continuing technological innovations to maintain and improve our competitive position. As a result, we have built a portfolio of intellectual property, including issued patents and registered trademarks, copyrights, confidential technical information, and expertise in the development of lidar technology and software.</w:t>
      </w:r>
    </w:p>
    <w:p>
      <w:pPr>
        <w:spacing w:after="0" w:line="72"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Since our inception, we have heavily invested in our patent portfolio by pursuing comprehensive coverage of invention families, use cases, and broad international coverage. Being at the forefront of innovation in the lidar market depends in part on our ability to obtain and maintain patents and other proprietary rights relating to our key technology, and our ability to successfully enforce these rights against third parties. We currently have proprietary intellectual property for both our digital and analog products, including in our embedded software, real-time 3D vision for autonomous systems, manufacturing processes and calibration methodology. We have also filed patents and trademark applications in order to further secure these rights and strengthen our ability to defend against third parties who may infringe on our rights.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protect our proprietary rights through agreements with our commercial partners, supply chain vendors, employees, and consultants, and by closely monitoring the developments and products in the industry; and in addition to actively seeking patent protection covering inventions originating from us, we continually evaluate opportunities to acquire or in-license patents to the extent we believe such patents are useful or relevant to our business. By leveraging our deep knowledge of lidar technology, we have invented and patented an integrated, semiconductor-based lidar technology, which for our digital products consists of the following key features: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architecture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patents contain a broad range of claims related to devices and methods for implementing digital lidar, among other things. Our patents cover our micro-optic technology that enables improved digital lidar performance; our digital lidar architecture combining VSCELs and SPADs; our data processing circuits for in-silicon digital signal processing; and our lidar-camera convergence, combining active and passive sensing technologies. We believe these technology breakthroughs are central to our competitive advantage and dramatically improve sensor performance.</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digital lidar systems are based on a simplified architecture that achieves high resolution and reliability. Our digital lidar sensors have three main technologies that, combined with embedded software, power our high-performance Ouster Sensor (“OS”) and Digital Flash (“DF”) product lines. We also plan to continue to manufacture certain analog sensors of the Puck family and the Alpha Prime that we inherited from the Velodyne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micro-optical system</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our detector SoC and VCSEL array, our sensors feature patented micro-optical systems that enhance the performance of both our emitters and detectors. The combined effect of these micro-optical systems on sensor performance is equivalent to an increase in detector efficiency of multiple orders of magnitude. We believe this breakthrough intellectual property gives us significant competitive advantages over other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 system-on-a-chip (“SoC”) with single photon avalanche diode (“SPAD”) detectors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sensors contain a custom-designed SoC that replaces the functionality of hundreds of discrete analog components and integrates those capabilities onto a single complementary metal-oxide-semiconductor (“CMOS”) chip.</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“OS” product line, we are currently on our fifth-generation SoC, “L3”, which combines significant processing power with a 128-channel SPAD array onto a single piece of silicon and powers all of our REV7 products. Our SoC is capable of counting individual photons in order to detect very weak laser light pulses from long range targets. This digital SPAD-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based approach enables our “OS” sensors to be compact, high-performance, and low-cost in order to provide advanced autonomy functionality to our industrial, robotics, smart infrastructure, and automotive customers.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“DF” product line currently features our first generation CMOS SoC for solid-state sensors. In 2021, we announced our second generation DF SoC, “Chronos”. Powered by this chip, the solid-state “DF” product line features short, medium, and long-range sensing options that we believe has the potential to meet the performance, reliability, design, and cost requirements of global automotive OEMs.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 cavity surface emitting laser (“VCSEL”) array</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Paired with our digital SPAD SoC is an array of VCSELs. By using VCSEL technology, we can place our laser emitters into a dense array. This dense, compact approach enables us to increase our resolution without increasing the size or complexity of our sensors.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software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existing embedded software is field-upgradeable, which enables us to customize and improve our sensor’s capabilities. We believe that the flexibility of this existing embedded software, together with embedded software that we develop in the future, will create an avenue for software-based enhancements of performance and customization of our products that will be capable of addressing myriad end-market customers’ specific technical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Portfolio</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Using an array of eye-safe lasers, our lidar solutions measure distances in the environment at the speed of light. Unlike camera-based solutions, lidar solutions allow machines to see in 3D by providing precise distance measurements of surrounding objects. Lidar also performs better than cameras in low light conditions and produces fewer errors. Compared to radar, lidar provides better resolution, perceiving objects’ shapes for superior object detection and classification. Lidar systems currently being tested are designed to detect pedestrians equally well during daytime and nighttime conditions because the systems provide self-illumination by means of laser beams.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October of 2021, Ouster acquired Sense Photonics, Inc. (“Sense”) a developer of solid-state flash lidar based on VCSEL and SPAD technology. This acquisition enables the development of our DF sensor line which leverages technology and engineering expertise from both companies. In February 2023, Ouster merged with Velodyne, a global player in lidar sensors solutions. As a result, we currently offer two digital lidar product lines, the “OS” scanning sensors, the “DF” solid-state flash sensors, and certain analog sensors of the Puck family and the Alpha Prime.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 Product line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Introduced in 2018, our OS product line today features four different sensor models available in numerous configurations. The OS product line, based on our fifth-generation L3 SoC, is available in four different models to meet the needs of our end customers. The model options include the hemispheric field of view OSDome, the ultra-wide view “OS0,” the mid-range “OS1,” and the long-range “OS2.” Within each of these models we offer numerous configuration options, including but not limited to different resolutions, connection standards, and data output structures. As we continue to release new generations of the silicon CMOS SoCs that power the OS product line, we expect the performance of the sensors to improve.</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our market opportunity, driven by new opportunities for longer-range and mapping applications.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Resolution options (channels): </w:t>
      </w:r>
      <w:r>
        <w:rPr>
          <w:rFonts w:ascii="Times New Roman" w:cs="Times New Roman" w:eastAsia="Times New Roman" w:hAnsi="Times New Roman"/>
          <w:sz w:val="18"/>
          <w:szCs w:val="18"/>
          <w:color w:val="auto"/>
        </w:rPr>
        <w:t>64 and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-22225</wp:posOffset>
            </wp:positionV>
            <wp:extent cx="2657475" cy="14827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1482725"/>
                    </a:xfrm>
                    <a:prstGeom prst="rect">
                      <a:avLst/>
                    </a:prstGeom>
                    <a:noFill/>
                  </pic:spPr>
                </pic:pic>
              </a:graphicData>
            </a:graphic>
          </wp:anchor>
        </w:drawing>
      </w:r>
    </w:p>
    <w:p>
      <w:pPr>
        <w:ind w:left="5800"/>
        <w:spacing w:after="0" w:line="215" w:lineRule="auto"/>
        <w:tabs>
          <w:tab w:leader="none" w:pos="61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Range (@ 80% reflectivity): </w:t>
      </w:r>
      <w:r>
        <w:rPr>
          <w:rFonts w:ascii="Times New Roman" w:cs="Times New Roman" w:eastAsia="Times New Roman" w:hAnsi="Times New Roman"/>
          <w:sz w:val="18"/>
          <w:szCs w:val="18"/>
          <w:color w:val="auto"/>
        </w:rPr>
        <w:t>45 meters</w:t>
      </w:r>
    </w:p>
    <w:p>
      <w:pPr>
        <w:spacing w:after="0" w:line="9"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Field of View (FoV): </w:t>
      </w:r>
      <w:r>
        <w:rPr>
          <w:rFonts w:ascii="Times New Roman" w:cs="Times New Roman" w:eastAsia="Times New Roman" w:hAnsi="Times New Roman"/>
          <w:sz w:val="18"/>
          <w:szCs w:val="18"/>
          <w:color w:val="auto"/>
        </w:rPr>
        <w:t>90° vertical FoV &amp; 360° horizontal FoV</w:t>
      </w:r>
    </w:p>
    <w:p>
      <w:pPr>
        <w:spacing w:after="0" w:line="8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Horizontal resolution (@ 10 Hz): </w:t>
      </w:r>
      <w:r>
        <w:rPr>
          <w:rFonts w:ascii="Times New Roman" w:cs="Times New Roman" w:eastAsia="Times New Roman" w:hAnsi="Times New Roman"/>
          <w:sz w:val="18"/>
          <w:szCs w:val="18"/>
          <w:color w:val="auto"/>
        </w:rPr>
        <w:t>2048</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Precision: </w:t>
      </w:r>
      <w:r>
        <w:rPr>
          <w:rFonts w:ascii="Times New Roman" w:cs="Times New Roman" w:eastAsia="Times New Roman" w:hAnsi="Times New Roman"/>
          <w:sz w:val="18"/>
          <w:szCs w:val="18"/>
          <w:color w:val="auto"/>
        </w:rPr>
        <w:t>up to ±1.0</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Points per second (@128 channels): </w:t>
      </w:r>
      <w:r>
        <w:rPr>
          <w:rFonts w:ascii="Times New Roman" w:cs="Times New Roman" w:eastAsia="Times New Roman" w:hAnsi="Times New Roman"/>
          <w:sz w:val="18"/>
          <w:szCs w:val="18"/>
          <w:color w:val="auto"/>
        </w:rPr>
        <w:t>5.2 million</w:t>
      </w:r>
    </w:p>
    <w:p>
      <w:pPr>
        <w:spacing w:after="0" w:line="9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 Power consumption: </w:t>
      </w:r>
      <w:r>
        <w:rPr>
          <w:rFonts w:ascii="Times New Roman" w:cs="Times New Roman" w:eastAsia="Times New Roman" w:hAnsi="Times New Roman"/>
          <w:sz w:val="18"/>
          <w:szCs w:val="18"/>
          <w:color w:val="auto"/>
        </w:rPr>
        <w:t>14 – 20 W</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Environmental protection: </w:t>
      </w:r>
      <w:r>
        <w:rPr>
          <w:rFonts w:ascii="Times New Roman" w:cs="Times New Roman" w:eastAsia="Times New Roman" w:hAnsi="Times New Roman"/>
          <w:sz w:val="18"/>
          <w:szCs w:val="18"/>
          <w:color w:val="auto"/>
        </w:rPr>
        <w:t>IP68, IP69K</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Customization options: </w:t>
      </w: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6120" w:right="420" w:hanging="323"/>
        <w:spacing w:after="0" w:line="239" w:lineRule="auto"/>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Illustrative use cases: </w:t>
      </w:r>
      <w:r>
        <w:rPr>
          <w:rFonts w:ascii="Times New Roman" w:cs="Times New Roman" w:eastAsia="Times New Roman" w:hAnsi="Times New Roman"/>
          <w:sz w:val="18"/>
          <w:szCs w:val="18"/>
          <w:color w:val="auto"/>
        </w:rPr>
        <w:t>Factory AGVs, Automated forklifts,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 security, Crowd analytics, Retail analytics</w:t>
      </w:r>
    </w:p>
    <w:p>
      <w:pPr>
        <w:spacing w:after="0" w:line="114"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Resolution options (channels): </w:t>
      </w:r>
      <w:r>
        <w:rPr>
          <w:rFonts w:ascii="Times New Roman" w:cs="Times New Roman" w:eastAsia="Times New Roman" w:hAnsi="Times New Roman"/>
          <w:sz w:val="18"/>
          <w:szCs w:val="18"/>
          <w:color w:val="auto"/>
        </w:rPr>
        <w:t>32, 64 and 128</w:t>
      </w:r>
    </w:p>
    <w:p>
      <w:pPr>
        <w:ind w:left="5800"/>
        <w:spacing w:after="0" w:line="215" w:lineRule="auto"/>
        <w:tabs>
          <w:tab w:leader="none" w:pos="610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Range (@ 80% reflectivity): </w:t>
      </w:r>
      <w:r>
        <w:rPr>
          <w:rFonts w:ascii="Times New Roman" w:cs="Times New Roman" w:eastAsia="Times New Roman" w:hAnsi="Times New Roman"/>
          <w:sz w:val="18"/>
          <w:szCs w:val="18"/>
          <w:color w:val="auto"/>
        </w:rPr>
        <w:t>75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-88900</wp:posOffset>
            </wp:positionV>
            <wp:extent cx="2571750" cy="1440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1440180"/>
                    </a:xfrm>
                    <a:prstGeom prst="rect">
                      <a:avLst/>
                    </a:prstGeom>
                    <a:noFill/>
                  </pic:spPr>
                </pic:pic>
              </a:graphicData>
            </a:graphic>
          </wp:anchor>
        </w:drawing>
      </w: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Field of View (FoV): </w:t>
      </w:r>
      <w:r>
        <w:rPr>
          <w:rFonts w:ascii="Times New Roman" w:cs="Times New Roman" w:eastAsia="Times New Roman" w:hAnsi="Times New Roman"/>
          <w:sz w:val="18"/>
          <w:szCs w:val="18"/>
          <w:color w:val="auto"/>
        </w:rPr>
        <w:t>90° vertical FoV &amp; 360° horizontal FoV</w:t>
      </w:r>
    </w:p>
    <w:p>
      <w:pPr>
        <w:spacing w:after="0" w:line="8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Horizontal resolution (@ 10 Hz): </w:t>
      </w:r>
      <w:r>
        <w:rPr>
          <w:rFonts w:ascii="Times New Roman" w:cs="Times New Roman" w:eastAsia="Times New Roman" w:hAnsi="Times New Roman"/>
          <w:sz w:val="18"/>
          <w:szCs w:val="18"/>
          <w:color w:val="auto"/>
        </w:rPr>
        <w:t>2048</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Precision: up to ±1.0 cm</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Points per second (@128 channels): </w:t>
      </w:r>
      <w:r>
        <w:rPr>
          <w:rFonts w:ascii="Times New Roman" w:cs="Times New Roman" w:eastAsia="Times New Roman" w:hAnsi="Times New Roman"/>
          <w:sz w:val="18"/>
          <w:szCs w:val="18"/>
          <w:color w:val="auto"/>
        </w:rPr>
        <w:t>5.2 million</w:t>
      </w:r>
    </w:p>
    <w:p>
      <w:pPr>
        <w:spacing w:after="0" w:line="9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 Power consumption: </w:t>
      </w:r>
      <w:r>
        <w:rPr>
          <w:rFonts w:ascii="Times New Roman" w:cs="Times New Roman" w:eastAsia="Times New Roman" w:hAnsi="Times New Roman"/>
          <w:sz w:val="18"/>
          <w:szCs w:val="18"/>
          <w:color w:val="auto"/>
        </w:rPr>
        <w:t>14 – 20 W</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Environmental protection: </w:t>
      </w:r>
      <w:r>
        <w:rPr>
          <w:rFonts w:ascii="Times New Roman" w:cs="Times New Roman" w:eastAsia="Times New Roman" w:hAnsi="Times New Roman"/>
          <w:sz w:val="18"/>
          <w:szCs w:val="18"/>
          <w:color w:val="auto"/>
        </w:rPr>
        <w:t>IP68, IP69K</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Customization options: </w:t>
      </w:r>
      <w:r>
        <w:rPr>
          <w:rFonts w:ascii="Times New Roman" w:cs="Times New Roman" w:eastAsia="Times New Roman" w:hAnsi="Times New Roman"/>
          <w:sz w:val="18"/>
          <w:szCs w:val="18"/>
          <w:color w:val="auto"/>
        </w:rPr>
        <w:t>30+</w:t>
      </w:r>
    </w:p>
    <w:p>
      <w:pPr>
        <w:spacing w:after="0" w:line="90" w:lineRule="exact"/>
        <w:rPr>
          <w:sz w:val="20"/>
          <w:szCs w:val="20"/>
          <w:color w:val="auto"/>
        </w:rPr>
      </w:pPr>
    </w:p>
    <w:p>
      <w:pPr>
        <w:ind w:left="6120" w:right="20" w:hanging="323"/>
        <w:spacing w:after="0" w:line="227" w:lineRule="auto"/>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Illustrative use cases: </w:t>
      </w:r>
      <w:r>
        <w:rPr>
          <w:rFonts w:ascii="Times New Roman" w:cs="Times New Roman" w:eastAsia="Times New Roman" w:hAnsi="Times New Roman"/>
          <w:sz w:val="18"/>
          <w:szCs w:val="18"/>
          <w:color w:val="auto"/>
        </w:rPr>
        <w:t>Factory AGVs, Automated forklifts,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Robo-taxis, Building security, Autonomous shuttles, Anonymous People counting</w:t>
      </w:r>
    </w:p>
    <w:p>
      <w:pPr>
        <w:spacing w:after="0" w:line="115"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w:t>
        <w:tab/>
        <w:t xml:space="preserve">Resolution options (channels): </w:t>
      </w:r>
      <w:r>
        <w:rPr>
          <w:rFonts w:ascii="Times New Roman" w:cs="Times New Roman" w:eastAsia="Times New Roman" w:hAnsi="Times New Roman"/>
          <w:sz w:val="18"/>
          <w:szCs w:val="18"/>
          <w:color w:val="auto"/>
        </w:rPr>
        <w:t>32, 64 and 128</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 Range (@80% reflectivity): </w:t>
      </w:r>
      <w:r>
        <w:rPr>
          <w:rFonts w:ascii="Times New Roman" w:cs="Times New Roman" w:eastAsia="Times New Roman" w:hAnsi="Times New Roman"/>
          <w:sz w:val="18"/>
          <w:szCs w:val="18"/>
          <w:color w:val="auto"/>
        </w:rPr>
        <w:t>170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-22225</wp:posOffset>
            </wp:positionV>
            <wp:extent cx="2571750" cy="1440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1440180"/>
                    </a:xfrm>
                    <a:prstGeom prst="rect">
                      <a:avLst/>
                    </a:prstGeom>
                    <a:noFill/>
                  </pic:spPr>
                </pic:pic>
              </a:graphicData>
            </a:graphic>
          </wp:anchor>
        </w:drawing>
      </w:r>
    </w:p>
    <w:p>
      <w:pPr>
        <w:spacing w:after="0" w:line="5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 FoV: </w:t>
      </w:r>
      <w:r>
        <w:rPr>
          <w:rFonts w:ascii="Times New Roman" w:cs="Times New Roman" w:eastAsia="Times New Roman" w:hAnsi="Times New Roman"/>
          <w:sz w:val="18"/>
          <w:szCs w:val="18"/>
          <w:color w:val="auto"/>
        </w:rPr>
        <w:t>45° vertical FoV &amp; 360° horizontal FoV</w:t>
      </w:r>
    </w:p>
    <w:p>
      <w:pPr>
        <w:spacing w:after="0" w:line="9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tab/>
        <w:t> </w:t>
      </w:r>
      <w:r>
        <w:rPr>
          <w:rFonts w:ascii="Times New Roman" w:cs="Times New Roman" w:eastAsia="Times New Roman" w:hAnsi="Times New Roman"/>
          <w:sz w:val="18"/>
          <w:szCs w:val="18"/>
          <w:b w:val="1"/>
          <w:bCs w:val="1"/>
          <w:color w:val="auto"/>
        </w:rPr>
        <w:t>Horizontal resolution (@ 10 Hz)</w:t>
      </w:r>
      <w:r>
        <w:rPr>
          <w:rFonts w:ascii="Times New Roman" w:cs="Times New Roman" w:eastAsia="Times New Roman" w:hAnsi="Times New Roman"/>
          <w:sz w:val="18"/>
          <w:szCs w:val="18"/>
          <w:color w:val="auto"/>
        </w:rPr>
        <w:t>: 2048</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 Precision</w:t>
      </w:r>
      <w:r>
        <w:rPr>
          <w:rFonts w:ascii="Times New Roman" w:cs="Times New Roman" w:eastAsia="Times New Roman" w:hAnsi="Times New Roman"/>
          <w:sz w:val="18"/>
          <w:szCs w:val="18"/>
          <w:color w:val="auto"/>
        </w:rPr>
        <w:t>: up to ±0.5 cm</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tab/>
        <w:t> </w:t>
      </w:r>
      <w:r>
        <w:rPr>
          <w:rFonts w:ascii="Times New Roman" w:cs="Times New Roman" w:eastAsia="Times New Roman" w:hAnsi="Times New Roman"/>
          <w:sz w:val="18"/>
          <w:szCs w:val="18"/>
          <w:b w:val="1"/>
          <w:bCs w:val="1"/>
          <w:color w:val="auto"/>
        </w:rPr>
        <w:t>Points per second</w:t>
      </w:r>
      <w:r>
        <w:rPr>
          <w:rFonts w:ascii="Times New Roman" w:cs="Times New Roman" w:eastAsia="Times New Roman" w:hAnsi="Times New Roman"/>
          <w:sz w:val="18"/>
          <w:szCs w:val="18"/>
          <w:color w:val="auto"/>
        </w:rPr>
        <w:t>: 5.2 million</w:t>
      </w:r>
    </w:p>
    <w:p>
      <w:pPr>
        <w:spacing w:after="0" w:line="9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tab/>
        <w:t> </w:t>
      </w:r>
      <w:r>
        <w:rPr>
          <w:rFonts w:ascii="Times New Roman" w:cs="Times New Roman" w:eastAsia="Times New Roman" w:hAnsi="Times New Roman"/>
          <w:sz w:val="18"/>
          <w:szCs w:val="18"/>
          <w:b w:val="1"/>
          <w:bCs w:val="1"/>
          <w:color w:val="auto"/>
        </w:rPr>
        <w:t>Power consumption:</w:t>
      </w:r>
      <w:r>
        <w:rPr>
          <w:rFonts w:ascii="Times New Roman" w:cs="Times New Roman" w:eastAsia="Times New Roman" w:hAnsi="Times New Roman"/>
          <w:sz w:val="18"/>
          <w:szCs w:val="18"/>
          <w:color w:val="auto"/>
        </w:rPr>
        <w:t xml:space="preserve"> 14 – 20 W</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tab/>
        <w:t> </w:t>
      </w:r>
      <w:r>
        <w:rPr>
          <w:rFonts w:ascii="Times New Roman" w:cs="Times New Roman" w:eastAsia="Times New Roman" w:hAnsi="Times New Roman"/>
          <w:sz w:val="18"/>
          <w:szCs w:val="18"/>
          <w:b w:val="1"/>
          <w:bCs w:val="1"/>
          <w:color w:val="auto"/>
        </w:rPr>
        <w:t>Customization options:</w:t>
      </w:r>
      <w:r>
        <w:rPr>
          <w:rFonts w:ascii="Times New Roman" w:cs="Times New Roman" w:eastAsia="Times New Roman" w:hAnsi="Times New Roman"/>
          <w:sz w:val="18"/>
          <w:szCs w:val="18"/>
          <w:color w:val="auto"/>
        </w:rPr>
        <w:t xml:space="preserve"> 30+</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 Environmental protection: </w:t>
      </w:r>
      <w:r>
        <w:rPr>
          <w:rFonts w:ascii="Times New Roman" w:cs="Times New Roman" w:eastAsia="Times New Roman" w:hAnsi="Times New Roman"/>
          <w:sz w:val="18"/>
          <w:szCs w:val="18"/>
          <w:color w:val="auto"/>
        </w:rPr>
        <w:t>IP68, IP69K</w:t>
      </w:r>
    </w:p>
    <w:p>
      <w:pPr>
        <w:spacing w:after="0" w:line="90" w:lineRule="exact"/>
        <w:rPr>
          <w:sz w:val="20"/>
          <w:szCs w:val="20"/>
          <w:color w:val="auto"/>
        </w:rPr>
      </w:pPr>
    </w:p>
    <w:p>
      <w:pPr>
        <w:ind w:left="6120" w:hanging="323"/>
        <w:spacing w:after="0" w:line="217" w:lineRule="auto"/>
        <w:tabs>
          <w:tab w:leader="none" w:pos="6100" w:val="left"/>
        </w:tabs>
        <w:rPr>
          <w:sz w:val="20"/>
          <w:szCs w:val="20"/>
          <w:color w:val="auto"/>
        </w:rPr>
      </w:pPr>
      <w:r>
        <w:rPr>
          <w:rFonts w:ascii="Times New Roman" w:cs="Times New Roman" w:eastAsia="Times New Roman" w:hAnsi="Times New Roman"/>
          <w:sz w:val="18"/>
          <w:szCs w:val="18"/>
          <w:color w:val="auto"/>
        </w:rPr>
        <w:t>•</w:t>
        <w:tab/>
        <w:t> </w:t>
      </w:r>
      <w:r>
        <w:rPr>
          <w:rFonts w:ascii="Times New Roman" w:cs="Times New Roman" w:eastAsia="Times New Roman" w:hAnsi="Times New Roman"/>
          <w:sz w:val="18"/>
          <w:szCs w:val="18"/>
          <w:b w:val="1"/>
          <w:bCs w:val="1"/>
          <w:color w:val="auto"/>
        </w:rPr>
        <w:t>Illustrative use cases:</w:t>
      </w:r>
      <w:r>
        <w:rPr>
          <w:rFonts w:ascii="Times New Roman" w:cs="Times New Roman" w:eastAsia="Times New Roman" w:hAnsi="Times New Roman"/>
          <w:sz w:val="18"/>
          <w:szCs w:val="18"/>
          <w:color w:val="auto"/>
        </w:rPr>
        <w:t xml:space="preserve"> Last-mile delivery robots, Autonomous trucking, Autonomous mining vehicles, Autonomous agricultural vehicles, Mapping, Autonomous buses, Autonomous drones,</w:t>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Traffic safety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98" w:right="7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Resolution options (channels): </w:t>
      </w:r>
      <w:r>
        <w:rPr>
          <w:rFonts w:ascii="Times New Roman" w:cs="Times New Roman" w:eastAsia="Times New Roman" w:hAnsi="Times New Roman"/>
          <w:sz w:val="18"/>
          <w:szCs w:val="18"/>
          <w:color w:val="auto"/>
        </w:rPr>
        <w:t>32, 64 and 128</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Range (@ 80% reflectivity): </w:t>
      </w:r>
      <w:r>
        <w:rPr>
          <w:rFonts w:ascii="Times New Roman" w:cs="Times New Roman" w:eastAsia="Times New Roman" w:hAnsi="Times New Roman"/>
          <w:sz w:val="18"/>
          <w:szCs w:val="18"/>
          <w:color w:val="auto"/>
        </w:rPr>
        <w:t>350 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-90805</wp:posOffset>
            </wp:positionV>
            <wp:extent cx="2571750" cy="144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0" cy="1440180"/>
                    </a:xfrm>
                    <a:prstGeom prst="rect">
                      <a:avLst/>
                    </a:prstGeom>
                    <a:noFill/>
                  </pic:spPr>
                </pic:pic>
              </a:graphicData>
            </a:graphic>
          </wp:anchor>
        </w:drawing>
      </w:r>
    </w:p>
    <w:p>
      <w:pPr>
        <w:spacing w:after="0" w:line="5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FoV: </w:t>
      </w:r>
      <w:r>
        <w:rPr>
          <w:rFonts w:ascii="Times New Roman" w:cs="Times New Roman" w:eastAsia="Times New Roman" w:hAnsi="Times New Roman"/>
          <w:sz w:val="18"/>
          <w:szCs w:val="18"/>
          <w:color w:val="auto"/>
        </w:rPr>
        <w:t>22.5° vertical FoV &amp; 360° horizontal FoV</w:t>
      </w:r>
    </w:p>
    <w:p>
      <w:pPr>
        <w:spacing w:after="0" w:line="90"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Horizontal resolution (@ 10 Hz): </w:t>
      </w:r>
      <w:r>
        <w:rPr>
          <w:rFonts w:ascii="Times New Roman" w:cs="Times New Roman" w:eastAsia="Times New Roman" w:hAnsi="Times New Roman"/>
          <w:sz w:val="18"/>
          <w:szCs w:val="18"/>
          <w:color w:val="auto"/>
        </w:rPr>
        <w:t>2048</w:t>
      </w:r>
    </w:p>
    <w:p>
      <w:pPr>
        <w:spacing w:after="0" w:line="74"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Precision: </w:t>
      </w:r>
      <w:r>
        <w:rPr>
          <w:rFonts w:ascii="Times New Roman" w:cs="Times New Roman" w:eastAsia="Times New Roman" w:hAnsi="Times New Roman"/>
          <w:sz w:val="18"/>
          <w:szCs w:val="18"/>
          <w:color w:val="auto"/>
        </w:rPr>
        <w:t>up to ±2.5 cm</w:t>
      </w:r>
    </w:p>
    <w:p>
      <w:pPr>
        <w:ind w:left="5800"/>
        <w:spacing w:after="0" w:line="226" w:lineRule="auto"/>
        <w:tabs>
          <w:tab w:leader="none" w:pos="6100" w:val="left"/>
        </w:tabs>
        <w:rPr>
          <w:sz w:val="20"/>
          <w:szCs w:val="20"/>
          <w:color w:val="auto"/>
        </w:rPr>
      </w:pPr>
      <w:r>
        <w:rPr>
          <w:rFonts w:ascii="Arial" w:cs="Arial" w:eastAsia="Arial" w:hAnsi="Arial"/>
          <w:sz w:val="22"/>
          <w:szCs w:val="22"/>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Points per second (@128 channels): </w:t>
      </w:r>
      <w:r>
        <w:rPr>
          <w:rFonts w:ascii="Times New Roman" w:cs="Times New Roman" w:eastAsia="Times New Roman" w:hAnsi="Times New Roman"/>
          <w:sz w:val="18"/>
          <w:szCs w:val="18"/>
          <w:color w:val="auto"/>
        </w:rPr>
        <w:t>2.6 million</w:t>
      </w:r>
    </w:p>
    <w:p>
      <w:pPr>
        <w:spacing w:after="0" w:line="9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Power consumption: </w:t>
      </w:r>
      <w:r>
        <w:rPr>
          <w:rFonts w:ascii="Times New Roman" w:cs="Times New Roman" w:eastAsia="Times New Roman" w:hAnsi="Times New Roman"/>
          <w:sz w:val="18"/>
          <w:szCs w:val="18"/>
          <w:color w:val="auto"/>
        </w:rPr>
        <w:t>18 – 24 W</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Customization options: </w:t>
      </w:r>
      <w:r>
        <w:rPr>
          <w:rFonts w:ascii="Times New Roman" w:cs="Times New Roman" w:eastAsia="Times New Roman" w:hAnsi="Times New Roman"/>
          <w:sz w:val="18"/>
          <w:szCs w:val="18"/>
          <w:color w:val="auto"/>
        </w:rPr>
        <w:t>15+</w:t>
      </w:r>
    </w:p>
    <w:p>
      <w:pPr>
        <w:spacing w:after="0" w:line="77" w:lineRule="exact"/>
        <w:rPr>
          <w:sz w:val="20"/>
          <w:szCs w:val="20"/>
          <w:color w:val="auto"/>
        </w:rPr>
      </w:pPr>
    </w:p>
    <w:p>
      <w:pPr>
        <w:ind w:left="5800"/>
        <w:spacing w:after="0"/>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Environmental protection: </w:t>
      </w:r>
      <w:r>
        <w:rPr>
          <w:rFonts w:ascii="Times New Roman" w:cs="Times New Roman" w:eastAsia="Times New Roman" w:hAnsi="Times New Roman"/>
          <w:sz w:val="18"/>
          <w:szCs w:val="18"/>
          <w:color w:val="auto"/>
        </w:rPr>
        <w:t>IP68, IP69K</w:t>
      </w:r>
    </w:p>
    <w:p>
      <w:pPr>
        <w:spacing w:after="0" w:line="90" w:lineRule="exact"/>
        <w:rPr>
          <w:sz w:val="20"/>
          <w:szCs w:val="20"/>
          <w:color w:val="auto"/>
        </w:rPr>
      </w:pPr>
    </w:p>
    <w:p>
      <w:pPr>
        <w:ind w:left="6120" w:right="520" w:hanging="323"/>
        <w:spacing w:after="0" w:line="227" w:lineRule="auto"/>
        <w:tabs>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Illustrative use cases: </w:t>
      </w:r>
      <w:r>
        <w:rPr>
          <w:rFonts w:ascii="Times New Roman" w:cs="Times New Roman" w:eastAsia="Times New Roman" w:hAnsi="Times New Roman"/>
          <w:sz w:val="18"/>
          <w:szCs w:val="18"/>
          <w:color w:val="auto"/>
        </w:rPr>
        <w:t>Autonomous trucking, Robo-taxis,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shuttles, Mapping, Traffic analytics, Autonomous mining, Building security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customization</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Within our OS sensor models, we offer numerous customization options, all enabled by embedded software. The OSDome offers resolution options of 64 and 128 lines vertically, each in a uniform beam spacing configuration. For each of our other three OS models, we offer resolution options of 128 lines vertically (“channels”), 64 channels, or 32 channels. Additionally, within the 64 and 32 channel options, we offer further customization to determine the channels are distributed throughout the vertical field-of-view. These options for beam spacing are: uniform (evenly distributed channels), gradient (denser channels around the center of the vertical field-of-view and sparser by the top and bottom edges), below horizon (evenly spaced on the bottom half of the field of view), and above horizon (evenly spaced in the top half of the field-of-view). Illustrative beam spacing options for the OS1 model are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5657850" cy="2477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beam spacing options, we also offer a “Privacy Mode” configuration on all four OS sensor models which removes data that could potentially be used for facial recognition purposes. Through our existing and future embedded software, and as a result of our enhanced operational capacity stemming from the Velodyne Merger we anticipate offering additional customizable options to our customers as demand increases. Because these configurations are offered through software, the incremental cost of additional options is lower than the cost of designing new hardware, giving us the operational flexibility to respond to evolving market demands.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 product line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DF series is a suite of short, mid, and long-range solid-state digital lidar sensors. The solid-state DF series is a leader in the market with superior reliability, durability, and affordability. The DF series is designed to meet automaker requirements for advanced driver assistance systems (“ADAS”) and automated driving, while seamlessly integrating into the vehicle architecture and design.</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DF product line was specifically engineered to meet consumer ADAS performance requirements and certifications related to automotive functional safety and reliability. Its key features include high resolution sensors, adaptability, and scalability.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High resolution. </w:t>
      </w:r>
      <w:r>
        <w:rPr>
          <w:rFonts w:ascii="Times New Roman" w:cs="Times New Roman" w:eastAsia="Times New Roman" w:hAnsi="Times New Roman"/>
          <w:sz w:val="18"/>
          <w:szCs w:val="18"/>
          <w:color w:val="auto"/>
        </w:rPr>
        <w:t>The patented breakthrough solid-state digital flash architecture produces high-resolution 3D point clouds.</w:t>
      </w:r>
    </w:p>
    <w:p>
      <w:pPr>
        <w:spacing w:after="0" w:line="11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Adaptability. </w:t>
      </w:r>
      <w:r>
        <w:rPr>
          <w:rFonts w:ascii="Times New Roman" w:cs="Times New Roman" w:eastAsia="Times New Roman" w:hAnsi="Times New Roman"/>
          <w:sz w:val="18"/>
          <w:szCs w:val="18"/>
          <w:color w:val="auto"/>
        </w:rPr>
        <w:t>The multi-sensor suite is a flexible platform that can be easily adapted to different form-factors and sensor configurations to provide varying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ranges, fields of view, and vehicle design freedoms – all with a simple change in optics or housing.</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The solid-state DF product line is highly manufacturable and offers the durability, reliability, and affordability needed for automotive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We are offering individual solid-state sensors as well as a multi-sensor lidar suite at a price point that we believe could enable broad adoption in consumer vehicles. We believe that we are well-positioned to deliver on OEM requirements with a single supplier offering, reducing overall costs and making us a preferred potential partner for both automotive OEMs and Tier 1s.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Velodyne Lidar Sensors</w:t>
      </w:r>
    </w:p>
    <w:p>
      <w:pPr>
        <w:spacing w:after="0" w:line="10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also offer certain surround-view lidar sensors that Velodyne previously marketed. These products are listed below and support numerous end applications, including autonomous vehicles, drones, security, mobile robots and mapping.</w:t>
      </w:r>
    </w:p>
    <w:p>
      <w:pPr>
        <w:spacing w:after="0" w:line="5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Alpha Prime (VLS-128) </w:t>
      </w:r>
      <w:r>
        <w:rPr>
          <w:rFonts w:ascii="Times New Roman" w:cs="Times New Roman" w:eastAsia="Times New Roman" w:hAnsi="Times New Roman"/>
          <w:sz w:val="18"/>
          <w:szCs w:val="18"/>
          <w:color w:val="auto"/>
        </w:rPr>
        <w:t>is capable of 300-meter range. It is specifically designed for autonomous driving and advanced vehicle safety at highway speeds.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lidar sensor incorporates 128 lasers and provides real-time 3D data up to 0.1-degree vertical and horizontal resolution. The Alpha Prime provides a superior combination of range, resolution and precision to enable Level 4 and Level 5 autonomous vehicles to function both at highway speeds as well as in low-speed urban environments. This product was recognized at the Pace Automotive Award in 2019.</w:t>
      </w:r>
    </w:p>
    <w:p>
      <w:pPr>
        <w:spacing w:after="0" w:line="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Ultra Puck (VLP-32) </w:t>
      </w:r>
      <w:r>
        <w:rPr>
          <w:rFonts w:ascii="Times New Roman" w:cs="Times New Roman" w:eastAsia="Times New Roman" w:hAnsi="Times New Roman"/>
          <w:sz w:val="18"/>
          <w:szCs w:val="18"/>
          <w:color w:val="auto"/>
        </w:rPr>
        <w:t>is the third generation of the Puck family. The high-density, long-range image generated by the Ultra Puck makes it a desirable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 for robotics, mapping, security, driver assistance and autonomous navigation. The Ultra Puck also enables our Intelligent Infrastructure Solutions (“IIS”) (discussed below under the Software section). Ultra Puck uses 32 lasers to double the range and resolution of its predecessor at a range of up to 200 meters. Ultra Puck also introduces firing exclusion and advanced features designed to minimize false positives.</w:t>
      </w:r>
    </w:p>
    <w:p>
      <w:pPr>
        <w:spacing w:after="0" w:line="6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Puck (VLP-16) </w:t>
      </w:r>
      <w:r>
        <w:rPr>
          <w:rFonts w:ascii="Times New Roman" w:cs="Times New Roman" w:eastAsia="Times New Roman" w:hAnsi="Times New Roman"/>
          <w:sz w:val="18"/>
          <w:szCs w:val="18"/>
          <w:color w:val="auto"/>
        </w:rPr>
        <w:t>offers 16 lasers and a 100-meter range. Developed with mass production and affordability in mind, the Puck retains the multi-laser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offering lower power consumption, a lighter weight and a more compact footprint at an attractive price point, making it suitable for low-speed autonomy and driver assistance applications.</w:t>
      </w:r>
    </w:p>
    <w:p>
      <w:pPr>
        <w:spacing w:after="0" w:line="6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Puck Hi-Res (VLP-16 Hi-Res) </w:t>
      </w:r>
      <w:r>
        <w:rPr>
          <w:rFonts w:ascii="Times New Roman" w:cs="Times New Roman" w:eastAsia="Times New Roman" w:hAnsi="Times New Roman"/>
          <w:sz w:val="18"/>
          <w:szCs w:val="18"/>
          <w:color w:val="auto"/>
        </w:rPr>
        <w:t>is a further iteration of the original Puck and is designed for applications requiring high image resolution. While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retaining surround view and 100-meter range, this sensor compresses the vertical field-of-view from 30 degrees to 20 degrees for a tighter laser distribution spaced at 1.33 degrees instead of 2.00 degrees. This design delivers more details in the 3D image at longer ranges and enables the host system to not only detect, but also better identify objects at these greater distances.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Ouster Software</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Ouster Gemini is a perception platform designed for deployments in crowd analytics, security, retail analytics, and intelligent transportation systems (ITS), and is optimized exclusively for Ouster’s digital lidar sensors. The Gemini platform consists of OS series lidar sensors, edge processor hardware, and perception software.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Ouster Gemini platform works by detecting and classifying humans in an indoor space such as a retail store or an outdoor space such as a high-security perimeter. Gemini enables our customers to track people through a covered area which can be expanded by meshing lidar sensors together to form a single, cohesive 3D view. This approach has several advantages compared to other people tracking and security solutions, and can be used to replace or enhance existing camera, radar, or RF beacon-based systems:</w:t>
      </w:r>
    </w:p>
    <w:p>
      <w:pPr>
        <w:spacing w:after="0" w:line="70" w:lineRule="exact"/>
        <w:rPr>
          <w:sz w:val="20"/>
          <w:szCs w:val="20"/>
          <w:color w:val="auto"/>
        </w:rPr>
      </w:pPr>
    </w:p>
    <w:p>
      <w:pPr>
        <w:jc w:val="both"/>
        <w:ind w:left="500" w:right="140"/>
        <w:spacing w:after="0" w:line="267" w:lineRule="auto"/>
        <w:rPr>
          <w:sz w:val="20"/>
          <w:szCs w:val="20"/>
          <w:color w:val="auto"/>
        </w:rPr>
      </w:pPr>
      <w:r>
        <w:rPr>
          <w:rFonts w:ascii="Times New Roman" w:cs="Times New Roman" w:eastAsia="Times New Roman" w:hAnsi="Times New Roman"/>
          <w:sz w:val="18"/>
          <w:szCs w:val="18"/>
          <w:i w:val="1"/>
          <w:iCs w:val="1"/>
          <w:color w:val="auto"/>
        </w:rPr>
        <w:t>Detection accuracy</w:t>
      </w:r>
      <w:r>
        <w:rPr>
          <w:rFonts w:ascii="Times New Roman" w:cs="Times New Roman" w:eastAsia="Times New Roman" w:hAnsi="Times New Roman"/>
          <w:sz w:val="18"/>
          <w:szCs w:val="18"/>
          <w:color w:val="auto"/>
        </w:rPr>
        <w:t>. Gemini perception software is specifically optimized to take advantage of the rich and robust data provided by Ouster’s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lidar sensors. The high resolution and improved range of our digital lidar sensors enhance the detection, classification, and tracking accuracy of the perception software. Ouster’s newest digital lidar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sensors also enable significantly improved detection performance in low-light and adverse weather conditions as compared to earlier models.</w:t>
      </w:r>
    </w:p>
    <w:p>
      <w:pPr>
        <w:spacing w:after="0" w:line="115" w:lineRule="exact"/>
        <w:rPr>
          <w:sz w:val="20"/>
          <w:szCs w:val="20"/>
          <w:color w:val="auto"/>
        </w:rPr>
      </w:pPr>
    </w:p>
    <w:p>
      <w:pPr>
        <w:ind w:left="500" w:right="340"/>
        <w:spacing w:after="0" w:line="284" w:lineRule="auto"/>
        <w:rPr>
          <w:sz w:val="20"/>
          <w:szCs w:val="20"/>
          <w:color w:val="auto"/>
        </w:rPr>
      </w:pPr>
      <w:r>
        <w:rPr>
          <w:rFonts w:ascii="Times New Roman" w:cs="Times New Roman" w:eastAsia="Times New Roman" w:hAnsi="Times New Roman"/>
          <w:sz w:val="18"/>
          <w:szCs w:val="18"/>
          <w:i w:val="1"/>
          <w:iCs w:val="1"/>
          <w:color w:val="auto"/>
        </w:rPr>
        <w:t>Uninterrupted tracking</w:t>
      </w:r>
      <w:r>
        <w:rPr>
          <w:rFonts w:ascii="Times New Roman" w:cs="Times New Roman" w:eastAsia="Times New Roman" w:hAnsi="Times New Roman"/>
          <w:sz w:val="18"/>
          <w:szCs w:val="18"/>
          <w:color w:val="auto"/>
        </w:rPr>
        <w:t>. Gemini enables seamless tracking of objects across an entire area. Users can easily mesh multiple lidar sensors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 Gemini software interface, allowing a seamless 3D view of object movement throughout the space.</w:t>
      </w:r>
    </w:p>
    <w:p>
      <w:pPr>
        <w:spacing w:after="0" w:line="50" w:lineRule="exact"/>
        <w:rPr>
          <w:sz w:val="20"/>
          <w:szCs w:val="20"/>
          <w:color w:val="auto"/>
        </w:rPr>
      </w:pPr>
    </w:p>
    <w:p>
      <w:pPr>
        <w:ind w:left="500" w:right="60"/>
        <w:spacing w:after="0" w:line="284" w:lineRule="auto"/>
        <w:rPr>
          <w:sz w:val="20"/>
          <w:szCs w:val="20"/>
          <w:color w:val="auto"/>
        </w:rPr>
      </w:pPr>
      <w:r>
        <w:rPr>
          <w:rFonts w:ascii="Times New Roman" w:cs="Times New Roman" w:eastAsia="Times New Roman" w:hAnsi="Times New Roman"/>
          <w:sz w:val="18"/>
          <w:szCs w:val="18"/>
          <w:i w:val="1"/>
          <w:iCs w:val="1"/>
          <w:color w:val="auto"/>
        </w:rPr>
        <w:t>Easy setup and administration</w:t>
      </w:r>
      <w:r>
        <w:rPr>
          <w:rFonts w:ascii="Times New Roman" w:cs="Times New Roman" w:eastAsia="Times New Roman" w:hAnsi="Times New Roman"/>
          <w:sz w:val="18"/>
          <w:szCs w:val="18"/>
          <w:color w:val="auto"/>
        </w:rPr>
        <w:t>. The simplicity of the Gemini platform, along with its intuitive user interface, enables customers to install, configure,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maintain the system with ease.</w:t>
      </w:r>
    </w:p>
    <w:p>
      <w:pPr>
        <w:spacing w:after="0" w:line="50" w:lineRule="exact"/>
        <w:rPr>
          <w:sz w:val="20"/>
          <w:szCs w:val="20"/>
          <w:color w:val="auto"/>
        </w:rPr>
      </w:pPr>
    </w:p>
    <w:p>
      <w:pPr>
        <w:ind w:left="500" w:right="120"/>
        <w:spacing w:after="0" w:line="284" w:lineRule="auto"/>
        <w:rPr>
          <w:sz w:val="20"/>
          <w:szCs w:val="20"/>
          <w:color w:val="auto"/>
        </w:rPr>
      </w:pPr>
      <w:r>
        <w:rPr>
          <w:rFonts w:ascii="Times New Roman" w:cs="Times New Roman" w:eastAsia="Times New Roman" w:hAnsi="Times New Roman"/>
          <w:sz w:val="18"/>
          <w:szCs w:val="18"/>
          <w:i w:val="1"/>
          <w:iCs w:val="1"/>
          <w:color w:val="auto"/>
        </w:rPr>
        <w:t>Privacy-preserving</w:t>
      </w:r>
      <w:r>
        <w:rPr>
          <w:rFonts w:ascii="Times New Roman" w:cs="Times New Roman" w:eastAsia="Times New Roman" w:hAnsi="Times New Roman"/>
          <w:sz w:val="18"/>
          <w:szCs w:val="18"/>
          <w:color w:val="auto"/>
        </w:rPr>
        <w:t>. Gemini does not output any personally identifiable information, allowing customers to deploy advanced monitoring systems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or sensitive areas without privacy concerns.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BlueCity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BlueCity AI software enables users to monitor traffic networks and public spaces and generates real-time data analytics and predictions, which we believe can be used to improve traffic and crowd flow efficiency, advance sustainability and protect vulnerable road users in a wide range of weather and lighting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Development</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currently expect that our future digital lidar product developments will be primarily driven by improvements to our semiconductors—the receiver SoC and VCSEL laser array— with little to no impact on the designs or architecture of our sensors.</w:t>
      </w:r>
    </w:p>
    <w:p>
      <w:pPr>
        <w:spacing w:after="0" w:line="5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expect to maintain our OS product line with our four current sensor models. Our product roadmap primarily consists of designing, building, and integrating improved semiconductors into the OS product line, which we anticipate will improve the range and resolution of our sensors, among other features, without substantial changes to the form factor of our sensors.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already shipped functional forward-facing prototypes for the automotive ADAS market. After the initial release, we anticipate our DF product line will improve in performance over time as we improve our core SoC and laser components.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target four markets globally: industrial; smart infrastructure; robotics; and automotive. In total, we shipped sensors to over 690 customers in 2022 across these diversified use cases. For the year ended December 31, 2022, no single customer accounted for more than 10% of our revenue from product sales. Following the Velodyne Merger, the combined company now supports over 850 customers in approximately 50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Automation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customers in the industrial market are generally engaged in the manufacturing, operation, or after-market modification of heavy industrial machinery, which includes automated guided vehicles (“AGVs”), autonomous mobile robots (“AMRs”), mining vehicles, large material handling vehicles such as forklifts, construction vehicles, agricultural vehicles, and port machinery among other machines. Lidar is used on heavy machinery to enable autonomous usage of the machinery and to improve worker safety. We believe that our industrial customers value the high resolution, range, small form factor, and high reliability of our digital lidar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Smart Infrastructure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customers in the smart infrastructure market are generally engaged in monitoring and analyzing pedestrian and vehicle movements for the purpose of providing building security, tracking and analyzing human movement patterns and improving roadway safety and efficiency. This market includes federal, state, and local governments as well as private commercial businesses. Unlike traditional cameras, our lidar sensors provide accurate spatial data in low lighting conditions while safeguarding privacy concerns. We believe that our smart infrastructure customers value the high resolution, 360° horizontal field-of-view, and high reliability of our digital lidar sensors. Powered by our lidar sensors and software solutions, give smart infrastructure customers the ability to detect, classify, and track people and vehicles through an easy to use software user interface, allowing them to interact with lidar data indirectly and in a task-relevant manner.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Robotics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customers in the robotics industry are generally engaged in the design, production, operation, or after-market modification of small mobile human-less vehicles, which includes wheeled robots, legged robots, and drones among other vehicles. Our customers in the robotics market include both commercial entities and nonprofit entities, such as research institutions. Our customers in the robotics market are installing lidar sensors for autonomous navigation, collision avoidance, and mapping in order to provide services such as last-mile delivery, street sweeping, and asset inspection. We believe our robotics customers value the high resolution, wide vertical field-of-view, and high reliability of our lidar sensors.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customers in the automotive industry fall into two categories: customers developing various forms of self-driving technology for driverless mobility and freight applications, and companies developing consumer ADAS. Both groups are generally engaged in the design, production, manufacture, operation, or after-market modification of automobiles, which includes consumer and commercial vehicles, commercial heavy trucks, and buses among other vehicles. Automotive customers use lidar as a core component in ADAS and for autonomous driving. We believe that our automotive customers value the high resolution, high reliability, and cost of our lidar technology.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strengths will allow us to maintain and extend our position as a leading provider in high-resolution lidar solutions.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Patented digital lidar technology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Since we invented and patented our digital lidar technology in 2015, we have launched a suite of products built on a shared architecture. Our proprietary SoC replaces hundreds to thousands of discrete components with a single tightly integrated SPAD receiver array, and our high-efficiency VCSEL array integrates every laser into a single die. Moreover, our patented micro-optical system increases digital lidar performance by the equivalent of an orders-of-magnitude increase in detector efficiency. We believe that this architecture will allow us to continue to increase sensor performance while reducing its cost for many years to come. The Sense acquisition and the Velodyne Merger have enabled us to acquire additional intellectual property, which we believe will continue to distinguish us in the lidar space and provides a strong foundation for our DF sensors.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performance at an affordable price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we introduce future generations of our proprietary SoC, we expect to be able to offer improved resolution, range, precision, reliability, and unlock new data types. Our simple digital architecture shared across our products results in a single manufacturing process and common supply chain for all of our sensor models that we believe results in cost advantages that help us offer lower prices to our customers while maintaining gross margins.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Flexible and scalable product architecture</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products employ a software-defined architecture, enabling rapid customization in the software layer, and a simple shared hardware architecture for scalable manufacturing. With software-defined products continuing to drive low-cost customization, we expect to develop new SKUs for industry-specific applications, expanding our product offering without requiring significant manufacturing or inventory changes.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diversified customer base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our integration with Velodyne’s operations progresses, we continue to diversify our customer base by solidifying our presence in all four of our targeted markets, which we believe gives us several advantages. First, our customer and market diversity add stability to our business. By diversifying our customer base, we are able to reduce our exposure to the risk of customer development delays or regulatory changes that may affect our sales to a single customer or in a particular market rather than all four of the targeted markets. Second, we believe that a large, diverse customer base will ultimately result in more engaged customers purchasing our products and help us to achieve higher sales more quickly than other companies that depend on a smaller set of customers in fewer markets. As we increase our sales volume, we expect our cost per sensor to decrease, allowing us to compete more effectively in each of the targeted markets.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manufacturing today</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achieve our vision of making lidar technology widely adopted, we designed our technology for high-volume manufacturing. We are expanding our manufacturing capacity by outsourcing manufacturing to the Thailand facility of our manufacturing partners Benchmark, Fabrinet and other third-party suppliers. We believe these relationships provide multiple benefits, including the ability to leverage our partners’ manufacturing capacity to help us scale our production.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solid-state technology positioned to capture automotive scale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that our prospective ADAS customers will select lidar suppliers primarily based on the anticipated ability to meet performance, reliability, design, and cost requirements. We believe that the solid-state digital lidar technology in our DF sensors will meet these performance, reliability, design, and cost requirements of ADAS, and lead to production wins and growth in this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reliable and rugged technology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high performance, comparatively low cost, and high customization flexibility, our sensors are designed to be highly reliable. Our OS product line of sensors have achieved the highest ingress ratings in the industry—IP68 and IP69K—meaning they can survive submersion in up to 1 meter of water for 30 minutes and withstand high-temperature power washing. We believe Ouster has one of the lowest field failure rates in the industry, which reduces the total cost of ownership of our sensors.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management team</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Innovation is central to our corporate culture. Ouster’s co-founders Angus Pacala and Mark Frichtl have almost two decades of combined experience in lidar engineering. In collaboration with our executive management team, they drive our vision and corporate strategy. We believe that the digital lidar technology invented by our founders will continue to drive significant improvements in autonomous technology. As the Company has developed, we have built a strong supporting team, adding leaders in sales, marketing, operations, engineering, manufacturing, legal, and finance.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growth strategy is based upon three components: the attractive performance and cost economics of our digital lidar technology, the introduction of value-added software, and focused commercial execution.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Today, our digital lidar technology powers OS and DF sensors that are high performance, highly customizable, reliable, and available at a competitive price point. As we continue to upgrade the SoCs powering our OS and DF sensors, we expect to improve the performance of our sensors without significant negative impact to sensor cost or form factor. We plan to leverage this dynamic to grow our sensor sales by steadily improving our product performance while consistently maintaining a competitive price point.</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introduction of value-added software that aids in the processing of lidar data presents a significant growth opportunity. For existing lidar users, software has the potential to decrease development time and improve system performance. For customers who historically rely on other sensor modalities or lack technical expertise, the introduction of software such as Ouster Gemini can catalize the adoption of lidar by processing the raw lidar data and outputting abstracted data in a user-friendly interface.</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our sensor and software growth opportunities, we believe we can increase our growth through commercial execution excellence. By building a commercial organization with highly-skilled employees and efficient processes and systems, we believe we can improve our customer acquisition, accelerate existing customer growth, increase sales through distribution networks, and build valuable strategic partnerships.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growth strategy include: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strategic transactions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explored and may continue to explore strategic acquisitions, mergers or other transactions as a means to complement our technology and digital lidar architecture. For example, in February 2023, we completed our merger of equals with Velodyne which we expect will help us to strengthen our financial position, technology portfolio and software offering. While we see significant and growing demand for our products today, we believe such transactions can create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340"/>
        <w:spacing w:after="0" w:line="406" w:lineRule="auto"/>
        <w:rPr>
          <w:sz w:val="20"/>
          <w:szCs w:val="20"/>
          <w:color w:val="auto"/>
        </w:rPr>
      </w:pPr>
      <w:r>
        <w:rPr>
          <w:rFonts w:ascii="Times New Roman" w:cs="Times New Roman" w:eastAsia="Times New Roman" w:hAnsi="Times New Roman"/>
          <w:sz w:val="18"/>
          <w:szCs w:val="18"/>
          <w:color w:val="auto"/>
        </w:rPr>
        <w:t xml:space="preserve">more expansive use cases for our products, provide greater access to our current target markets, or enable us to access additional markets. </w:t>
      </w:r>
      <w:r>
        <w:rPr>
          <w:rFonts w:ascii="Times New Roman" w:cs="Times New Roman" w:eastAsia="Times New Roman" w:hAnsi="Times New Roman"/>
          <w:sz w:val="18"/>
          <w:szCs w:val="18"/>
          <w:b w:val="1"/>
          <w:bCs w:val="1"/>
          <w:i w:val="1"/>
          <w:iCs w:val="1"/>
          <w:color w:val="auto"/>
        </w:rPr>
        <w:t>Expand our distribution network</w:t>
      </w:r>
    </w:p>
    <w:p>
      <w:pPr>
        <w:spacing w:after="0" w:line="2"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While the majority of our sales are direct to customers, we also sell our sensors through a domestic and international distribution network, which has expanded as a result of the recent Velodyne Merger. We believe these distributors enable us to reach more end customers in an operationally efficient manner. We plan to grow our existing network and establish new distribution partnerships in regions where we do not currently have partnerships. By leveraging these relationships, we believe we will be able to reach more customers faster and rapidly grow our sales.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Execute on our product roadmap</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continue to place a priority on innovation and product development. We plan to continue improving our product performance and adding unique functionality while maintaining a competitive price point. We believe that improving our products at a consistently competitive price positions us to win new and expanded business opportunities in our target markets over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Commercialize digital lidar for emerging automotive opportunity</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our cost-reduced solid-state DF sensor will meet the automotive industry’s requirements for performance, cost, and reliability in ADAS applications. As development progresses, we will strive to build and maintain relationships with global automotive OEMs and Tier 1s to further strengthen demand.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worldwide sales and marketing presence</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further grow our market share in our target markets, we intend to continue to strategically hire globally, scaling our commercial team to serve the needs of each end market. As our market presence grows through targeted sales and marketing activity, we believe our customer base will grow. For example, following our recent merger with Velodyne, we now support over 850 customers in approximately 50 countries. In addition, we are increasingly cross-selling within accounts, accessing new projects and opportunities within accounts where we have a beachhead position and increasing the number of addressable opportunities.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sales volumes from existing accounts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aim to create an established customer base in each of our four target markets that can be further strengthened as our relationships with customers mature. As our customers move through our pipeline from benchtop evaluation to pilot evaluation, to pre-production, and finally to production—we believe our order volumes will increase at each stage in the sales process. We expect that moving to series production can provide a material increase of up to several orders of magnitude in annual sales volume for each given customer program. Sales for these programs are often, but not always, memorialized in multi-year contracts that provide a closer relationship to the customer and increased growth opportunities for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partner ecosystem</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Effectively integrating and using a lidar sensor can be a complex task for some end customers. An ecosystem of value-added software and integrator companies is growing across the world, offering perception software and tailored solutions for our target markets. We have relationships with many of these companies, and have collaborated with some of them to develop software and services based on our sensors. We intend to further develop complementary solutions and integration services that we believe will provide potential customers with the requisite technical know-how and we expect that this will accelerate our sales growth.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invested a significant amount of time and resources in streamlining our production process and additional efforts will be required as we continue to integrate our operations with those of Velodyne. Our current key manufacturing partners include Benchmark and Fabrinet. Our optical alignment processes are partially or completely automated, which reduces manufacturing time and increases our production output. Our sensors also undergo application-focused final testing, which allows us to understand the real-world performance of our sensors before they are shipped to customers, reducing returned merchandise costs. We have also invested in building manufacturing process control systems, which provide real-time production information on the sensors produced in Thailand through integrated data stores and dashboards. This streamlined production process aims at lowering manufacturing, labor and overhead cost per unit.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an increasing demand for lidar to help advance automated systems with the intended goal of increasing safety, improving efficiency and enhancing productivity. Lidar’s status as a critical sensor in many applications gives us the opportunity to add enhanced value to customers by providing comprehensive solutions. There is increasing adoption of lidar across a wide variety of industries. We believe there is a continual need to increase accuracy for 3D mapping information to understand the surrounding environment and movement patterns to improve transportation logistics and enhance traffic efficiency. As a result, we compete against several companies developing lidar solutions for incorporation into these developing applications, some of which may be similar to ours. Our competitors may include and are not limited to: AEye, Aeva Inc., Cepton Technologies, Innoviz Technologies, Hesai Technology, Luminar Technologies, MicroVision, RoboSense, and SICK.</w:t>
      </w:r>
    </w:p>
    <w:p>
      <w:pPr>
        <w:spacing w:after="0" w:line="8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Additionally, some of our targeted customers may have their own internal lidar development programs. Although we believe our line of products and innovation support position us as a leader in the lidar market, we will continue to face competition from existing, established market competitors with greater resources and new companies developing lidar solutions for the industrial, smart infrastructure, robotics and automotive industries.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a global sales presence across the Americas, Europe, Middle East, Africa, and Asia and Pacific markets. We sell directly to the majority of our customers and have also developed a global network of active distributors to sell, install and support our solutions. Our commercial team is made up of experienced leaders who have been developing a focused sales organization geared towards ramping our sales pipeline. We continue to expand our sales efforts to grow orders from existing customers and market our products to attract new customers. We plan to continue to expand and optimize our dealer network to ensure that we have sufficient geographic coverage across both existing and new markets.</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take a targeted marketing approach to each of our four focused markets. We develop and publish digital content designed to educate our audience on how to use Ouster’s products, and selectively use other channels and advertising methods to attract customers. We leverage opportunities to present and speak at market-specific conferences, executive events, trade shows and industry events to further develop our brand and reputation. These opportunities also allow us to showcase our technology and attract additional customer interest. Through customer feedback, industry events and strategic relationships, we continue to identify the evolving needs of our customers and, as a result, develop new and improved solutions. In addition, we have a robust social media presence and are investing in various digital marketing strategies and tools to further reach customers as well as build our brand. From time to time, we sponsor universities and other non-profit organizations to increase awareness of our technology and showcase its capabilities.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invested significant resources into research and development of our lidar-based technologies. We believe our ability to maintain a leadership position depends in part on our ongoing research and development activities.</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are primarily based in San Francisco, California, and Edinburgh, Scotland. Our research and development team is responsible for the design, development, manufacturing and testing of our products. We focus our efforts on the development of digital lidar technology, software functionality, solutions, and innovative manufacturing technologies. The research and development team also partners with our operations and supply chain teams to develop scalable and reliable manufacturing processes and aid in supply chain planning and diversification. Our team consists of engineers, technicians, scientists, operators and professionals with experience from a wide variety of the world’s leading sensing, engineering, consumer electronics, and automotive organizations.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the U.S. has historically provided a positive legal landscape that allows safe testing and development of autonomous features, with nuances that vary from state to state, we are subject to the non-exhaustive list of regulations set forth below.</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U.S. Food and Drug Administration (“FDA”). Electronic product radiation includes laser technology. Regulations governing these products are intended to protect the public from hazardous or unnecessary exposure. Manufacturers are required to certify in product labeling and reports to the FDA that their products comply with applicable performance standards as well as maintain manufacturing, testing and distribution records for their products. Furthermore, we are also subject to similar internationally harmonized standards and regulations governing the safe use of laser products. Based upon successful evaluations of the applicable laser products, followed by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written attestation by international third-party certification agencies, manufacturers are required to create Self Declarations of Compliance (“SDOC”) of their products to such regulations, and label their products accordingly.</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products and solutions are also subject to U.S. and foreign trade and customs product classifications,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Similarly, we are also subject to sourcing regulations such as the requirements under the Dodd-Frank Wall Street Reform and Consumer Protection Act of 2010 and the EU Conflict Minerals Regulation 2017/821, that will require us to carefully monitor our supply chain. The implementation of these requirements could adversely affect the sourcing, availability and pricing of the materials that may be used in the manufacture of components used in our products.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customers may use our products in applications that are regulated and/or subject to industry standards. Such applications require that our products comply with the applicable regulations and standards, including, but not limited to, functional safety, cybersecurity, product safety and product performance standards. For example, we continue to add features to our existing OS line, and we expect to design, engineer and test our new DF product line, to meet evolving U.S. and international consumer product safety and performance requirements as well as Automotive and Industrial Functional Safety, Cybersecurity and performance certifications designed to ensure the safe deployment and operation of autonomous vehicles, automotive ADAS, industrial machines and robots. Significant foreign markets also continue to develop their own respective standards to define deployment requirements for higher levels of autonomy in these jurisdictions.</w:t>
      </w:r>
    </w:p>
    <w:p>
      <w:pPr>
        <w:spacing w:after="0" w:line="8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operations are subject to various international, federal, state and local laws and regulations governing the occupational health and safety of our employees and wage regulations. We are subject to the requirements of the federal Occupational Safety and Health Administration, as amended, (“OSHA”), and comparable international, state and local laws that protect and regulate employee health and safety.</w:t>
      </w:r>
    </w:p>
    <w:p>
      <w:pPr>
        <w:spacing w:after="0" w:line="68" w:lineRule="exact"/>
        <w:rPr>
          <w:sz w:val="20"/>
          <w:szCs w:val="20"/>
          <w:color w:val="auto"/>
        </w:rPr>
      </w:pPr>
    </w:p>
    <w:p>
      <w:pPr>
        <w:jc w:val="both"/>
        <w:ind w:right="600"/>
        <w:spacing w:after="0" w:line="289" w:lineRule="auto"/>
        <w:rPr>
          <w:sz w:val="20"/>
          <w:szCs w:val="20"/>
          <w:color w:val="auto"/>
        </w:rPr>
      </w:pPr>
      <w:r>
        <w:rPr>
          <w:rFonts w:ascii="Times New Roman" w:cs="Times New Roman" w:eastAsia="Times New Roman" w:hAnsi="Times New Roman"/>
          <w:sz w:val="17"/>
          <w:szCs w:val="17"/>
          <w:color w:val="auto"/>
        </w:rPr>
        <w:t>Finally, as companies operating in similar industries, we are subject to environmental regulation, including water use, air emissions, use of recycled materials, energy sources, the storage, handling, treatment, transportation and disposal of hazardous materials and the remediation of environmental contamination. Compliance with these laws, rules and regulations may include permits, licenses and inspections of our facilities and products.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December 31, 2022, we employed approximately 200 people on a full-time basis in the United States and 70 people on a full-time basis internationally, either directly through our international subsidiaries or through a professional employer organization. We also engaged a certain number of consultants and independent contractors to supplement our permanent workforce. None of our employees are currently represented by a labor union or covered by collective bargaining agreements. We believe we have strong and positive relations with our employees.</w:t>
      </w:r>
    </w:p>
    <w:p>
      <w:pPr>
        <w:spacing w:after="0" w:line="70"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Diversity and Inclusion. </w:t>
      </w:r>
      <w:r>
        <w:rPr>
          <w:rFonts w:ascii="Times New Roman" w:cs="Times New Roman" w:eastAsia="Times New Roman" w:hAnsi="Times New Roman"/>
          <w:sz w:val="18"/>
          <w:szCs w:val="18"/>
          <w:color w:val="auto"/>
        </w:rPr>
        <w:t>To attract, motivate and retain a highly-skilled workforce throughout our organization, we are focused on facilitating a safe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work environment that leverages the capabilities of our employees and encourages diversity of thought. In furtherance of these objectives, we provide Diversity, Inclusion, and Belonging training for our employees to promote a healthy and inclusive organizational culture.</w:t>
      </w:r>
    </w:p>
    <w:p>
      <w:pPr>
        <w:spacing w:after="0" w:line="6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engagement. </w:t>
      </w:r>
      <w:r>
        <w:rPr>
          <w:rFonts w:ascii="Times New Roman" w:cs="Times New Roman" w:eastAsia="Times New Roman" w:hAnsi="Times New Roman"/>
          <w:sz w:val="18"/>
          <w:szCs w:val="18"/>
          <w:color w:val="auto"/>
        </w:rPr>
        <w:t>We prioritize employee engagement and value employee feedback, which we gauge through an annual employee engagement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 that allows us to monitor both engagement and satisfaction and provides an additional reference point for evaluating initiatives aimed at enhancing our employees’ experience.</w:t>
      </w:r>
    </w:p>
    <w:p>
      <w:pPr>
        <w:spacing w:after="0" w:line="6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We offer attractive compensation and benefit packages, which may include depending on location and eligibility,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paid time-off, 401(k) and Company match up to 4% (subject to the IRS annual limit), stock awards, employee stock purchase plans, health and wellness programs and other benefits. Our long-term equity compensation is intended to align management interests with those of our stockholders and to encourage the creation of long-term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CLA, our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In March, 2021, CLA reincorporated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Delaware and consummated a merger with OTI pursuant to an Agreement and Plan of Merger, dated as of December 21, 2020. OTI was incorporated in the state of Delaware on June 30, 2015.</w:t>
      </w:r>
    </w:p>
    <w:p>
      <w:pPr>
        <w:spacing w:after="0" w:line="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https://ouster.com</w:t>
      </w:r>
      <w:r>
        <w:rPr>
          <w:rFonts w:ascii="Times New Roman" w:cs="Times New Roman" w:eastAsia="Times New Roman" w:hAnsi="Times New Roman"/>
          <w:sz w:val="18"/>
          <w:szCs w:val="18"/>
          <w:color w:val="auto"/>
        </w:rPr>
        <w:t xml:space="preserve">. At our Investor Relations website, </w:t>
      </w:r>
      <w:r>
        <w:rPr>
          <w:rFonts w:ascii="Times New Roman" w:cs="Times New Roman" w:eastAsia="Times New Roman" w:hAnsi="Times New Roman"/>
          <w:sz w:val="18"/>
          <w:szCs w:val="18"/>
          <w:i w:val="1"/>
          <w:iCs w:val="1"/>
          <w:color w:val="auto"/>
        </w:rPr>
        <w:t>https://investors.ouster.com</w:t>
      </w:r>
      <w:r>
        <w:rPr>
          <w:rFonts w:ascii="Times New Roman" w:cs="Times New Roman" w:eastAsia="Times New Roman" w:hAnsi="Times New Roman"/>
          <w:sz w:val="18"/>
          <w:szCs w:val="18"/>
          <w:color w:val="auto"/>
        </w:rPr>
        <w:t>,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Our website and the information included in or linked to our website are not part of this Annual Report on Form 10-K or any other report we file with, or furnish to, the SEC.</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and uncertainties, some of which are described below. You should carefully consider the risks and uncertainties described below, together with all of the other information contained in this Annual Report on Form 10-K. The risks and uncertainties described below are not the only ones we face. Additional risks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Our company has a limited operating history, having been in operation since 2015. Our limited operating history makes it difficult for us to evaluate our future prospects. Certain factors that could alone or in combination prevent us from successfully commercializing our products include:</w:t>
      </w:r>
    </w:p>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 or supply significant parts needed for our production process;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successful relationships with our manufacturers and suppliers;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commercial production depending on scale and on a cost-effective basis in a timely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product offerings;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intellectual property;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market acceptance of our products with customers and maintain and expand customer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adaptability of our products and the ability of our customers to integrate our products into their products in a timely and effective manner;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direct and indirect competitors that may seek to enter the markets in which we expect to compete or that may seek to impose barriers to one or more markets that we intend to target;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long-lead time for development of market opportunities, for which we are only at an early stage of development;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revenue, budget, and manage our expenses;</w:t>
      </w:r>
    </w:p>
    <w:p>
      <w:pPr>
        <w:spacing w:after="0" w:line="63"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existing and new or modified local laws and regulations applicable to our business, or laws and regulations applicable to our customers for applications in which they may use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plan for and manage capital expenditures for our current and future products, and manage our supply chain and supplier relationships related to these current and future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changes and changes in the markets in which we operate and expect to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the value of our reputation and brand;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and business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talented people at all levels of our organization.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fail to understand fully or adequately address the challenges that we are currently encountering or that we may encounter in the future, including those challenges described here and elsewhere in this Part I, Item 1A. “Risk Factors,” our business, financial condition and results of operations could be adversely and materially affected. If the risks and uncertainties that we plan for when operating our business are incorrect or change, or if we fail to manage these risks successfully, our results of operations could differ materially from our expectations and our business, financial condition and results of operations could be adversely affected.</w:t>
      </w:r>
    </w:p>
    <w:p>
      <w:pPr>
        <w:spacing w:after="0" w:line="7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results will suffer if we do not recognize anticipated synergies, effectively manage the expanded operations or successfully integrate the businesses of Velodyne.</w:t>
      </w:r>
    </w:p>
    <w:p>
      <w:pPr>
        <w:spacing w:after="0" w:line="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future success will depend, in part, upon our ability to manage the expanded business, including challenges related to the management and monitoring of new operations and associated increased costs and complexity associated with the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Velodyne Merger and other mergers. If we are not able to successfully complete integrations in an efficient and cost-effective manner, the anticipated benefits of this merger may not be realized fully, or at all, or may take longer to realize than expected, and the value of our common stock may be affected adversely. An inability to realize the full extent of the anticipated benefits of the Velodyne Merger, as well as any delays encountered in the integration processes, could have an adverse effect upon on our business, financial condition or results of operations. In addition, the actual integrations may result in additional and unforeseen expenses, including increased legal, accounting and compliance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to date and may never achieve or sustain profitability.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experienced net losses in each year since our inception. In the years ended December 31, 2022 and 2021, we incurred net losses of $138.6 million and $94.0 million, respectively. We expect these losses to continue for at least the next several years as we expand our product offering and continue to scale our commercial operations and research and development program. As of December 31, 2022, we had an accumulated deficit of $441.9 million. Even if we are able to increase the sales of our products, there can be no assurance that we will be commercially successful or profitable.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we will continue to incur significant losses for the foreseeable future as we:</w:t>
      </w:r>
    </w:p>
    <w:p>
      <w:pPr>
        <w:spacing w:after="0" w:line="63" w:lineRule="exact"/>
        <w:rPr>
          <w:sz w:val="20"/>
          <w:szCs w:val="20"/>
          <w:color w:val="auto"/>
        </w:rPr>
      </w:pPr>
    </w:p>
    <w:p>
      <w:pPr>
        <w:ind w:left="660" w:right="3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as needed, to support investments in research and development (“R&amp;D”), in order to develop technology and related software and to support the compliance needs in connection with being a public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functions, including expansion of our customer support and distribution capabilities;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integrate the operations of Velodyne following our recent merger;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and manufacturing.</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products do not achieve sufficient market acceptance, we will not become profitable. If we fail to become profitable, or if we are unable to fund our business we may be unable to continue our operations. There can be no assurance that we will ever achieve or sustain profitability.</w:t>
      </w:r>
    </w:p>
    <w:p>
      <w:pPr>
        <w:spacing w:after="0" w:line="5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R&amp;D costs and devote significant resources to developing and commercializing new products, which could significantly affect our ability to become profitable and may not result in revenue to us. Any delay or interruption of the development and commercialization of new products may adversely affect our existing business and prospects for securing future business.</w:t>
      </w:r>
    </w:p>
    <w:p>
      <w:pPr>
        <w:spacing w:after="0" w:line="6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color w:val="auto"/>
        </w:rPr>
        <w:t>Our future growth depends on penetrating new markets, adapting existing products to new applications and customer requirements, and introducing new and effective products at an opportune time that may then achieve market acceptance. To remain competitive, we continue to develop new products. For</w:t>
      </w:r>
    </w:p>
    <w:p>
      <w:pPr>
        <w:ind w:right="100"/>
        <w:spacing w:after="0" w:line="254" w:lineRule="auto"/>
        <w:rPr>
          <w:sz w:val="20"/>
          <w:szCs w:val="20"/>
          <w:color w:val="auto"/>
        </w:rPr>
      </w:pPr>
      <w:r>
        <w:rPr>
          <w:rFonts w:ascii="Times New Roman" w:cs="Times New Roman" w:eastAsia="Times New Roman" w:hAnsi="Times New Roman"/>
          <w:sz w:val="18"/>
          <w:szCs w:val="18"/>
          <w:color w:val="auto"/>
        </w:rPr>
        <w:t>instance, last October, we announced our newest OS series scanning sensor, REV7, powered by its next-generation L3 chip. REV7 features the all-new OSDome sensor, as well as upgraded OS0, OS1, and OS2 sensors that deliver double the range, enhanced object detection, increased precision and accuracy, and greater reliability. introduced the market. In January 2023, we announced the release of our software, Ouster Gemini, a cloud-backed digital lidar perception platform for crowd analytics, security, and intelligent transportation systems. Ouster Gemini offers the ability to detect, classify, and track moving objects in real-time using the 3D data from a single or multiple fused Ouster lidar sensors. In connection with REV7, Ouster Gemini, and future releases, we expect to incur substantial, and potentially increasing, R&amp;D costs. Our R&amp;D expenses were $64.3 million and $34.6 million during the years ended December 31, 2022 and 2021, respectively, and are likely to grow in the future, particularly as a result of the Velodyne Merger. Because we account for R&amp;D as an operating expense, these expenditures will adversely affect our results of operations in the future.</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Further, our R&amp;D program may be delayed and may not produce timely results. If we cannot produce successful results in time to accommodate customers’ or potential customers’ development timelines, we may lose business. If we are unsuccessful in introducing these products in accordance with our product launch plans or any publicly announced launch dates, it may be injurious to our reputation and brand and adversely affect our ability to be competitive in our four target markets and potential new markets. In launching such products, we may face foreseen and unforeseen difficulties that adversely affect such the commercialization and could have a material adverse effect on our operations and business. Additionally, the success of our competitors’ R&amp;D efforts, including producing higher performing products or providing products competitive to our new products to our customers before us, may result in loss of business to us.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promise of new products and successful R&amp;D may even decrease our expected and actual revenue attributable to existing products, as historically, customers have delayed or cancelled outstanding purchasing commitments for certain products in anticipation of the release of new generation products from the Company. There is no guarantee that these delays and cancellations will not occur again in the future as we develop, announce and commercialize new products like our DF solid-state lidar sensor or our complementary software solutions.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overcome our limited sales history and establish and maintain confidence in our long-term business prospects among customers in our target markets or if our revenue opportunity does not materialize into sales and revenue, then our financial condition, operating results, business prospects and access to capital may suffer materially.</w:t>
      </w:r>
    </w:p>
    <w:p>
      <w:pPr>
        <w:spacing w:after="0" w:line="6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Our company has a limited sales history, as we only commenced selling our first revenue grade products in late 2018. Because of our limited sales history, we have limited experience managing and growing our relationships with existing customers and securing new customers in our target industries.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relationships with many of our existing customers are limited as they may not be prepared to select Ouster as a long-term supplier given our limited operating and sales history. To establish preliminary relationships with certain customers and to build their confidence, we have entered, and may continue to enter, into evaluation agreements, spot buy purchase orders, non-binding letters of intent, and strategic customer agreements. These agreements are largely non-binding, do not include any minimum obligation to purchase any quantities of any products at this time, and do not require that the parties enter into a subsequent definitive, long-term, binding agreements; however, these preliminary agreements assist the Company in building confidence with customers if we are able to effectively perform and otherwise maintain positive relationships with them. If we are unable to build confidence with our existing customers, either through these preliminary agreements (due to any failure to enter into or perform under the agreements) or otherwise, or if we are</w:t>
      </w:r>
    </w:p>
    <w:p>
      <w:pPr>
        <w:spacing w:after="0" w:line="1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unable secure opportunity from these non-binding agreements, involving strategic customer agreements, we may be unable to produce accurate forecasts and become profitable.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new customers, or customers that we inherited from the Velodyne Merger, may be less confident in us and less likely to purchase our products because of a lack of awareness about our products. They may also not be convinced that our business will succeed because of the absence of an established sales, service, support, and operating history. To address this, we must, among other activities, grow and improve our marketing capability and brand awareness, which may be costly. These activities may not be effective or could delay our ability to capitalize on the opportunities that we believe are suitable to our technology and products and may prevent us from successfully commercializing our products.</w:t>
      </w:r>
    </w:p>
    <w:p>
      <w:pPr>
        <w:spacing w:after="0" w:line="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To build and maintain our business, we must maintain confidence in our products, long-term financial viability and business prospects. Failure to establish and maintain customer confidence may also adversely affect our reputation and business among our suppliers, analysts, ratings agencies, stockholders and other interested parties.</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 and could cause our stock price to fluctuate or decline.</w:t>
      </w:r>
    </w:p>
    <w:p>
      <w:pPr>
        <w:spacing w:after="0" w:line="5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Our financial results may fluctuate as a result of a variety of factors, including:</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ultimate end market and customer adoption of our products and particular versions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length of production cycles for our customers to integrate our products into their broader platforms;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considerations and impacts on our costs of goods sold, such as shortages of semiconductor chips;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mix and average selling prices, including negotiated selling prices and long-term customer agreements;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or supplied components critical for the manufacture of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relating to our digital lidar technology and related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affecting us or applications in which our customers use our products or software;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epidemics or pandemics, including current business disruption and related financial impact resulting from the global COVID-19 health crisis;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or claims that may give rise to such costs; and</w:t>
      </w:r>
    </w:p>
    <w:p>
      <w:pPr>
        <w:spacing w:after="0" w:line="6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Many of these factors are outside of our control and may not accurately reflect the underlying performance of our business. The individual or cumulative effects of factors discussed above could result in large fluctuations and unpredictability in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and annual operating results. As a result, comparing our operating results on a period-to-period basis may not be meaningful.</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if our performance is consistent with any previously publicly stated guidance.</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margins could be adversely affected if we fail to maintain competitive average selling prices, high sales volumes, and/or fail to reduce product costs.</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Cost-cutting initiatives adopted by our customers often place increased downward pressure on our average selling prices. We also expect that any long term or high-volume agreements with customers may require step-downs in pricing over the term of the agreement or, if commercialized, over the period of production. We strive to keep our average selling price competitive and expect to achieve profitability by maintaining competitive average sales prices and through continually lower product costs. Our average selling price may be driven down by customer-specific selling price fluctuations such as non-standard discounts on large volume purchases. These lower average selling prices on large volume purchases may cause fluctuations in revenue and gross margins on a quarterly and annual basis and ultimately adversely affect our profitability. We have experienced and may in the future experience declines in the average selling prices of our products generally as our customers seek to commercialize autonomous systems at prices low enough to achieve market acceptance and as our competitors continue to produce and commercialize lower cost competing technologies. To achieve profitability and maintain margins, we will also need to continually reduce product and manufacturing costs. Reductions in product and manufacturing costs are principally achieved by scaling our production volumes and through step changes in manufacturing and continued engineering of the most cost-effective designs for our products. Further, as we continue to provide support for REV6, we anticipate downward pressure on our margins. In addition, we must continuously drive initiatives to reduce labor cost, improve worker efficiency, reduce the cost of materials and further lower overall product costs by carefully managing component prices, inventory and shipping cost. We need to continually increase sales volume and introduce new, lower-cost products in order to maintain our overall gross margin. If we are unable to maintain competitive average selling prices, increase our sales volume or successfully introduce new, low-cost products, our revenue and overall gross margin will likely decline.</w:t>
      </w:r>
    </w:p>
    <w:p>
      <w:pPr>
        <w:spacing w:after="0" w:line="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market participants that have substantially greater resources than us and against known and unknown market entrants who may disrupt our target markets.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target markets are highly competitive and we may not be able to compete effectively in the market against these competitors. Competitors may offer lidar products at lower prices than ours, including pricing that we believe is below their cost, or may offer superior performing lidar products. These companies also compete with us indirectly by attempting to solve some of the same challenges with different technology. Established competitors in the market for lidar sensors have significantly greater resources and more experience than we do. These competitors have commercialized lidar technology that has achieved market adoption, strong brand recognition and may continue to improve in both anticipated and unanticipated ways. They may also have entered into commercial relationships with key customers and have built relationships and dependencies between themselves and those key customers.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current market competitors, new competitors may enter the lidar market or create products that function as an alternative to lidar, which may</w:t>
      </w:r>
    </w:p>
    <w:p>
      <w:pPr>
        <w:spacing w:after="0" w:line="5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disrupt the commercial landscape of our target markets in ways that we may not be able to adapt to adequately and in a timely fashion. The already competitive landscape of the lidar market, along with both foreseeable and unforeseeable entries of competitors and lidar technology from those competitors in our target markets, along with the potential emergence of new non-lidar solutions, may result in downward pricing pressure, reduced margins and may impede our ability to increase the sales of our products or cause us to lose market share, any of which will adversely affect our business, results of operations and financial condition.</w:t>
      </w:r>
    </w:p>
    <w:p>
      <w:pPr>
        <w:spacing w:after="0" w:line="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many customers that are large corporations with substantial negotiating power and exacting product standards. If we are unable to sell our products to these customers, our prospects and results of operations will be adversely affected.</w:t>
      </w:r>
    </w:p>
    <w:p>
      <w:pPr>
        <w:spacing w:after="0" w:line="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Many of our current and potential customers are large corporations that often possess significant leverage over their suppliers, and can successfully demand contract terms favorable to themselves, such as reserving the right to terminate their supply contracts for convenience. The disparities in negotiating power between us and larger corporations have required, and may require in the future, that we accept less favorable contract terms. These large corporations also have exacting technical specifications and requirements that we have been unable to, and may continue to be unable to, meet, thereby precluding our ability to secure sales. Meeting the technical requirements to secure and maintain significant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contracts with any of these companies will require a substantial investment of our time and resources, and if we fail to comply with our customers’ technical specifications and standards, we may lose existing and future business. Even when we succeed in securing contracts, these large companies have required, and may require in the future, evolving technical specifications for our products and may terminate our agreement or make a later determination that our products are not satisfactory, and even set a standard for the industry that we may not be able to meet. We therefore have no assurance that we can establish relationships with these companies, that our products will meet the needs of these or other companies, or that a contract with these companies will culminate in significant or any product sales.</w:t>
      </w:r>
    </w:p>
    <w:p>
      <w:pPr>
        <w:spacing w:after="0" w:line="7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Furthermore, in some instances, these large companies may have internally developed products and solutions that are competitive to our products. These companies may have substantial research and development resources, which may allow them to acquire or develop independently, or in partnership with others, competitive technologies. Such activities may foreclose significant sales opportunities for our products.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are not selected for inclusion in our target markets, our business will be materially and adversely affected.</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Although our products are designed for use in multiple markets, each of our target or new markets may have unique features and demands. If we are unsuccessful in meeting this demand, it may affect our entrance into these target or new markets which could adversely affect our future results of operations.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products are used in a wide variety of existing and emerging use cases in the industrial market, where our target customers are generally engaged in the manufacturing, operation, or after-market modification of heavy industrial machinery. These tend to be large companies that move slowly to larger scale production, often with years-long timelines. If our products are not chosen for deployment in these projects, or we lose a program under any circumstances, we may not have an opportunity to obtain that business again for many years. Industrial automation is a demanding industry with product specifications that our products may not always meet.</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smart infrastructure market, which generally consists of public bodies and private commercial businesses engaging in the monitoring and analysis of pedestrian and vehicle movements for the purpose of providing building security, improving road user safety, and increasing roadway efficiency. This is still a nascent market, and while this industry is experimenting with the use of lidar in these applications, our customers may decide that lidar is not a viable solution for a variety of reasons, including price points, interoperability, and integration of lidar sensors. Customers in this market are often local governments, such as city governments, which may be subject to political pressures, and may not control their own budgets. For example, programs could be cancelled due to legislative action that is out of a local government’s control.</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products also may be purchased by automotive OEMs and their suppliers in connection with their design and development of autonomous driving and ADAS technology. These programs are time and resource intensive, requiring thousands of man hours and several years. Automotive OEMs and suppliers undertake extensive testing or qualification processes prior to placing orders for large quantities of products such as ours, because such products will function as part of a larger system or platform and must meet other specifications. We spend significant time and resources to pursue the business of having our products selected by automotive OEMs and their suppliers for use in the manufacture of a particular vehicle model. If we are not chosen to supply products to Tiers 1s, OEMs may be less inclined to select our products for a particular vehicle model, which could turn into a lost opportunity to supply our products to this automotive OEM for a period of several years. If our products are not selected by an automotive OEM or its suppliers for one vehicle model or if our products are not successful in that vehicle model, it is less likely that our products will be deployed in other vehicle models of that OEM. If we fail to win a significant number of vehicle models from one or more of automotive OEMs or their suppliers, our business, results of operations and financial condition may be adversely affected.</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products also are used in a wide variety of existing and emerging use cases in the robotics market, in which our customers are generally engaged in the design, production, operation, or after-market modification of small mobile unmanned vehicles, which includes wheeled robots, legged robots, and drones. This is a competitive market that often has strict functional and pricing requirements for products. If we are unable to make products that meet these requirements, or sell products at the required price point, we could lose this business to competitors or competitive technologies. There are diverse and potentially conflicting requirements across the robotics industry that may force us to prioritize certain segments over others, resulting in a lower total available market. Our target markets involve risks of program delay, loss, and cancellation.</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could result in unforeseen delays or expenses from undetected defects, errors or reliability issues in hardware or software which could reduce the market adoption of our new products, damage our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reputation with current or prospective customers, expose us to product liability and other claims and adversely affect our operating costs.</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products are highly technical and very complex and require high standards to manufacture and have in the past and will likely in the future experience defects, errors or reliability issues at various stages of development. We may be unable to timely release new products, manufacture existing products, correct problems that have arisen or correct such problems to our customers’ satisfaction. Additionally, undetected errors, defects or reliability issues, especially as new products are introduced or as new versions are released, could result in serious injury to the end users of technology incorporating our products, or those in the surrounding area, our customers never being able to commercialize technology incorporating our products, litigation against us, negative publicity and other consequences. These risks are particularly prevalent in the autonomous driving and ADAS markets. Some errors or defects in our products may only be discovered after they have been tested, commercialized and deployed by customers. If that is the case, we may incur significant additional development costs and product recall expenses, repair and/or replacement costs. These problems may also result in claims, including class actions, against us by our customers or others. Our reputation or brand may be damaged as a result of these problems and customers may be reluctant to buy our products, which could adversely affect our ability to retain existing customers and attract new customers and could adversely affect our financial results.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could face material legal claims for breach of contract, product liability, fraud, tort or breach of warranty as a result of these problems. Defending a lawsuit, regardless of its merit, could be costly and may divert management’s attention and adversely affect the market’s perception of us and our products. In addition, our business liability insurance coverage could prove inadequate with respect to a claim and future coverage may be unavailable on acceptable terms or at all. These product-related issues could result in claims against us and our business could be adversely affected.</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customers use our solutions in autonomous driving and ADAS applications, which present the risk of significant injury, including fatalities. We may be subject to claims if a product using our lidar technology is involved in an accident and persons are injured or purport to be injured. Any insurance that we carry may not be sufficient or it may not apply to all situations. Similarly, our customers could be subjected to claims as a result of such accidents and bring legal claims against us to attempt to hold us liable. In addition, if lawmakers or governmental agencies were to determine that the use of our products or autonomous driving or certain ADAS applications increased the risk of injury to all or a subset of our customers, they may pass laws or adopt regulations that limit the use of our products or increase our liability associated with the use of our products or that regulate the use of or delay the deployment of autonomous driving and ADAS technology. Any of these events could adversely affect our brand, relationships with customers, operating results or financial condition.</w:t>
      </w:r>
    </w:p>
    <w:p>
      <w:pPr>
        <w:spacing w:after="0" w:line="80"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direct or indirect liabilities in connection with our product warranties which could adversely affect our business and operating results.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typically offer a limited product warranty that requires our products to conform to the applicable specifications and be free from defects in materials and workmanship for a limited warranty period. As a result of increased competition and changing standards in our target markets, we may be required to increase our warranty period length and the scope of our warranty. To be competitive, we may be required to implement these increases before we are able to determine the economic impact of an increase. Accordingly, we may be at risk that any such warranty increase could result in foreseeable and unforeseeable losses for the Company.</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particular, the usage of our products by target customers could make us liable for warranty claims and pecuniary and reputational damages. In our target markets, our products may be placed in physical locations and environments that present harsh operating conditions, or that present a risk of product damage due to accidents or vandalism. This may result in more product failures than we anticipate, and may require us to provide warranties for our products beyond our knowledge of their performance. This could increase the rate of customer returns and warranty claims, resulting in higher-than-expected operating costs for us. Product failures may also affect market acceptance of our products and our ability to win future business. Any negative publicity related to the perceived quality of our products could affect our brand image, partner and customer demand, and adversely affect our operating results and financial condition.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order to execute our business plan, which may not be available on terms acceptable to us, or at 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future we may require additional capital to fund our R&amp;D efforts and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In order to stay on our growth trajectory and further business relationships with current or potential customers or partners, or for other reasons, we may issue equity or equity-linked securities to such current or potential customers or partners. We may not be able to timely secure additional debt or equity financing on favorable terms, or at all, particularly in an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uncertain economic environment. The Company maintains the majority of its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or other equity-linked securities or if it issues equity or equity-linked securities to current or potential customers to further business relationships,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when we require it, our ability to continue to grow or support our business and to respond to business challenges could be significantly limited and our business results and operations could be materially and adversely affected.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indebtedness.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we had total outstanding debt of $40.0 million under our Loan and Security Agreement with Hercules Capital, Inc. (“Hercules”), as amended. We may incur additional indebtedness in the future. Our leverage could have important consequences to us, including:</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borrowings under our current debt facilities are at variable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make payments on our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pay future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the storage and organization retail industry or the general economy and limiting our flexibility in planning for, or reacting to, changes in our business;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debt, thereby reducing our ability to use our cash flow to fund our operations, capital expenditures, and future business opportunities;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comply with financial and operational covenants as well as leverage covenants, restricting us, among other things, from placing liens on our assets, making investments, incurring debt, making payments to our equity or debt holders and engaging in transactions with affiliates;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and general corporate or other purposes;</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us from taking advantage of business opportunities as they arise or successfully carrying out our plans to expand our store base and product offerings;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who may be less leveraged.</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Consequences of this indebtedness may require a substantial portion of cash flow from operations to be dedicated to the payment of principal and interest on our debt, thereby reducing our ability to use our cash flow to fund operations, capital expenditures, and future business opportunities. If we cannot generate sufficient cash flow from operations to service our debt, we may need to refinance our debt, dispose of assets or issue equity to obtain necessary funds. We do not know whether we would be able to take any of these actions on a timely basis, on terms satisfactory to us, or at all. A failure by us or our subsidiaries to comply with the agreements governing our indebtedness could result in an event of default under such indebtedness, which could adversely affect our ability to respond to changes in our business and manage our operations. Upon the occurrence of an event of default under any of the agreements governing our indebtedness, the lenders could elect to declare all amounts outstanding to be due and payable and exercise other remedies as set forth in the agreements. If any of our indebtedness were to be accelerated, there can be no assurance that our assets would be sufficient to repay this indebtedness in full, which could have a material adverse effect on our ability to continue to operate as a going concern.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adoption of lidar remains uncertain, and it is difficult to forecast long-term end-customer adoption rates and demand for our products.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Substantially all of our revenue is generated by the sale of our digital lidar sensors. Given the evolving nature of the markets in which we operate, it is difficult to predict the customer demand or adoption rates for lidar technology generally or our products specifically. If demand does not develop or if we cannot accurately forecast customer demand, our future financial results, business, results of operations and financial condition will be adversely affected. If prospective customers have a negative perception of, or experience with, lidar or a competitor’s lidar products they may be reluctant to adopt lidar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or specifically our products. Any negative publicity, regardless of its accuracy, could materially and adversely affect our business.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existing or new non-lidar technologies may emerge as customers’ preferred alternative to lidar and may adversely affect the adoption of our lidar solutions and of lidar generally. Significant developments in alternative technologies, such as cameras and radar, may materially and adversely affect our business, prospects, financial condition and operating results in ways we do not currently anticipate. Any failure by us or the lidar market generally to develop new or enhanced technologies or processes, or to react to changes in existing technologies, could adversely affect the adoption of lidar and sales of our current products or materially delay the development and introduction of new and enhanced products, which could result in the loss of competitiveness of our products, decreased revenue and a loss of market share to competitors.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pursuing opportunities in markets that involve novel applications that are rapidly evolving, and that include both technological and regulatory uncertainties, making it difficult to predict the size and timing of market opportunities. For example, autonomous driving and lidar-based ADAS applications require complex technology, stringent testing, and rigorous safety controls. Because these automotive systems are both themselves complex, and also depend on complex technologies from many suppliers, commercialization of autonomous driving or ADAS products could be delayed or impaired on account of technological capabilities that are not sufficiently advanced for deployment in vehicles. These standards may never be met at all. Additionally, ADAS has yet to, and may never, achieve widespread adoption, which would reduce demand for lidar in that market. Similar concerns are also applicable to our other three verticals.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we currently have contracts with numerous commercial customers across diverse markets, these customers may not be able to utilize our technology in the foreseeable future, or at all. Regulatory, safety or reliability developments, many of which are outside of our control, could also cause delays or otherwise impair commercial adoption of these new technologies, which will adversely affect our growth. Our future financial performance will depend on our ability to make timely investments in the correct market opportunities in this environment.</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of our customers are still in the testing and development phases of applications with our products and it cannot be certain that they will commercialize products or systems with our digital lidar sensors or at all. We believe adoption of lidar products, including our digital lidar sensors, will depend on numerous factors, including: whether the technological capabilities of lidar and lidar-based products meet users’ current and evolving needs; whether the benefits of designing lidar into larger sensing systems outweigh the costs, complexity and time needed to deploy such technology or replace or modify existing systems that may have used other modalities such as cameras and radars; whether users in other applications can move beyond the testing and development phases and proceed to commercializing systems supported by lidar technology and whether lidar developers can keep pace with rapid technological changes in certain developing markets. If lidar technology generally does not achieve commercial success or if the market adoption is slower than expected, our business, results of operation and financial condition will be materially and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our operations.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experiencing significant growth in the scope and nature of our operations. Our ability to manage our operations and future growth will require us to continue to improve our operational, financial and management controls, compliance programs and reporting systems. We are currently in the process of strengthening our compliance programs, including our compliance programs related to product certifications, quality management systems certifications, environmental certifications, export controls, privacy and cybersecurity and anti-corruption. We may not be able to implement improvements in an efficient or timely manner and may discover deficiencies in existing controls, programs, systems and procedures, which could have an adverse effect on our business, reputation and financial results. Additionally, rapid growth in our business may place a strain on our human and capital resources. Furthermore, we expect to continue to conduct our business internationally and anticipate increased business operations in the United States, Europe, Asia and the Middle East and Africa. These diversified, global operations place increased demands on our limited resources and require us to substantially expand the capabilities of our administrative and operational resources and to attract, train, manage and retain qualified management, technical, manufacturing, engineering, sales and other personnel. As our operations expand domestically and internationally, we will need to continue to manage multiple locations and additional relationships with various customers, partners, suppliers and other third parties across several markets.</w:t>
      </w:r>
    </w:p>
    <w:p>
      <w:pPr>
        <w:spacing w:after="0" w:line="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focusing our current commercial efforts across four distinct target markets. We will be required to prioritize our limited financial and managerial resources as we pursue particular development and commercialization efforts in each target market. Any resources we expend on one or more of these efforts could be at the expense of other potentially profitable opportunities.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effectively grow our global sales and marketing organization, or maintain or grow an effective network of distributors, resellers, and integrators, our business prospects, results of operations and financial condition could be adversely affected.</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order to generate future sales growth, we will need to expand the size and geographic coverage of our field organization, including marketing, direct sales, customer support and technical services. Accordingly, our future success will depend largely on our ability to hire, train, retain, and motivate skilled regional sales managers and direct sales representatives with significant technical knowledge and understanding of our products. Because of the competition for their skillset, we may not be able to attract or retain such personnel on reasonable terms, if at all. If we are unable to grow our global sales and marketing organizations, we may not be able to increase our revenue, which would adversely affect our business, financial condition and results of operations.</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we rely on a network of independent distributors to help generate sales of our products internationally. If a dispute arises with a distributor or if we terminate our relationship with a distributor or a distributor goes out of business, it may take time to identify an alternative distributor, to train new personnel to market our products, and our ability to sell our products in a region formerly serviced by a terminated distributor could be harmed. In addition, our distributors may not successfully market and sell our products and may not devote sufficient time and resources that we believe are necessary to enable our products to develop, achieve or sustain market acceptance. Any of these factors could reduce our revenue or impair our revenue growth in affected markets, increase our costs in those markets or damage our reputation. In addition, if an independent distributor were to depart and be retained by one of our competitors, we may be unable to prevent that distributor from soliciting business from our existing customers, which could further adversely affect us. As a result of our reliance on third-party distributors, we may be subject to disruptions and increased costs due to factors beyond our control, including labor strikes, third-party errors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forecasts of market growth may not be accurate.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included in this Annual Report on Form 10-K and in our other public disclosures are subject to significant uncertainty and are based on assumptions and estimates that may not prove to be accurate. The forecasts and estimates relating to the expected size and growth of the markets for lidar-based technology may prove to be inaccurate. Even if these markets experience the forecasted growth, we may not grow our business at similar rates, or at all. Our future growth is subject to many factors, including market adoption of our products, which is subject to many risks and uncertainties. Accordingly, the forecasts and estimates of market size and growth described in this Annual Report on Form 10-K and in our other public disclosures, should not be taken as indicative of our future growth.</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and operations in international markets expose us to operational, financial and regulatory risks.</w:t>
      </w:r>
    </w:p>
    <w:p>
      <w:pPr>
        <w:spacing w:after="0" w:line="12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International sales comprise a significant amount of our overall revenue and while growing our international sales is an important part of our growth strategy, these efforts may not be successful. International operations are subject to a number of other risks, including:</w:t>
      </w:r>
    </w:p>
    <w:p>
      <w:pPr>
        <w:spacing w:after="0" w:line="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laws and the impact of tariffs;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war, international terrorism and anti-American sentiment, particularly in emerging markets and the war between Russia and Ukraine;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for violations of anti-corruption laws and regulations, such as those related to bribery and fraud;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locally branded products, and laws and business practices favoring local competition;</w:t>
      </w:r>
    </w:p>
    <w:p>
      <w:pPr>
        <w:spacing w:after="0" w:line="63"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consequences of, and uncertainty related to, the “Brexit” process in the United Kingdom, which could lead to additional expense and complexity in doing business there;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difficulty in managing inventory;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in collecting trade receivables;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revenue recognition;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effective protection and/or lack of enforceability of intellectual property;</w:t>
      </w:r>
    </w:p>
    <w:p>
      <w:pPr>
        <w:spacing w:after="0" w:line="6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regulation of the autonomous or other systems or products using our products and stringent consumer protection and product compliance regulations, including but not limited to General Data Protection Regulation in the European Union, European competition law, the Restriction of Hazardous Substances Directive, the Waste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60"/>
        <w:spacing w:after="0" w:line="281" w:lineRule="auto"/>
        <w:rPr>
          <w:sz w:val="20"/>
          <w:szCs w:val="20"/>
          <w:color w:val="auto"/>
        </w:rPr>
      </w:pPr>
      <w:r>
        <w:rPr>
          <w:rFonts w:ascii="Times New Roman" w:cs="Times New Roman" w:eastAsia="Times New Roman" w:hAnsi="Times New Roman"/>
          <w:sz w:val="18"/>
          <w:szCs w:val="18"/>
          <w:color w:val="auto"/>
        </w:rPr>
        <w:t>Electrical and Electronic Equipment Directive and the European Ecodesign Directive that are costly to comply with and may vary from country to country;</w:t>
      </w:r>
    </w:p>
    <w:p>
      <w:pPr>
        <w:spacing w:after="0" w:line="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tax and customs duty laws or changes in the enforcement, application or interpretation of such laws;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government’s restrictions on certain technology transfer to certain countries of concern.</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occurrence of any of these risks could negatively affect our international business and consequently our business, operating results, and financial condition.</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 of cancellation or postponement of our contracts with customers or the unsuccessful implementation of our products, which may adversely affect our business, results of operations and financial condition.</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experienced, and may experience in the future, unexpected cancellations of major purchases of our products, which has affected and may adversely affect our results of operations. Prospective customers across our target markets generally must make significant commitments of resources to test and validate our products and confirm that they can be integrated with other technologies before including them in any particular system, product or model. Our products must meet customer specifications for quality, reliability and performance. Integration of our products may reveal errors, defects or incompatibilities with other sensing modalities that, if we are unable to correct them, may result in loss of customers, loss of market share, damage to our brand and reputation, increased service and replacement costs, lack of profitability, and constitute a hindrance to market acceptance. Although our agreements may contain provisions that aim at limiting our liability for damages resulting from defects in our products, such limitations and disclaimers may not be enforceable or otherwise effectively protect us from such claims, and we may have to indemnify our customers against liabilities arising from defects in our products or in their solutions that incorporate our products. These liabilities may also include costs incurred by our channel partners or end users to correct problems or replace our products, which could adversely affect our operating results and business prospects. These inherent operational risks are all the more important that the development cycles of our products with new customers vary widely depending on the application, market, customer and the complexity of the product. In our four target markets, development cycles can be six months to seven or more years. These development cycles require us to invest significant resources prior to realizing any revenue from the commercialization. Our revenue growth may be impaired if the system, product or vehicle model that includes our digital lidar sensors is unsuccessful, including for reasons unrelated to our technology or software. Long development cycles and product cancellations or postponements may adversely affect our business, results of operations and financial condition.</w:t>
      </w:r>
    </w:p>
    <w:p>
      <w:pPr>
        <w:spacing w:after="0" w:line="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manage our inventory, we could lose sales or incur higher inventory-related expenses, which could negatively affect our operating results.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forecast inventory needs and expenses, place orders sufficiently in advance with our suppliers and manufacturing partners and manufacture products based on our estimates of future demand for particular products. Fluctuations in the adoption of lidar products may affect our ability to forecast our future operating results, including revenue, gross margins, cash flows and profitability. Our ability to accurately forecast demand for our products could be affected by many factors, including the rapidly changing nature of our current target markets, the uncertainty surrounding the market acceptance and commercialization of lidar technology, the emergence of new markets, an increase or decrease in customer demand for our products or for products and services of our competitors, product introductions by competitors, the COVID-19 pandemic, other epidemics and public health crises, and any associated work stoppages or interruptions, unanticipated changes in general market conditions and the weakening of economic conditions or consumer confidence in future economic conditions. We may face challenges acquiring adequate supplies to manufacture our products and we, Benchmark and Fabrinet may not be able to manufacture our sensors at a rate necessary to satisfy the levels of demand, which would negatively affect our short-term and long-term growth. This risk may be exacerbated by the fact that we may not carry or be able to obtain from our suppliers a significant amount of inventory to satisfy short-term demand increases. If we fail to accurately forecast customer demand, we may experience excess inventory levels or a shortage of products available for sale.</w:t>
      </w:r>
    </w:p>
    <w:p>
      <w:pPr>
        <w:spacing w:after="0" w:line="8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Inventory levels in excess of customer demand have resulted and may in the future result in inventory write-downs or write-offs and the sale of excess inventory at discounted prices, which would adversely affect our financial results, including our gross margin, and have a negative effect on our brand. Conversely, if we underestimate customer demand for our products, we may not be able to deliver products to meet our requirements, and this could result in damage to our brand and customer relationships and adversely affect our revenue and operating results.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 of write-downs on the value of our inventory and other assets, in addition to purchase commitment cancellation risk.</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record a write-down for product and component inventories that have become obsolete or exceed anticipated demand, or for which cost exceeds net realizable value. We also accrue necessary cancellation fee reserves for orders of excess products and components. We review long-lived assets, including capital assets held at our suppliers’ facilities, for impairment whenever events or circumstances indicate the assets may not be recoverable. If we determine that an impairment has occurred, we record a write-down equal to the amount by which the carrying value of the asset exceeds its fair value. No assurance can be given that we will not incur write-downs, fees, impairments and other charges given the rapid and unpredictable pace of product obsolescence in the industries in which we compete.</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order components for our products and build inventory in advance of product manufacturing and shipments. Manufacturing purchase obligations cover our forecasted component and manufacturing requirements, typically for periods up to three months. Because our target markets are volatile, competitive and subject to rapid technology and price changes, and because we have limited sales history, there is a risk we will forecast incorrectly and order or produce excess or insufficient amounts of components or products, or not fully utilize firm our purchase commitments.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if our customers become unable to, or otherwise do not, pay their invoices.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If one or more of our major customers is unable to pay our invoices as they become due or a customer simply refuses to make such payments if it experiences financial difficulties, our business would be adversely affected. If a major customer were to enter into bankruptcy proceedings or similar proceedings whereby contractual commitments are subject to stay of execution and the possibility of legal or other modification, we could be forced to record a substantial loss. Additionally, a number of our customers are startup companies, small and mid-sized business, that are privately funded, have limited resources, and do not have a history of creditworthiness that we can audit to determine reliability and increase the potential risk to record potential losses. These companies could fail to raise enough capital and have to shut down operations. Even if they are financially solvent and stable and we are successful in securing a commercial relationship with them, their business plans for future programs may be inherently uncertain and unpredictable, and less structured than established companies.</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credit risk on our trade accounts receivable, supplier non-trade receivables and prepayments related to long-term supply agreements, and this risk is heightened during periods when economic conditions worsen.</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sell our products directly to small and mid-sized businesses and educational customers. Our outstanding trade receivables are not covered by collateral, third-party bank support or financing arrangements, or credit insurance. Our exposure to credit and collectability risk on our trade receivables is higher in certain international markets and our ability to mitigate such risks may be limited. We also have unsecured supplier non-trade receivables resulting from purchases of components by outsourcing partners and other vendors that manufacture sub-assemblies or assemble final products for us. In addition, from time to time, we may make prepayments associated with long-term supply agreements to secure supply of inventory components. While we are implementing procedures to monitor and limit exposure to credit risk on our trade and supplier non-trade receivables, there can be no assurance such procedures will effectively limit our credit risk and avoid losses.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we had $246.2 million of U.S. federal and $124.9 million of state net operating loss carryforwards available to reduce future taxable income. Of the $246.2 million in U.S. federal net operating loss carryforwards, $237.7 million will be carried forward indefinitely. Of our U.S. state net operating loss carryforwards, $124.9 million less than $0.1 million will begin to expire in 2031. It is possible that we will not generate taxable income in time to use these net operating loss carryforwards before their expiration (if we generate taxable income at all).</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federal and state net operating loss carryforwards and certain tax credits may be subject to significant limitations under Section 382 and Section 383 of the Internal Revenue Code, respectively, and similar provisions of state law. Under those sections of the Internal Revenue Code, if a corporation undergoes an “ownership change,” the corporation’s ability to use its pre-change net operating loss carryforwards and other pre-change tax attributes, such as research tax credits, to offset its post-change income or taxes may be limited. In general, an “ownership change” will occur if there is a cumulative change in our ownership by certain significant shareholders that exceeds 50 percentage points over a rolling three-year period. Similar rules may apply under state tax laws. The Company has experienced ownership changes since its inception, and may experience ownership changes in the future as a result of future transactions in our stock, including the closing of the Velodyne Merger. If it is determined that we have in the past experienced an ownership change, or if we undergo one or more ownership changes in the future, then our ability to utilize our U.S. federal and state net operating loss carryforwards or other tax attributes may be limited or eliminated.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Key components in our products come from limited or single source third party suppliers, and we expect to rely on third parties to manufacture a significant portion of our products for the foreseeable future. Interruptions in our relationships with these third parties could adversely impact our business.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third party manufacturers, including Benchmark Electronics, Inc. (“Benchmark”) and Fabrinet USA Inc. (“Fabrinet”), to supply our products. These arrangements are intended to lower our operating costs, but they also reduce our direct control over production and distribution. This diminished control may have an adverse effect on the quality or quantity of products or services, or our flexibility to respond to changing conditions. If Benchmark or any of our third-party component suppliers or logistics and transportation partners experience interruptions, delays or disruptions in supplying their products or services, including by natural disasters, trade restrictions, the global COVID-19 pandemic, other epidemics and public health crises, or work stoppages or capacity constraints, our ability to ship products to distributors and customers may be delayed. In addition, unfavorable economic conditions could result in financial distress among third-party suppliers or manufacturers upon which we rely, thereby increasing the risk of disruption of supplies necessary to fulfill our production requirements and meet customer demands. Additionally, if any of these third parties on whom we rely were to experience quality control problems in their operations and our products do not meet customer or regulatory requirements, we could be required to cover the cost of repair or replacement of any defective products. These delays or product quality issues could have an immediate and material adverse effect on our ability to fulfill orders and could have a negative effect on our operating results. In addition, such delays or issues with product quality could adversely affect our reputation and our relationship with our customers, distributors, value added software resellers, and integrators.</w:t>
      </w:r>
    </w:p>
    <w:p>
      <w:pPr>
        <w:spacing w:after="0" w:line="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these third parties experience financial, operational, manufacturing capacity or other difficulties, or experience shortages in required components, or if they are otherwise unable or unwilling to continue to manufacture our products in required volumes or at all, our supply may be disrupted, we may be required to seek alternate manufacturers and we may be required to re-design our products. It would be time-consuming, and could be costly and impracticable, to begin to use new manufacturers, components or designs, and such changes could cause significant interruptions in supply and could have an adverse effect on our ability to meet our scheduled product deliveries and may subsequently lead to the loss of sales. While we take measures to protect our trade secrets, the use of third-party suppliers and manufacturers may also risk disclosure of our innovative and proprietary manufacturing methodologies, which could adversely affect our business.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there are a limited number of competent, high-quality suppliers in the industry that meet our strict quality and control standards, and as we seek to obtain additional or alternative supplier arrangements in the future, there can be no assurance that we would be able to do so on satisfactory terms, in a timely manner, or at all. Our suppliers could also discontinue or modify components used in our products. In some cases, the lead times associated with certain components are lengthy and preclude rapid changes in quantities and delivery schedules. We may in the future experience component shortages and price fluctuations of certain key components and materials, and the predictability of the availability and pricing of these components may be limited. Component shortages or pricing fluctuations could be material in the future. In the event of a component shortage, supply interruption or material pricing change from suppliers of these components, we may not be able to develop alternate sources in a timely manner or at all in the case of sole or limited sources. Developing alternate sources of supply for these components may be time-consuming, difficult, and costly and we may not be able to source these components on terms that are acceptable to us, or at all,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scheduled product deliveries to our customers. This could adversely affect our relationships with customers and distributors and could cause delays in shipment of our products and adversely affect our operating results. In addition, increased component costs could result in lower gross margins. Even where we are able to pass increased component costs along to our customers, there may be a lapse of time before it is possible to do so, such that we must absorb the increased cost. If we are unable to buy these components in quantities sufficient to meet our requirements on a timely basis, we will not be able to deliver our products to our customers, and cause our customers to use competitors’ products instead of ours.</w:t>
      </w:r>
    </w:p>
    <w:p>
      <w:pPr>
        <w:spacing w:after="0" w:line="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Should operations at our third-party suppliers, including Benchmark and Fabrinet, encounter disruptions or losses that may be caused by work stoppages, disease outbreaks or pandemics, acts of war, terrorism, fire, earthquakes, flooding or other natural disasters, it could result in delays, postponement or reduce production of our products, which could have a material adverse effect on our business, results of operations and financial condition until such time as such production disruption is resolved or an alternate source of production or supply is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Outsourcing a substantial percentage of our manufacturing outside of the United States involves certain risks or may not be successful, which could harm our ability to deliver products and recognize revenue.</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Historically, we manufactured all of our digital sensors at our facility in San Francisco, California. We intend to maintain a portion of our manufacturing at this facility; however, in 2019, we began moving a portion of our manufacturing operations to a manufacturing facility in Thailand in connection with our relationship with Benchmark, which for the year ended December 31, 2022, accounted for a majority of our manufacturing output. Any substantial delay in bringing this facility up to full production on our current schedule may hinder our ability to produce all of the products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If and when this manufacturing facility is brought up to full production according to our current schedule, it may not provide us with all of the operational and financial benefits we expect to receive.</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invested in manufacturing process equipment which is held at Benchmark’s facility, and we may make prepayments to some of our suppliers associated with long-term supply agreements. While these arrangements help ensure the supply of components and finished goods, if our co-manufacturer or suppliers experience severe financial problems or other disruptions in their business, such continued supply would be reduced or terminated, and the recoverability of manufacturing process equipment or prepayments would be negatively impacted.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manufacturing outside the United States is subject to several inherent risks, including:</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regulatory requirements;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trade barriers and restrictions;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1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plan to continue working with Fabrinet, which was historically Velodyne’s primary manufacturing partner, for the manufacturing output of our Velodyne sensors. Integration with Fabrinet may require additional capital expenditures, efforts and attention from our management and personnel, is subject to similar risks as those enumerated with respect to Benchmark, and potentially higher risks inherent to building a new relationship.</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long-term, committed supply contracts with many of our suppliers. Loss of one or more of these suppliers or our inability to identify and establish relationships with new suppliers could harm our business and impede our growth.</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we do not maintain long-term supply contracts, any of our suppliers could seek to alter or terminate its relationship with us at any time, leaving us with periods during which we have limited or no ability to manufacture our products. The production of our products is dependent on producing or sourcing certain key components, including semiconductor chips, and raw materials at acceptable price levels. If we are unable to adequately reduce and control the costs of such key components, we will be unable to realize manufacturing costs targets, which could reduce the market adoption of our products, damage our reputation with current or prospective customers, and materially and adversely impact our brand, business, prospects, financial condition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industries we target or the global economy more generally could have adverse effects on our results of operations.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While we make our strategic planning decisions based on the assumption that the markets we are targeting will grow, our business is dependent, in large part on, and directly affected by, business cycles and other factors affecting the robotics, industrial automation, smart infrastructure, and transportation industries and global economy generally. Our target markets are highly cyclical and depend on general economic conditions and other factors, including consumer spending and preferences, changes in interest rates and credit availability, consumer confidence, inflation, environmental impact, governmental incentives and regulatory requirements, political volatility, labor relations issues, trade agreements and other factors.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example, general inflation in the United States,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w:t>
      </w:r>
    </w:p>
    <w:p>
      <w:pPr>
        <w:spacing w:after="0" w:line="71"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in part on recruiting and retaining key personnel and if we fail to do so, it may be more difficult for us to execute our business strategy. We are currently a small organization and may need to hire additional qualified personnel to effectively implement our strategic plan.</w:t>
      </w:r>
    </w:p>
    <w:p>
      <w:pPr>
        <w:spacing w:after="0" w:line="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highly qualified management, technical, manufacturing, engineering and sales personnel. In particular, our success may depend on our ability to recruit and retain management personnel who are qualified to manage a public company. We are highly dependent on our senior management, including our founders, Angus Pacala and Mark Frichtl. If any of such persons left, our business could be harmed. All of our US based employees are “at-will” employees. The loss of the services of one or more of our key employees could delay or have an impact on the successful commercialization of our products. We do not maintain key man insurance.</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successfully execute on our strategic plan depends in part on our ability to continue to appropriately build our organization and hire qualified personnel, especially with engineering, sales, technical, and manufacturing expertise. Competition for qualified personnel is especially severe in the San Francisco Bay Area. We may not be able to attract and retain qualified personnel on acceptable terms given the competition for such personnel. If we are unsuccessful in our recruitment efforts, it may adversely affect our business and our growth prospects.</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closing of the Velodyne Merger, in February 2023, we implemented a reduction in force affecting approximately 180-200 employees in order reduce redundancies with the acquired business. 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7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employees are employed by professional employer organizations which may have unexpected costs that could adversely impact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contract with non-US professional employer organizations (“PEOs”), to administer our human resources, payroll and employee benefits functions for some of our subsidiaries’ employees outside of the United States. Although we recruit and select these employees, their employment relationship is with the relevant PEO. Accordingly, these employees are compensated through the PEO, are governed by the work policies created by the PEO and receive their annual wage statements and other payroll-related reports from the PEO. In addition, some of these employees may receive stock compensation directly from the Company. The PEO relationship streamlines hiring and employee maintenance, and enables management to focus on issues other than payroll administration, but this relationship also exposes us to some risks. For example, if the PEO is unable to or otherwise fails to adequately withhold or pay employer taxes or to comply with other applicable laws, we may be held liable for such violations notwithstanding any indemnification provisions provided to us by the PEOs. In certain non-US jurisdictions, despite the PEO relationship, there is a risk that the employee may nonetheless be deemed our direct employee and that the Company may be deemed to have a permanent operation in a non-US jurisdiction. Court and administrative proceedings related to matters of employment tax, labor law and other laws applicable to PEO arrangements could distract management from our business and cause us to incur significant expense. If we were held liable for violations by PEOs, such monetary penalties may adversely affect our profitability and could negatively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integrate our business with Velodyne or realize the expected benefits of the Velodyne Merger on our expected timeframe or at all. In addition, if we choose to acquire or invest in other new businesses, products or technologies, we may be unable to complete these acquisitions or to successfully integrate them in a cost-effective and/or non-disruptive manner.</w:t>
      </w:r>
    </w:p>
    <w:p>
      <w:pPr>
        <w:spacing w:after="0" w:line="6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success depends on our ability to enhance and broaden our product offerings in response to changing customer demands, competitive pressures and advances in technologies. Failure to successfully identify, complete, manage and integrate acquisitions could materially and adversely affect our business, financial condition and results of operations and could cause our stock price to decline. We continue to search for viable acquisition candidates or strategic transactions that would expand our market sector and/or global presence, as well as additional products appropriate for current distribution channels. Accordingly, we have previously and may in the future pursue the acquisition of new businesses, products or technologies instead of developing them internally. Our future success will depend, in part, upon our ability to manage the expanded business following these acquisitions, including challenges related to the management and monitoring of new operations and associated increased costs and complexity associated with such acquisitions. For example, in February 2023, we completed the Velodyne Merger to help us enhance our robust suite of product offerings and software; grow our diverse customer base; increase operational efficiencies; further develop our innovative product roadmap in anticipation for the future needs of the market; reduce our production costs; improve our path to profitability; and strengthen our future financial position. In connection with any acquisitions, we could issue additional equity securities, which would dilute our stockholders, incur substantial debt to fund the acquisitions or assume significant liabilities.</w:t>
      </w:r>
    </w:p>
    <w:p>
      <w:pPr>
        <w:spacing w:after="0" w:line="7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Acquisitions involve many and diverse risks and uncertainties, including risks associated with conduction due diligence, problems integrating the purchased operations, assets, technologies or products, unanticipated costs, liabilities, and economic, political, legal and regulatory challenges due to our inexperience operating in new regions or countries, inability to achieve anticipated synergies, overpaying for acquisitions, invalid sales assumptions underlying potential acquisitions, issues maintaining uniform standards, procedures, controls and policies, diversion of management attention, adverse effects on existing business relationships or acquired company business relationships, risks associated with entering new markets, potential loss of key</w:t>
      </w:r>
    </w:p>
    <w:p>
      <w:pPr>
        <w:spacing w:after="0" w:line="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employees of acquired businesses, increased legal, accounting and compliance costs, and failure to successfully integrate acquired companies, such as Sense or Velodyne, or retain key personnel from the acquired company.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compete with other companies for these opportunities, and we may be unable to consummate such acquisitions or other strategic transactions on commercially reasonable terms, or at all. In addition, acquired businesses may have ongoing or potential liabilities, legal claims (including tort and/or personal injury claims) or adverse operating issues that we fail to discover through due diligence prior to the acquisition. Even if we are aware of such liabilities, claims or issues, we may not be able to accurately estimate the magnitude of the related liabilities and damages. In particular, to the extent that prior owners of any acquired businesses or properties failed to comply with or otherwise violated applicable laws or regulations, failed to fulfill their contractual obligations to their customers, or failed to satisfy legal obligations to employees or third parties, we, as the successor,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If we were to issue additional equity in connection with such acquisitions, this may dilute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frequently used in applications that are subject to evolving regulations and standards.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customers may use our products for regulated and standardized applications that require our products to comply with regulations and standards that are applicable to both our products and to those industries and applications, including functional safety and product reliability standards. New regulations and industry standards may be adopted that result in delays or cancellations of programs. If we decide not to pursue or fail to achieve these regulatory or industry certifications, we may lose existing or potential commercial opportunities or be exposed to legal liability from regulators.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economic sanctions laws and regulations. Our failure to comply with these laws and regulations could have an adverse effect on our business, prospects,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and solutions are subject to certain U.S. and foreign export controls, trade sanctions, and import laws and regulations, including the U.S. Export Administration Regulations, U.S. Customs regulations and various economic and trade sanctions regulations administered by the U.S. Treasury Department’s Office of Foreign Assets Controls. U.S. export control laws and regulations and economic sanctions prohibit the shipment of certain products and services to countries, governments, and persons targeted by U.S. sanctions. Even though we take precautions to prevent our productions and solutions from being provided to entities subject to these restrictions, our products could find their way to such prohibited entities. Any such provision could have negative consequences, including government investigations, penalties, or reputational harm.</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complying with export control and sanctions regulations for a particular sale may be time-consuming and create delays in the introduction of our products and solutions in some international markets, and, in some cases, prevent the export of our software and services to some countries altogether. Exports of our products and technology must be made in compliance with these laws and regulations. If a license is required from a government agency prior to sale, no exports may occur until the appropriate approvals are obtained. If we fail to comply with these laws and regulations, penalties could be imposed, including substantial monetary fines and/or denial of export privileges. In addition, in extreme cases responsible employees or managers can be held criminally liable for such violations.</w:t>
      </w:r>
    </w:p>
    <w:p>
      <w:pPr>
        <w:spacing w:after="0" w:line="7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trade policy, tariffs and import/export regulations may have a material adverse effect on our business, financial condition and results of operations.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Any new export or import restrictions, new legislation or shifting approaches in the enforcement or scope of existing regulations, or changes in global, political, regulatory and economic conditions affecting U.S. trade, manufacturing, development or investment, could result in additional restrictions on our ability to conduct business. In recent years,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As additional trade-related policies are instituted, we may need to modify our business operations to comply and adapt to such developments, which may be time-consuming and expensive.</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Moreover, China and the U.S. have each imposed tariffs, indicating the potential for further trade barriers which may escalate a nascent trade war between China and the U.S. The resulting environment of retaliatory trade or other practices or additional trade restrictions or barriers, if implemented on a broader range of products or raw materials, could harm our ability to obtain necessary materials. For example, tariffs on certain Chinese origin goods impact the cost of material and machines we import directly from our manufacturing operations in China, as well as the cost of material and components imported on our behalf by suppliers. The indirect impact of inflationary pressure on costs throughout the supply chain and the direct impact, for example, on costs for machines we import from our manufacturing operations in China, may result in higher input costs and lower margins on certain products we sell, which could have a material adverse effect on our business, prospects, results of operations and cash flows.</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involved in legal and regulatory proceedings and commercial or contractual disputes, which could have a material adverse effect on our profitability and consolidated financial position.</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from time to time, involved in litigation, regulatory proceedings and commercial or contractual disputes and these matters may be significant. These matters may include, without limitation, disputes with our distributors, suppliers and customers, intellectual property claims, stockholder litigation, government investigations, class action lawsuits, personal injury claims, environmental issues, customs and value-added tax disputes and employment and tax issues. In addition, we have in the past and could face in the future a variety of labor and employment claims against us, which could include but is not limited to general discrimination, wage and hour, privacy, ERISA or disability claims. In such matters, government agencies or private parties may seek to recover from us large, indeterminate amounts in penalties or monetary damages (including, in some cases, treble or punitive damages) or seek to limit our operations in some way. These types of lawsuits could require significant management time and attention or could involve substantial legal liability, adverse regulatory outcomes, or substantial expenses to defend. Often these cases raise complex factual and legal issues and create risks and uncertainties.</w:t>
      </w:r>
    </w:p>
    <w:p>
      <w:pPr>
        <w:spacing w:after="0" w:line="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on June 10, 2021, we received a letter from the SEC notifying us of an investigation and document subpoena. The subpoena seeks documents regarding projected financial information in CLA’s Form S-4 registration statement filed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December 22, 2020. To date, the Company has complied with all SEC requests and produced all requested documents; however, the SEC may request additional documents or information.</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1, 2022, December 20, 2022, December 29, 2022, and January 9, 2023, purported stockholders of Velodyne filed the following lawsuits against Velodyne and certain of its directors and officers in the Southern District of New York for violations of Sections 14(a) and 20(a) of the Securities Exchange Act of 1934 and U.S. Securities and Exchange Commission (“SEC”) Rule 14a-9: O’Dell v. Velodyne, et. al., Carlisle v. Velodyne, et. al., Wheeler v. Velodyne et. al., and Cristino v. Velodyne, et. al. The complaints allege that Velodyne’s disclosures in connection with the merger with Ouster were materially incomplete and misleading. The plaintiff in O’Dell v. Velodyne et. al. voluntarily dismissed his complaint on January 17, 2023 and the plaintiff in Carlisle v. Velodyne, et. al. voluntarily dismissed his complaint on February 21, 2023. Velodyne also received eleven demand letters from stockholders making similar allegations regarding Velodyne’s disclosures relating to the Velodyne Merger. The Company does not believe the allegations in the complaints and demand letters are meritorious, and intends to defend against them vigorously.</w:t>
      </w:r>
    </w:p>
    <w:p>
      <w:pPr>
        <w:spacing w:after="0" w:line="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descriptions of additional legal proceedings to which we are party, including proceedings assumed in connection with the Velodyne Merger, see Part I, Item 3, “Legal Proceedings” elsewhere in this Annual Report on Form 10-K.</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could be forced to expend significant resources in the defense of these lawsuits or future ones, and we may not prevail. No assurances can be given that any proceedings and claims will not have a material adverse impact on our operating results and consolidated financial position or that our available insurance will mitigate this impact.</w:t>
      </w:r>
    </w:p>
    <w:p>
      <w:pPr>
        <w:spacing w:after="0" w:line="6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must remain in compliance with, numerous laws and governmental regulations concerning the manufacturing, use, distribution and sale of our products. Some of our customers also require that we comply with their own unique requirements relating to these matters.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manufacture and sell products that contain components, which may contain materials that are subject to government regulation in both the locations where we manufacture and assemble our products, as well as the locations where we sell our products. Since we operate on a global basis, this is a complex process which requires continual monitoring of regulations and an ongoing compliance process to ensure that we and our suppliers are in compliance with existing regulations in each market where we operate. If there is an unanticipated new regulation that significantly impacts our use and sourcing of various components or requires more expensive components, that regulation could materially adversely affect our business, results of operations and financial condition. If we are not currently in compliance with existing regulations, or we fail to adhere to new regulations or fail to continually monitor the updates, we may incur costs in remedying our non-compliance and it may disrupt our operations. In addition, current or proposed regulations may adversely impact the availability of supplies needed to manufacture our products. For example, the Uyghur Forced Labor Prevention Act effectively bans all products from China’s Xinjiang province due to concerns that the goods were produced with forced labor, which, is having adverse impacts on global supply chains. In such circumstances, we may also be subject to litigation, lose customers, suffer negative publicity and our business, results of operations, and financial condition could be adversely affected.</w:t>
      </w:r>
    </w:p>
    <w:p>
      <w:pPr>
        <w:spacing w:after="0" w:line="80"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vendors are subject to various environmental laws and regulations that could impose substantial costs upon us and cause delays in expanding production facilities.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Environmental pollution and climate change have been the subject of significant legislative and regulatory efforts on a global basis, and we believe this will continue both in scope and in the number of countries participating. In addition, as climate change issues become more prevalent, foreign, federal, state and local governments and our customers have increased their focus on environmental sustainability, which has resulted in, and may result in new, regulations and customer requirements, which could materially adversely impact our business, results of operations and financial condition. If we are unable to effectively address concerns about environmental impact, our reputation could be negatively impacted, and our business, results of operations or financial condition could suffer. These regulations and requirement apply to our vendors and suppliers, as well. To the extent compliance with, or the effect of, these regulations and requirements on them result in their inability to deliver their products to us on time or at all, this could materially adversely impact our business, results of operations and financial condition.</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new or modified environmental regulations or laws may increase the cost of raw materials or components we use in our products. Environmental regulations require us to continually reduce product energy usage, monitor and exclude an expanding list of restricted substances and to participate in required recovery and recycling of our products. Environmental and health and safety laws and regulations can be complex, and we have limited experience complying with them. Capital and operating expenses needed to comply with environmental laws and regulations can be significant, and violations may result in substantial fines and penalties, third-party damages, suspension of production or a cessation of our operations.</w:t>
      </w:r>
    </w:p>
    <w:p>
      <w:pPr>
        <w:spacing w:after="0" w:line="7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contamination is found at properties we operate or formerly operated, this may result in liability for us under environmental laws and regulations, including the Comprehensive Environmental Response, Compensation and Liability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Act, which can impose liability for the full amount of remediation-related costs without regard to fault. Costs of complying with environmental laws and regulations and any claims concerning noncompliance, or liability with respect to contamination in the future, could have a material adverse effect on our financial condition or operating results.</w:t>
      </w:r>
    </w:p>
    <w:p>
      <w:pPr>
        <w:spacing w:after="0" w:line="6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evolving environmental, social, and governance (“ESG”) expectations or standards or to achieve our ESG goals could adversely affect our business, results of operations, financial condition, and stock price.</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experience pressure to make commitments or set goals or targets relating to environmental, social and governance (ESG) matters that affect companies in our industry, including the design and implementation of specific risk mitigation strategic initiatives relating to environmental sustainability. If we are not effective in addressing ESG matters affecting our industry, such as greenhouse gas emissions and climate-related risks, renewable energy, water stewardship, waste management, diversity, equality and inclusion, responsible sourcing and supply chain, human rights, and social responsibility, among other issues, or setting and meeting relevant sustainability commitments, goals, or targets, our reputation may suffer. As we continue to develop our voluntary ESG program and disclosures, there can be no assurance that regulators, customers, investors, and employees will determine that these programs and disclosures are sufficiently robust. In addition, there can be no assurance that we will be able to attain any announced goals related to our sustainability program, as statements regarding our sustainability goals reflect our current plans and aspirations and are not guarantees that we will be able to achieve them within the timelines we announce or at all. Changing stakeholder expectations, evolving voluntary and regulatory disclosure standards, and our efforts to manage and report on ESG issues present operational, regulatory, reputational, financial, legal, and other risks, any of which could have a material adverse impact on our business, including on our reputation and stock price.</w:t>
      </w:r>
    </w:p>
    <w:p>
      <w:pPr>
        <w:spacing w:after="0" w:line="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We can face criminal liability and other serious consequences for violations, which can harm our business.</w:t>
      </w:r>
    </w:p>
    <w:p>
      <w:pPr>
        <w:spacing w:after="0" w:line="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U.S. domestic bribery statute contained in 18 U.S.C. § 201, the U.S. Travel Act, the Money Laundering Control Act 18 U.S.C. §§ 1956 and 1957, and other anti-bribery and anti-money laundering laws in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and failing to prevent bribery, and require that we keep accurate books and records and maintain internal accounting controls designed to prevent any such actions.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we increase our international cross-border business and expand our operations abroad, we may continue to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our policies and applicable law, for which we may be ultimately held responsible. As we increase our international business, our risks under these laws may increase.</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w:t>
      </w:r>
    </w:p>
    <w:p>
      <w:pPr>
        <w:spacing w:after="0" w:line="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it fails to comply with the regulatory requirements under the Federal Food, Drug, and Cosmetic Act or the Food and Drug Administration (the “FDA”).</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a lidar technology company, we are subject to the Electronic Product Radiation Control Provisions of the Federal Food, Drug, and Cosmetic Act. These requirements are enforced by the FDA. Electronic product radiation includes laser technology. Regulations governing these products are intended to protect the public from hazardous or unnecessary exposure. Manufacturers are required to certify in product labeling and in reports to the FDA that their products comply with applicable performance standards as well as maintain manufacturing, testing, and distribution records for their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products. Failure to comply with these requirements could result in enforcement action by the FDA, which could require us to cease distribution of our products, recall or remediate products already distributed to customers, or subject us to FDA enforcement.</w:t>
      </w:r>
    </w:p>
    <w:p>
      <w:pPr>
        <w:spacing w:after="0" w:line="50"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perceived failures, to comply with privacy, data protection, and information security requirements in the variety of jurisdictions in which we operate may adversely impact our business, and such legal requirements are evolving, uncertain and may require improvements in, or changes to, our policies and operations.</w:t>
      </w:r>
    </w:p>
    <w:p>
      <w:pPr>
        <w:spacing w:after="0" w:line="6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current and potential future operations and sales subject us to laws and regulations addressing privacy and the collection, use, storage, disclosure, transfer and protection of a variety of types of data. For example, the European Commission has adopted the General Data Protection Regulation and California recently enacted the California Consumer Privacy Act of 2018, both of which provide for potentially material penalties for non-compliance. These regimes, among other things, impose data security requirements, disclosure requirements, and restrictions on data collection, uses, and sharing that may impact our operations and the development of our business. While, generally, we do not have access to, collect, store, process, or share information collected by our customers using our products unless our customers choose to proactively provide such information to us. Our products may evolve to address potential customer requirements or to add new features and functionality. Therefore, the full impact of these privacy regimes on our business is rapidly evolving across jurisdictions and remains uncertain at this time.</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and our third party vendors and suppliers have been and may in the future be affected by cyber-attacks and other means of gaining unauthorized access to our products, systems, and data. For instance, cyber criminals or insiders may target us or third parties with which we have business relationships to obtain data, or in a manner that disrupts our operations or compromises our products or the systems into which our products are integrated.</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assessing the continually evolving privacy and data security regimes and measures we believe are appropriate in response. Since these data security regimes are evolving, uncertain and complex, especially for a global business like ours, we may need to update or enhance our compliance measures as our products, markets and customer demands further develop, and these updates or enhancements may require implementation costs. In addition, we may not be able to monitor and react to all developments in a timely manner. The compliance measures we do adopt may prove ineffective. Any failure, or perceived failure, by us to comply with current and future regulatory or customer-driven privacy, data protection, and information security requirements, or to prevent or mitigate security breaches, cyber-attacks, or improper access to, use of, or disclosure of data, or any security issues or cyber-attacks affecting us, could result in significant liability, costs (including the costs of mitigation and recovery), and a material loss of revenue resulting from the adverse impact on our reputation and brand, loss of proprietary information and data, disruption to our business and relationships, and diminished ability to retain or attract customers and business partners. Such events may result in governmental enforcement actions and prosecutions, private litigation, fines and penalties or adverse publicity, and could cause customers and business partners to lose trust in us, which could have an adverse effect on our reputation and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intellectual property rights or prevent competitors or other unauthorized parties from copying or reverse engineering our technology.</w:t>
      </w:r>
    </w:p>
    <w:p>
      <w:pPr>
        <w:spacing w:after="0" w:line="51"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patents and other intellectual property rights covering our technology and products, and to maintain adequate legal protection for our technology and products in the United States and worldwide. We rely on patent, trademark, copyright, and trade secret laws, as well as confidentiality procedures and contractual restrictions, to establish and protect our proprietary rights, all of which provide only limited protections.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can make no assurances whether any of our pending patent applications will mature into issued patents, or that any of our pending trademark applications will be registered, in a manner that gives us any or adequate defensive protection or competitive advantages. We also do not know whether any patents issued to us or any trademarks registered by us will not be challenged, invalidated or circumvented. Our portfolio of currently-issued patents and registered trademarks, and any patents that may be issued, any copyrights and trademarks that may be registered in the future, may not provide sufficiently broad protections to us, or may not prove to be enforceable in actions against alleged infringers. We cannot be certain that the actions we have undertaken to protect our technology and products will prevent unauthorized use of our technology or the reverse engineering of our products. Moreover, others may independently develop technologies and products that compete with ours, or infringe our intellectual property.</w:t>
      </w:r>
    </w:p>
    <w:p>
      <w:pPr>
        <w:spacing w:after="0" w:line="8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have filed for patents and trademarks in the United States and in certain international jurisdictions, but such protections may not be available, and we may not have applied for protections in all countries in which we operate or sell our products. Though we may have obtained intellectual property and related proprietary rights in various jurisdictions, it may prove difficult to enforce our intellectual property rights in practice. Discovering and protecting against unauthorized use of our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intellectual property, products and other proprietary rights is expensive and difficult, particularly internationally. We believe that our patents are foundational in the area of lidar products, and intend to enforce our intellectual property rights. Competitors and other unauthorized parties may attempt to copy or reverse engineer our lidar technology and other aspects of our solutions that we consider proprietary. Litigation may be necessary in the future to enforce or defend our intellectual property rights, to prevent unauthorized parties from copying or reverse engineering our products, to determine the validity and scope of the proprietary rights of others or to block the importation of infringing products into the United States or other markets. Failure to adequately protect our intellectual property rights could result in our competitors offering infringing products, potentially resulting in the loss of some of our competitive advantage, market share and a decrease in our revenue, which would adversely affect our business, operating results, financial condition and prospects.</w:t>
      </w:r>
    </w:p>
    <w:p>
      <w:pPr>
        <w:spacing w:after="0" w:line="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are infringing third-party intellectual property, whether successful or not, could subject us to costly and time-consuming litigation or expensive licenses, and adversely affect our business.</w:t>
      </w:r>
    </w:p>
    <w:p>
      <w:pPr>
        <w:spacing w:after="0" w:line="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Any intellectual property and related contractual litigation, if it is initiated in the future by us or a third party, would result in substantial costs and diversion of management resources, either of which could materially and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 or may have incurred costs that threaten our financial stability. Assertions of our attempts to enforce our rights against third parties could also lead these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Lidar is a heavily populated intellectual property field, in which many companies, both within and outside of the lidar industry, hold patents covering lidar products and other adjacent technologies. In addition to patents, companies in the lidar industry typically rely on copyrights and trade secrets to protect their technology. As a result, there has been frequent litigation in the lidar industry based on allegations of patent infringement, misappropriation or other violations of intellectual property rights. We have, and in the future may, receive inquiries from other intellectual property holders and we may become subject to claims that we infringe others’ intellectual property rights, particularly as our market presence increases, as our products expand to new use cases and geographies, and as we face increasing competition. In addition, parties may claim that our name and the branding of our products infringe their trademark rights in certain countries or territories. If such a claim were to prevail, we may have to change the names of and branding of our products in the affected territories which would be costly and could cause market confusion.</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currently have various agreements in effect pursuant to which we have agreed to defend, indemnify and hold harmless our customers, suppliers, and other partners from damages and costs which may arise from the infringement by our products of third-party patents or other intellectual property rights. The scope of these indemnity obligations vary, but may, in some instances, include indemnification for damages and expenses, including attorneys’ fees. Our insurance does not typically cover intellectual property infringement claims. A claim that our products infringe a third party’s intellectual property rights, even if untrue, could adversely affect our relationships with our customers and deter future customers from purchasing our products. Our defense of intellectual property rights claims brought against us, or our customers, suppliers or partners, with or without merit, could be time-consuming and expensive to litigate or settle.</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Even if we are not a party to any litigation between a customer and a third party relating to infringement of its products, an adverse outcome in any such litigation could make it more difficult for us to defend our products against intellectual property infringement claims in any subsequent litigation matter in which we are a named party. Any of these results could adversely affect our brand and operating results.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Any intellectual property and related contractual litigation, if it is initiated in the future by us or a third party, would result in substantial costs and diversion of management resources, either of which could adversely affect our business, operating results and financial condition. Such claims may also divert management resources and attention away from other business efforts and force us to acquire intellectual property rights and licenses, which may involve substantial royalty or other payments that may not be acceptable to us. Further, a party making such a claim against us, if successful, could secure a judgment that requires us to pay substantial damages or such a party could obtain an injunction. An adverse determination also could invalidate our intellectual property rights and adversely affect our ability to offer our products to our customers and may require that we procure or develop substitute products that do not infringe, which could require significant effort and expense. Even if we obtain favorable outcomes in any such litigation, we may not be able to obtain adequate remedies,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or may have incurred costs that threaten our financial stability. Assertions of our rights against third parties could also lead third parties to assert their own intellectual property or other rights against us or seek invalidation or a narrowed scope of our rights, in whole or in part. Any of these events could adversely affect our business, operating results, financial condition and prospects.</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applications may not issue or be registered, which may have a material adverse effect on our ability to prevent others from commercially exploiting products similar to ours.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any particular patent application, or if we are the first party to file such a patent application. If another party has filed a patent application to, or otherwise publicly disclosed, subject matter that we are seeking to protect in a given patent application, we may not be entitled to the protection sought by the patent application. We also cannot be certain whether the claims included in a patent application will ultimately be granted as an issued patent since the patent office of the jurisdiction in which a patent application is filed may rule that the subject matter we are seeking to patent is not novel or is obvious or otherwise non-inventive or rule that the patent application and/or claims of the patent application do not comply with one or more other requirements of the patent laws of the jurisdiction. Further, the scope of protection of issued patent claims is often difficult to determine. As a result, we cannot be certain that our issued patents will afford protection against competitors with similar technology. In addition, our competitors may design around our issued patents, which may adversely affect our business, prospects, financial condition and operating results.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copyrights, trade secrets, proprietary processes and know-how.</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proprietary information (including, for example, trade secrets, know-how and confidential information) to protect intellectual property that may not be patentable or subject to copyright or trademark protection, or that we believe is best protected by means that do not require public disclosure. We may seek to protect this proprietary information by entering into confidentiality agreements, or consulting, services or employment agreements that contain non-disclosure and non-use provisions with our employees, consultants, contractors and third parties. We may fail, however, to enter into the necessary agreements, and even if properly executed and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Additionally, we have limited control over the protection of trade secrets used by our current or future manufacturing partners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advisors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rely on security measures, both physical and electronic,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Also, we may not be able to detect or prevent the unauthorized use of such information or take appropriate and timely steps to enforce our intellectual property rights.</w:t>
      </w:r>
    </w:p>
    <w:p>
      <w:pPr>
        <w:spacing w:after="0" w:line="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one or more of an employee’s former employers. Litigation may be necessary to defend us against these claims. If we fail in defending such claims, in addition to paying monetary damages, we may lose valuable intellectual property rights or personnel. A loss of key personnel or their work product could hamper or prevent our ability to commercialize our products, which could severely harm our business. Even if we are successful in defending against any such claims, litigation could result in substantial costs and demand on management resources.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warrants are accounted for as liabilities and the changes in value of such warrants could have a material effect on our financial results.</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determined to classify the private placement warrants assumed from CLA as derivative liabilities measured at fair value, with changes in fair value each period reported in earnings. Due to the recurring fair value measurement, we recognize non-cash gains or losses on the private placement warrants each reporting period and the amount of such gains or losses has been material and could continue to be material in the future. Our accounting treatment of the private placement warrants and public warrants is based on its current interpretation of the SEC Statement and other guidance and may change in light of any further interpretive guidance, as may be applicable.</w:t>
      </w:r>
    </w:p>
    <w:p>
      <w:pPr>
        <w:spacing w:after="0" w:line="71"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and may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or cause our access to the capital markets to be impaired.</w:t>
      </w:r>
    </w:p>
    <w:p>
      <w:pPr>
        <w:spacing w:after="0" w:line="4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8"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90" w:lineRule="exact"/>
        <w:rPr>
          <w:sz w:val="20"/>
          <w:szCs w:val="20"/>
          <w:color w:val="auto"/>
        </w:rPr>
      </w:pPr>
    </w:p>
    <w:p>
      <w:pPr>
        <w:ind w:left="660" w:right="40" w:hanging="328"/>
        <w:spacing w:after="0" w:line="245"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129" w:lineRule="exact"/>
        <w:rPr>
          <w:rFonts w:ascii="Arial" w:cs="Arial" w:eastAsia="Arial" w:hAnsi="Arial"/>
          <w:sz w:val="22"/>
          <w:szCs w:val="22"/>
          <w:color w:val="auto"/>
        </w:rPr>
      </w:pPr>
    </w:p>
    <w:p>
      <w:pPr>
        <w:ind w:left="660" w:hanging="328"/>
        <w:spacing w:after="0" w:line="247" w:lineRule="auto"/>
        <w:tabs>
          <w:tab w:leader="none" w:pos="655"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90"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54"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We have taken several measures to design and implement control to improve our internal controls over financial reporting and continue to make progress towards establishing an effective Internal controls framework to remediate the foregoing material weaknesses. Our efforts included the following:</w:t>
      </w:r>
    </w:p>
    <w:p>
      <w:pPr>
        <w:spacing w:after="0" w:line="32" w:lineRule="exact"/>
        <w:rPr>
          <w:sz w:val="20"/>
          <w:szCs w:val="20"/>
          <w:color w:val="auto"/>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additional personnel with appropriate internal controls, accounting knowledge and experience commensurate with our accounting and reporting requirements, in addition to engaging and utilizing third party consultants and specialists.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60" w:right="4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entity level controls (ELCs) including increasing Board and Audit Committee oversight, expanding senior management review of financial and business performance, creating an internal audit function and charter, and providing code of conduct and compliance training to company employees.</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 governance and designing IT general controls including restricted user access to our internal systems for financial reporting, and IT change management</w:t>
      </w:r>
    </w:p>
    <w:p>
      <w:pPr>
        <w:spacing w:after="0" w:line="5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additional controls for financial close and reporting including review of accounting policies, Journal entry review controls, Review of significant or non-routine transactions, period end close procedures, financial statement preparation, review, and reporting, and controls within various business processes as they relate to financial reporting. This included design and implementation of controls around classification of balances in our financial statements and strengthening processes for management oversight over financial reporting and disclosure controls.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Internal control training for personnel responsible for implementing internal controls for the Company.</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While we continue to undertake efforts to remediate these material weaknesses, the material weaknesses will not be considered remediated until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these material weaknesses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future annual report on Form 10-K to be filed with the SEC. This assessment includes disclosure of any material weaknesses identified by our management in internal control over financial reporting. In the future, to the extent we’re considered an accelerated or large accelerated filer, our independent registered public accounting firm will also be required to attest to the effectiveness of our internal control over financial reporting in each annual report on Form 10-K to be filed with the SEC pursuant to Section 404(b) of the Sarbanes-Oxley Act. We are also required to disclose material changes made in our internal control over financial reporting on a quarterly basis. Failure to comply with the Sarbanes-Oxley Act could potentially subject us to sanctions or investigations by the SEC, the stock exchange on which our securities are listed or other regulatory authorities, which would require additional financial and management resources. Compliance with Section 404 requires that we incur substantial costs and expend significant management efforts.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the New York Stock Exchange (“NYSE”).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NYSE, such as the corporate governance requirements or the minimum share price requirement, NYSE may take steps to delist our securities. Such a delisting would likely have a negative effect on the price of the securities and would impair stockholders’ ability to trade in the Company’s securities.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NYSE minimum share price requirement or prevent future non-compliance with NYSE’s listing requirements. Additionally, if our securities are not listed on, or become delisted from the NYSE, for any reason, and are quoted on the OTC Bulletin Board, an inter-dealer automated quotation system for equity securities that is not a national securities exchange, the liquidity and price of our securities may be more limited than if we were quoted or listed on the NYSE or another national securities exchange. If our securities become illiquid, stockholders may be unable to trade their securities unless a market can be established or sustained, and similarly if investors are precluded from trading their securities, it could have adverse consequences on our ability to raise more capital.</w:t>
      </w:r>
    </w:p>
    <w:p>
      <w:pPr>
        <w:spacing w:after="0" w:line="8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By resolution approved by our stockholders at the special meeting of stockholders held on January 26, 2023, our Board of Directors has the authority, in its sole discretion, to effect a reverse stock split of our common stock at a non-decimal ratio between one-for-five and one-for-ten as selected by the Board of</w:t>
      </w:r>
    </w:p>
    <w:p>
      <w:pPr>
        <w:ind w:right="340"/>
        <w:spacing w:after="0" w:line="312" w:lineRule="auto"/>
        <w:rPr>
          <w:sz w:val="20"/>
          <w:szCs w:val="20"/>
          <w:color w:val="auto"/>
        </w:rPr>
      </w:pPr>
      <w:r>
        <w:rPr>
          <w:rFonts w:ascii="Times New Roman" w:cs="Times New Roman" w:eastAsia="Times New Roman" w:hAnsi="Times New Roman"/>
          <w:sz w:val="17"/>
          <w:szCs w:val="17"/>
          <w:color w:val="auto"/>
        </w:rPr>
        <w:t>Directors. The Board of Directors may decide, in its sole discretion, whether to effect such a reverse stock split without further approval or action by stockholders. Further, there can be no assurance that after a reverse stock split, we would continue to meet the minimum listing requirements of NYSE.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have been and could continue to be adversely affected by the COVID-19 pandemic. Other pandemics or public health crises may have similar impacts in the future.</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effects of the COVID-19 pandemic on our business and our financial condition have included and may in the future include, among others: the reduced pace of manufacturing ramp up due to employees’ inability to travel to our manufacturing facility in Thailand; disruptions to the operations of certain of our suppliers; supply chain disruptions; and increased compensation related costs resulting from overtime pay and additional personnel in San Francisco to create separate manufacturing teams that rotate every other week in our facility to avoid any possible transmission of COVID-19 between teams. The duration of the ongoing COVID-19 pandemic and the associated business interruptions may affect our sales, supply chain or the manufacture and/or distribution of products, which could result in a material adverse effect on our financial condition. The COVID-19 pandemic may also intensify or exacerbate other risks described in this section. Other pandemics or public health crises may have similar impacts in the future.</w:t>
      </w:r>
    </w:p>
    <w:p>
      <w:pPr>
        <w:spacing w:after="0" w:line="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an earthquake fault and an earthquake or other natural disaster or resource shortage could disrupt our operations.</w:t>
      </w:r>
    </w:p>
    <w:p>
      <w:pPr>
        <w:spacing w:after="0" w:line="3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Important documents and records for our products and manufacturing operations are located in our various facilities in San Francisco, California near active earthquake zones. In the event of a natural disaster such as an earthquake, drought, flood or fire or localized extended outages of critical utilities or transportation we do not have a formal business continuity or disaster recovery plan, and therefore could experience a significant business interruption. In addition, California has from time to time experienced shortages of water, natural gas, and electric power. Future shortages and conservation measures could impact our operations and result in increased expense. In addition, we rely on information technology systems to communicate among our workforce and with third parties. Any disruption to our communications, whether caused by a natural disaster or by man-made problems, such as power disruptions, could adversely affect our business. To the extent that any such disruptions result in delays or cancellations of orders or impede our suppliers’ ability to timely deliver product components, our business, operating results and financial condition would be adversely affected.</w:t>
      </w:r>
    </w:p>
    <w:p>
      <w:pPr>
        <w:spacing w:after="0" w:line="80"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operational systems, security systems, infrastructure, firmware in our lidar and customer data processed by us or third-party vendors or suppliers and any material failure, weakness, interruption, cyber event, incident or breach of security could prevent us from effectively operating our business.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our third-party vendors and suppliers have experienced and expect to continue to experience actual and attempted cyber-attacks of our IT networks, such as through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Although none of these actual or attempted cyber-attacks has had a material adverse impact on our operations or financial condition, we cannot guarantee that any such incidents will not have such an impact in the future. For example, we are at risk for interruptions, outages and breaches of: operational systems, including business, financial, accounting, product development, data processing or production processes, owned by us or our third-party vendors or suppliers; facility security systems, owned by us or our third-party vendors or suppliers; in-product technology owned by us or our third-party vendors or suppliers; the integrated software in our lidar solutions; or customer or driver data that we process or our third-party vendors or suppliers process on our behalf. Such cyber incidents could materially disrupt operational systems; result in loss of intellectual property, trade secrets or other proprietary or competitively sensitive information; compromise certain information of customers, employees, suppliers, drivers or others; jeopardize the security of our facilities; or affect the performance of in-product technology and the integrated software in our lidar solutions. A cyber incident could be caused by disasters, insiders (through inadvertence or with malicious intent) or malicious third parties (including nation-states or nation-state supported actors) using sophisticated, targeted methods to circumvent firewalls, encryption and other security defenses, including hacking, fraud, trickery or other forms of deception. The techniques used by cyber attackers change frequently and may be difficult to detect for long periods of time. Although we maintain information technology measures designed to protect us against intellectual property theft, data breaches and other cyber incidents, such measures will require updates and improvements, and we cannot guarantee that such measures will be adequate to detect, prevent or mitigate cyber incidents. The implementation, maintenance, segregation and improvement of these systems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contracts. We cannot be sure that the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significant cyber incident could impact production capability, harm our reputation, cause us to breach our contracts with other parties or subject us to regulatory actions or litigation, any of which could materially affect our business, prospects, financial condition and operating results. In addition, our insurance coverage for cyber-attacks may not be sufficient to cover all the losses we may experience as a result of a cyber incident. Any problems with our third-party cloud hosting providers, whether due to cyber security failures or other causes, could result in lengthy interruptions in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Warrants</w:t>
      </w:r>
    </w:p>
    <w:p>
      <w:pPr>
        <w:spacing w:after="0" w:line="11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Amazon owns a warrant to purchase a significant portion of our outstanding common stock, and it may in the future be able to influence the Company’s corporate decisions.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Amazon.com NV Investment Holdings LLC, a wholly-owned subsidiary of Amazon.com, Inc. (“Amazon”), holds a warrant (“Amazon Warrant”) to acquire, following customary antidilution adjustments, up to an aggregate of 32,638,980 (18,486,938 of which are currently vested) shares of our common stock at an exercise price of $5.07 per share, representing 8.4% of our outstanding common stock as of March 23, 2023. We assumed the Amazon Warrant as part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If Amazon were to exercise the Amazon Warrant to purchase significant amounts of our common stock, it may be able to exert significant control over us. It also may have interests that differ from other stockholders and may vote or otherwise act in ways with which we or other stockholders disagree or that may be adverse to the interests of our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and warrants may be volatile.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as well as our warrants, may fluctuate due to a variety of factors, including:</w:t>
      </w:r>
    </w:p>
    <w:p>
      <w:pPr>
        <w:spacing w:after="0" w:line="6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the sale by significant stockholders of any of their shares of our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our Company;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6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the effects of the COVID-19 outbreak, recessions, interest rates, local and national elections, fuel prices, international currency fluctuations, corruption, political instability and acts of war or terrorism.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warrants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analysts publish about our business. We do not have any control over these analysts. If one or more of the analysts who cover us downgrade our common stock or publish inaccurate or unfavorable research about our business, the price of our common stock would likely decline. If few analysts cover us, demand for our common stock could decrease and our common stock price and trading volume may decline. Similar results may occur if one or more of these analysts stop covering us in the future or fail to publish reports on us regularly.</w:t>
      </w:r>
    </w:p>
    <w:p>
      <w:pPr>
        <w:spacing w:after="0" w:line="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class action and derivative lawsuits, which could result in substantial costs and could divert management attention away from other business concerns.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Additionally, 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example, on December 1, 2022, December 20, 2022, December 29, 2022, and January 9, 2023, purported stockholders of Velodyne filed the following lawsuits against Velodyne and certain of its directors and officers in the Southern District of New York for violations of Sections 14(a) and 20(a) of the Securities Exchange Act of 1934 and U.S. Securities and Exchange Commission (“SEC”) Rule 14a-9: O’Dell v. Velodyne, et. al., Carlisle v. Velodyne, et. al., Wheeler v. Velodyne et. al., and Cristino v. Velodyne, et. al. The complaints allege that Velodyne’s disclosures in connection with the merger with Ouster were materially incomplete and misleading. The plaintiff in O’Dell v. Velodyne et. al. voluntarily dismissed his complaint on January 17, 2023 and the plaintiff in Carlisle v. Velodyne, et. al. voluntarily dismissed his complaint on February 21, 2023. Velodyne also received eleven demand letters from stockholders making similar allegations regarding Velodyne’s disclosures relating to the Velodyne Merger. The Company does not believe the allegations in the complaints and demand letters are meritorious, and intends to defend against them vigorously.</w:t>
      </w:r>
    </w:p>
    <w:p>
      <w:pPr>
        <w:spacing w:after="0" w:line="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Securities litigation against us could result in substantial costs and divert management’s attention from other business concerns, which could seriously harm our business.</w:t>
      </w:r>
    </w:p>
    <w:p>
      <w:pPr>
        <w:spacing w:after="0" w:line="9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Certification of Incorporation and Bylaws and the Delaware General Corporations Law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Certification of Incorporation and Bylaws include provisions regarding:</w:t>
      </w:r>
    </w:p>
    <w:p>
      <w:pPr>
        <w:spacing w:after="0" w:line="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6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which limits the ability of minority stockholders to elect director candidates;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right="7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board of directors or management.</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provisions of our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our Bylaws or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w:t>
      </w:r>
    </w:p>
    <w:p>
      <w:pPr>
        <w:spacing w:after="0" w:line="8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will also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6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will not be permitted to exercise their warrants unless the warrants remain registered or certain exemptions are available.</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the issuance of the common stock upon exercise of our publicly traded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common stock included in the units.</w:t>
      </w:r>
    </w:p>
    <w:p>
      <w:pPr>
        <w:spacing w:after="0" w:line="7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If the common stock issuable upon exercise of the publicly traded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laws of the state of the exercising holder, or an exemption from registration or qualification is available.</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publicly traded warrants may only be able to exercise such warrants on a “cashless basis” under certain circumstances, and if they do so, they will receive fewer shares of common stock from such exercise than if they were to exercise such warrants for cash.</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warrant agreements provide that in the following circumstances holders of warrants who seek to exercise their warrants will not be permitted to do for cash and will, instead, be required to do so on a cashless basis in accordance with Section 3(a)(9) of the Securities Act: (i) if the common stock issuable upon exercise of the warrants are not registered under the Securities Act in accordance with the terms of the warrant agreement; (ii) if we have so elected and the common stock are at the time of any exercise of a warrant not listed on a national securities exchange such that they satisfy the definition of “covered securities” under Section 18(b)(1) of the Securities Act; and (iii) if we have so elected and we call the public warrants for redemption. If holder exercises public warrants on a cashless basis, they would pay the warrant exercise price by surrendering the warrants for that number of common stock equal to the quotient obtained by dividing (x) the product of the number of common stock underlying the warrants, multiplied by the excess of the “fair market value” of our common stock (as defined in the next sentence) over the exercise price of the warrants by (y) the fair market value. The “fair market value” is the average reported closing price of the common stock for the 10 trading days ending on the third trading day prior to the date on which the notice of exercise is received by the warrant agent or on which the notice of redemption is sent to the holders of warrants, as applicable. As a result, an impacted warrant holder would receive fewer shares of common stock from such exercise than if you were to exercise such warrants for cash.</w:t>
      </w:r>
    </w:p>
    <w:p>
      <w:pPr>
        <w:spacing w:after="0" w:line="8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publicly traded warrants in a manner that may be adverse to holders of public warrants with the approval by the holders of at least 50% of the then outstanding public warrants. As a result, the exercise price of the publicly traded warrants could be increased, the exercise period could be shortened and the number of common stock purchasable upon exercise of a warrant could be decreased, all without warrant holder approval.</w:t>
      </w:r>
    </w:p>
    <w:p>
      <w:pPr>
        <w:spacing w:after="0" w:line="7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publicly traded warrants were issued in registered forms under warrant agreements between Continental Stock Transfer &amp; Trust Company, as warrant agent, and us (or formerly, Velodyne). The warrant agreements provide that the terms of the warrants may be amended without the consent of any holder for certain limited administrative provisions, and that the approval by the holders of at least 50% of the then-outstanding public warrants is required to make any change that adversely affects the interests of the registered holders of publicly traded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common stock purchasable upon exercise of a warrant.</w:t>
      </w:r>
    </w:p>
    <w:p>
      <w:pPr>
        <w:spacing w:after="0" w:line="8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 agreements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us.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warrant agreements for our publicly traded warrants provide that, subject to applicable law, (i) any action, proceeding or claim against us arising out of or relating in any way to the warrant agreements,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agreements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agreements,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us, which may discourage such lawsuits. Alternatively, if a court were to find this provision in our warrant agreements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publicly traded warrants prior to their exercise at a time that is disadvantageous to warrant holders, thereby making such warrants worthless.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the ability to redeem the outstanding publicly traded warrants at any time prior to their expiration. For the publicly traded warrants traded under the symbol “OUST.WS”, we may redeem such warrants at a price of $0.01 per warrant, provided that the closing price of our common stock equals or exceeds $18.00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For the publicly traded warrants traded under the symbol “OUST.WTA”, we may redeem such warrants at a price of $0.01 per warrant, provided that the closing price of our common stock equals or exceeds $21.94 per share (as adjusted for share splits, share capitalizations, reorganizations, recapitalizations and the like) for any 20 trading days within a 30 trading-day period ending on the third trading day prior to the date on which we give proper notice of such redemption to the warrant holders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initially issued by CLA will be redeemable by us so long as they are held by Colonnade Sponsor LLC or its permitted transferees.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San Francisco, California where we lease properties as follows: (i) 26,125 square feet of office space pursuant to a lease that is scheduled to expire in August 2027 and (ii) 20,032 square feet of office space in a building adjacent to our corporate headquarters, which term is scheduled to expire in August 2027. Other functions of the Company are also performed in San Francisco, California, such as engineering, manufacturing, research and development and administrative functions. We also assumed leases stemming from the Velodyne Merger: (i) approximately 205,000 square feet of office and manufacturing space in San Jose, California and (ii) additional space pursuant to the assumed leases for offices located in Alameda, California; Riisselsheim, Germany; Beijing, China; and Bengaluru,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10, 2021, we received a letter from the SEC notifying us of an investigation and document subpoena. The subpoena sought documents regarding projected financial information in CLA’s Form S-4 registration statement filed on December 22, 2020. To date, the Company has complied with all SEC requests and produced all requested documents; however, the SEC may request additional documents or information.</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14, 2022,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 These matters were dismissed during the three months ended December 31,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Velodyne Legacy Proceedings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Following the Velodyne Merger, the Company is now indirectly a party to certain legal proceedings to which Velodyne had previously been named as a party.</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 2022, December 20, 2022, December 29, 2022, and January 9, 2023, purported stockholders of Velodyne filed the following lawsuits against Velodyne and certain of its directors and officers in the Southern District of New York for violations of Sections 14(a) and 20(a) of the Securities Exchange Act of 1934 and U.S. Securities and Exchange Commission (“SEC”) Rule 14a-9: O’Dell v. Velodyne, et. al., Carlisle v. Velodyne, et. al., Wheeler v. Velodyne et. al., and Cristino v. Velodyne, et. al. The complaints allege that Velodyne’s disclosures in connection with the merger with Ouster were materially incomplete and misleading. The plaintiff in O’Dell v. Velodyne et. al. voluntarily dismissed his complaint on January 17, 2023 and the plaintiff in Carlisle v. Velodyne, et. al. voluntarily dismissed his complaint on February 21, 2023. Velodyne also received eleven demand letters from stockholders making similar allegations regarding Velodyne’s disclosures relating to the Velodyne Merger. The Company does not believe the allegations in the complaints and demand letters are meritorious, and intends to defend against them vigorously.</w:t>
      </w:r>
    </w:p>
    <w:p>
      <w:pPr>
        <w:spacing w:after="0" w:line="8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September 2016, Quanergy Systems, Inc. (“Quanergy”) pre-emptively filed a complaint against Velodyne seeking a declaratory judgment of non-infringement on one of Velodyne's patents. Velodyne filed a counterclaim alleging patent infringement against Quanergy. On February 4, 2022, Velodyne received a ruling in its favor against Quanergy. On November 23, 2022, Quanergy and Velodyne entered into a settlement agreement (the “Settlement Agreement”) whereby Quanergy agreed to: (i) pay Velodyne $2.75 million pursuant to a two (2) payment schedule; (ii) assign five patents to Velodyne; and</w:t>
      </w:r>
    </w:p>
    <w:p>
      <w:pPr>
        <w:spacing w:after="0" w:line="3" w:lineRule="exact"/>
        <w:rPr>
          <w:sz w:val="20"/>
          <w:szCs w:val="20"/>
          <w:color w:val="auto"/>
        </w:rPr>
      </w:pPr>
    </w:p>
    <w:p>
      <w:pPr>
        <w:ind w:right="260" w:firstLine="8"/>
        <w:spacing w:after="0" w:line="253"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Velodyne a non-exclusive, irrevocable, worldwide, royalty-free license under certain licensed patents. Quanergy satisfied the first payment of $0.5 million due and owing to Velodyne under the Settlement Agreement on December 1, 2022. However, on December 13, 2022, Quanergy filed for protection under Chapter 11 of the United States Bankruptcy Code in the United States Bankruptcy Court for the District of Delaware. As a result of the bankruptcy, Quanergy stopped making any further payments under the Settlement Agreement to Velodyne and, as of the date of the bankruptcy, filing Quanergy owe, and continues to owe, $2.25 million to Velodyne under the Settlement Agreement.</w:t>
      </w:r>
    </w:p>
    <w:p>
      <w:pPr>
        <w:spacing w:after="0" w:line="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On March 1, 2023, Velodyne filed a proof of claim in the Quanergy bankruptcy case. The proof of claim asserts a claim against Quanergy in the minimum amount of $2.25 million, plus costs, interest and any calculable royalty payments. The proof of claim also reserves all of Velodyne’s rights and claims against Quanergy, including all of Velodyne’s rights as a licensee of certain of Quanergy’s licensed patents. On March 6, 2023 Quanergy rejected the Settlement Agreement with Velodyne pursuant to Section 365 of the United States Bankruptcy Code. While Quanergy rejected the Settlement Agreement, the Order Authorizing the Rejection of Executory Contracts entered by the Delaware Bankruptcy Court reserves all rights, claims, causes of action, or rights of election Velodyne has or holds, as a licensee of Quanergy’s licensed patents pursuant to Sections 365(n)(1)(A)-(B), 365(n)(2)(A)-(B), 365(n)(3)</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(A)-(B), and 365(n)(4)(A)-(B) of the United States Bankruptcy Code. Velodyne intends to continue to utilize and maintain its license rights to the Quanergy licensed patents.</w:t>
      </w:r>
    </w:p>
    <w:p>
      <w:pPr>
        <w:spacing w:after="0" w:line="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allowance and ultimate payment of Velodyne’s proof of claim against Quanergy remains uncertain, as the Quanergy bankruptcy is ongoing and it is not known what assets, if any, Quanergy will have to pay allowed claims in the bankruptcy case.</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January 18, 2022, David and Marta Hall filed a lawsuit in the Superior Court of California, County of Alameda, against current and former officers and directors of Velodyne, as well as Jeff Vetter, Velodyne’s outside counsel. The Halls are seeking to recover damages for financial and other injuries they allegedly sustained as a result of the merger between Graf Industrial Corp. (“Graf”) and Velodyne. On May 3, 2022, certain defendants filed motions to compel arbitration and other defendants filed motions to quash service of process for lack of personal jurisdiction. The court conducted a hearing on the motions on July 20, 2022. On August 30, 2022, the court granted the motion to quash service with respect the out of state defendants. On October 3, 2022, the court granted the motion to compel Mr. Hall to arbitrate his claims, and stayed proceedings on Ms. Hall’s claims pending arbitration of Mr. Hall’s claims. On October 20, 2022, David and Marta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voluntarily dismissed the action without prejudice. On January 3, 2023, the Halls filed an arbitration demand with the same allegations as the prior lawsuit.</w:t>
      </w:r>
    </w:p>
    <w:p>
      <w:pPr>
        <w:spacing w:after="0" w:line="11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March 3, 2021, a purported shareholder of Velodyne filed a complaint for a putative class action against Velodyne, Anand Gopalan and Andrew Hamer in the United States District Court, Northern District of California, entitled Moradpour v. Velodyne Lidar, Inc., et al., No. 3:21-cv-01486-SI. The complaint alleged purported violations of the federal securities laws and that, among other things, the defendants made materially false and/or misleading statements and failed to disclose material facts about Velodyne’s business, operations and prospects, including with respect to David Hall’s role with Velodyne and removal as Chairman of Velodyne’s Board of Directors. The complaint alleged that purported class members have suffered losses and sought, among other things, an award of compensatory damages on behalf of a putative class of persons who purchased or otherwise acquired Velodyne’s securities between November 9, 2020 and February 19, 2021. On March 12, 2021, a putative class action entitled Reese v. Velodyne Lidar, Inc., et al., No. 3:21-cv-01736-VC, was filed against Velodyne, Mr. Gopalan and Mr. Hamer in the United States District Court for the Northern District of California, based on allegations similar to those in the earlier class action and seeking recovery on behalf of the same putative class. On March 19, 2021, another putative class action entitled Nick v. Velodyne Lidar, Inc., et al., No. 4:21-cv-01950-JST, was filed in the United States District Court for the Northern District of California, against Velodyne, Mr. Gopalan, Mr. Hamer, two current or former directors, and three other entities. The complaint was based on allegations similar to those in the earlier class actions and sought, among other things, an award of compensatory damages on behalf of a putative class of persons who purchased or otherwise acquired Velodyne’s securities between July 2, 2020 and March 17, 2021. The class actions have been consolidated, lead plaintiffs have been appointed and an amended consolidated complaint was filed on September 1, 2021, based on allegations similar to those in the earlier class actions. Velodyne filed a motion to dismiss the amended and consolidated complaint on November 1, 2021. The plaintiffs filed a first amended complaint on February 11, 2022. Velodyne filed a motion to dismiss on March 4, 2022. On July 1, 2022, the court denied the motion to dismiss as it relates to the claims related to David Hall’s role with Velodyne, but granted the motion to dismiss as to all other claims. The Company intends to defend the actions vigorously.</w:t>
      </w:r>
    </w:p>
    <w:p>
      <w:pPr>
        <w:spacing w:after="0" w:line="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March 12, 2021, a putative shareholder derivative lawsuit entitled D’Arcy v. Gopalan, et al., No. 1:21-cv-00369-MN, was filed in the United States District Court for the District of Delaware against current and former directors and/or officers Anand Gopalan, Andrew Hamer, David S. Hall, Marta Thoma Hall, Joseph B. Culkin, Michael E. Dee, James A. Graf, Barbara Samardzich, and Christopher A. Thomas, and names Velodyne as a nominal defendant. The complaint asserted claims for breach of fiduciary duty, unjust enrichment, abuse of control, gross mismanagement, and waste of corporate assets against all of the individual defendants, and asserted a contribution claim under the federal securities laws against Mr. Gopalan and Mr. Hamer. On March 16, 2021, a second shareholder derivative lawsuit entitled Kondner, et al. v. Culkin, et al., No. 1:21-cv-00391-MN, was filed in the United States District Court for the District of Delaware against most of the same defendants named in the earlier derivative complaint, and asserted claims against the individual defendants for alleged breaches of fiduciary duty and waste of corporate assets. Both derivative actions are based on allegations similar to those in the class actions discussed above, and have now been consolidated. On January 3, 2022, the plaintiffs filed an amended complaint. The litigation is still ongoing.</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Other than the foregoing, we are not presently a party to any litigation or legal proceedings that we believe to be material and we are not aware of any pending or threatened litigation against us that we believe could have a material adverse effect on our business, operating results, financial condition or cash flows. See Note 10. Commitments and Contingencies included in the notes to our audited financial statements included elsewhere in the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380"/>
        <w:spacing w:after="0" w:line="282" w:lineRule="auto"/>
        <w:rPr>
          <w:sz w:val="20"/>
          <w:szCs w:val="20"/>
          <w:color w:val="auto"/>
        </w:rPr>
      </w:pPr>
      <w:r>
        <w:rPr>
          <w:rFonts w:ascii="Times New Roman" w:cs="Times New Roman" w:eastAsia="Times New Roman" w:hAnsi="Times New Roman"/>
          <w:sz w:val="18"/>
          <w:szCs w:val="18"/>
          <w:color w:val="auto"/>
        </w:rPr>
        <w:t>Our common stock and warrants are traded on the NYSE under the symbols “OUST” and “OUST-WS”, and on the NYSE American under the symbol “OUST WTA”.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23, 2023, there were 418 registered holders of record of our common stock. The actual number of stockholders of our common stock is greater than this number of record holders and includes stockholders who are beneficial owners but whose shares of common stock are held in street name by banks, brokers and other nominees.</w:t>
      </w:r>
    </w:p>
    <w:p>
      <w:pPr>
        <w:spacing w:after="0" w:line="280" w:lineRule="exact"/>
        <w:rPr>
          <w:sz w:val="20"/>
          <w:szCs w:val="20"/>
          <w:color w:val="auto"/>
        </w:rPr>
      </w:pPr>
    </w:p>
    <w:p>
      <w:pPr>
        <w:ind w:right="29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Recent Sales of Unregistered Securities; Purchases of Equity Securities by the Issuer or Affiliated Purchaser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w:t>
      </w:r>
    </w:p>
    <w:p>
      <w:pPr>
        <w:spacing w:after="0" w:line="72"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i w:val="1"/>
          <w:iCs w:val="1"/>
          <w:color w:val="auto"/>
        </w:rPr>
        <w:t>On December 21, 2020, Ouster Technologies, Inc. (“OTI,”) entered into an Agreement and Plan of Merger (the “Colonnade Merger Agreement”) with Colonnade Acquisition Corp., a Cayman Islands exempted company (“CLA”), and Beam Merger Sub, Inc. (“Merger Sub”), a Delaware corporation and subsidiary of CLA. OTI’s and CLA’s board of directors unanimously approved OTI’s entry into the Colonnade Merger Agreement, and on March 11, 2021, the transactions contemplated by the Colonnade Merger Agreement were consummated (all such transactions, the “Business Combination”), as further</w:t>
      </w:r>
    </w:p>
    <w:p>
      <w:pPr>
        <w:spacing w:after="0" w:line="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described below. Pursuant to the terms of the Colonnade Merger Agreement, (i) CLA domesticated as a corporation incorporated under the laws of the State of Delaware (the “Domestication”) and changed its name to “Ouster, Inc.” (with CLA after such domestication and the other transactions pursuant to the Colonnade Merger Agreement being referred to as the “Company”) and (ii) Merger Sub merged with and into OTI (the “Colonnade Merger”), with OTI surviving the Colonnade Merger.</w:t>
      </w:r>
    </w:p>
    <w:p>
      <w:pPr>
        <w:spacing w:after="0" w:line="72"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“our,” “Ouster” and “the Company” refer to the business and operations of OTI (formerly known as Ouster, Inc.) and its consolidated subsidiaries prior to the Colonnade Merger and to Ouster, Inc. (formerly known as Colonnade Acquisition Corp.) and its consolidated subsidiaries following the consummation of the Colonnade Merger.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founded Ouster in 2015 with the invention of our high-performance digital lidar. To continue to grow our business in the coming years, we have expanded and plan to continue to expand our sales and marketing efforts and our software development capabilities, and to accelerate sensor development efforts. We are headquartered in San Francisco, CA.</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high-resolution digital lidar sensors that offer advanced 3D vision to machinery, vehicles, robots, and fixed infrastructure assets, which allows each to understand and visualize the surrounding world and ultimately enabling safe operation and autonomy. We design and manufacture digital lidar sensors that we believe are one of the highest-performing, lowest-cost lidar solutions available today across each of our four target markets: industrial automation; smart infrastructure; robotics; and automotive.</w:t>
      </w:r>
    </w:p>
    <w:p>
      <w:pPr>
        <w:spacing w:after="0" w:line="7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digital lidar sensors leverage a simplified architecture based on two semiconductor chips and are backed by a suite of patent-protected technology. We have invested heavily in patents since our inception, pursuing comprehensive coverage of invention families and use cases, with broad international coverage. We believe that our extensive patent coverage creates material barriers to entry for anyone aiming to compete in the digital lidar space.</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product offering today includes three models of sensors in our OS product line: the ultra-wide field of view OS0, the mid-range OS1, and the long-range OS2. In January 2020 we released new models in our OS product line, increasing the resolution of our OS1 model and introducing the OS0 and OS2 models. Within our OS sensor models, we offer numerous customization options, all enabled by embedded software. For each of our three models in the OS product line, we offer resolution options of 128 lines vertically (“channels”), 64 channels, or 32 channels, as well as many beam spacing options. We are currently developing our solid-state DF product line, which is a suite of short, mid, and long-range solid-state digital lidar sensors that provide uniform precision imaging without motion blur across an entire field of view. On October 19, 2022, we announced the launch of our newest OS series scanning sensors, REV7, powered by our next-generation L3 chip. REV7 features the all-new OSDome sensor, as well as upgraded OS0, OS1, and OS2 sensors that deliver double the range, enhanced object detection, increased precision and accuracy, and greater reliability. The new REV7 sensors offer performance upgrades that we believe will enhance Ouster’s market opportunity, driven by new opportunities for longer-range and mapping applications.</w:t>
      </w:r>
    </w:p>
    <w:p>
      <w:pPr>
        <w:spacing w:after="0" w:line="80"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We believe the simplicity of our digital lidar design gives us a meaningful advantage in costs related to manufacturing, supply chain and production yields. The same digital lidar architecture underpins our entire product portfolio which we believe drives economies of scale in our supply chains and speeds time to market. We are successfully expanding our manufacturing capacity by outsourcing to our manufacturing partner, Benchmark Electronics, Inc.</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(“Benchmark”). Benchmark manufactures our products at its facility in Thailand, which we expect will reduce our product costs and allow us to rapidly scale production to meet our anticipated product demand. We expect our manufacturing costs per unit to decrease further with higher volumes.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Velodyne Lidar, Inc.</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4, 2022, we entered into an Agreement and Plan of Merger (the “Velodyne Merger Agreement”) with Velodyne Lidar, Inc., a Delaware corporation (“Velodyne”), Oban Merger Sub, Inc., a Delaware corporation and one of our direct, wholly owned subsidiaries (“Velodyne Merger Sub I”) and Oban Merger Sub II LLC, a Delaware limited liability company and one of our direct, wholly owned subsidiaries (“Velodyne Merger Sub II”).</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10, 2023, we completed our merger of equals with Velodyne pursuant to the terms of the Agreement and Plan of Merger with Velodyne, Merger Sub I and Merger Sub II (the “Velodyne Merger”). In connection with the closing of the Velodyne Merger, we and Velodyne now operate as a single combined company. We believe the Velodyne Mergers will enhance our robust suite of product offerings; grow our diverse customer base; increase operational efficiencies; further develop our innovative product roadmap in anticipation for the future needs of the market; reduce our production costs; improve our path to profitability; and strengthen our future financial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Amazon Warrant</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Amazon.com NV Investment Holdings LLC, a wholly-owned subsidiary of Amazon.com, Inc. (“Amazon”), holds a warrant (“Amazon Warrant”) to acquire, following customary antidilution adjustments, up to an aggregate of 32,638,980 shares of our common stock at an exercise price of $5.07 per share. We assumed the Amazon Warrant as part of the Velodyne Merger. The exercise price and the warrant shares issuable upon exercise of the Amazon Warrant are subject to further antidilution adjustments, including in the event we make certain sales of common stock (or securities exercisable or convertible into or exchangeable for shares of our common stock) at a price less than the exercise price of the Amazon Warrant. The Amazon Warrant is subject to vesting; 50% of the unvested Amazon Warrant vested as a result of the Velodyne Merger and the remainder will vest over time based on payments by Amazon or its affiliates to us in connection with Amazon’s purchase of goods and services from us.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suppliers who are located worldwide, including some of our key suppliers, have been affected by the novel coronavirus (“COVID-19”) pandemic, resulting in persistent supply chain disruptions. We have been experiencing unfavorable purchase price variance and situational expedite fees in order to meet production and delivery timelines. While we may experience additional and new pressures on our supply chain that may or may not be related to the pandemic, we have been actively taking steps to mitigate the impact of the materials shortages on our business.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Some customers have delayed their orders and production schedules. In spite of what appears to be a “return-to-normal” in several regions, the pandemic continues to evolve, and the full extent to which it will directly or indirectly impact our business, results of operations and financial condition, including sales, expenses, reserves and allowances, manufacturing, research and development costs and personnel-related costs, will depend on future developments that are uncertain, including new information that may emerge concerning COVID-19, the impact of new variants and sub-variants and the actions taken to contain, prevent or treat COVID-19, rate and success of vaccination efforts, vaccination reticence, resurgence of the pandemic in areas where we, Benchmark or our suppliers operate, and the economic impact on local, regional, national and international customers and markets.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the situation remains uncertain and hard to predict, the COVID-19 pandemic may have a material negative impact on our future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Supply Chain Continuity. </w:t>
      </w:r>
      <w:r>
        <w:rPr>
          <w:rFonts w:ascii="Times New Roman" w:cs="Times New Roman" w:eastAsia="Times New Roman" w:hAnsi="Times New Roman"/>
          <w:sz w:val="18"/>
          <w:szCs w:val="18"/>
          <w:color w:val="auto"/>
        </w:rPr>
        <w:t>Beginning in 2021, a surge in demand for electronics containing semiconductor chips and stockpiling of chips by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created disruptions in the supply chain, which continue to persist and have resulted in a global chip shortage impacting our industry. Some chip manufacturers continue to estimate that this supply shortage may continue through the end of 2023. These chip manufacturers are working to increase capacity in the future, and we are managing our inventory and working closely with our regular suppliers and customers to minimize the potential impacts of any supply shortages including by securing additional inventory. While we do not expect the shortage to have a material near-term impact on our ability to meet existing demand for our current products, the shortage adversely impacted our gross margins for the years ended December 31, 2022 and 2021. We anticipate fluctuation in our cost of goods sold over the next 12-15 months as a result of ongoing supply chain constraints. These constraints have caused and may in the future cause us to implement certain temporary price surcharges. If our mitigating efforts are not successful or the shortage continues or worsens in ways we did not anticipate, our ability to supply or improve our current products as well as our development and rollout of future products could also be adversely affected.</w:t>
      </w:r>
    </w:p>
    <w:p>
      <w:pPr>
        <w:spacing w:after="0" w:line="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Commercialization of Lidar Applications. </w:t>
      </w:r>
      <w:r>
        <w:rPr>
          <w:rFonts w:ascii="Times New Roman" w:cs="Times New Roman" w:eastAsia="Times New Roman" w:hAnsi="Times New Roman"/>
          <w:sz w:val="18"/>
          <w:szCs w:val="18"/>
          <w:color w:val="auto"/>
        </w:rPr>
        <w:t>We believe that lidar is approaching its inflection point of adoption across our target end market applications,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are well-positioned to capitalize on this market adoption. However, as our customers continue research and development projects to commercialize semi-autonomous solutions that rely on lidar technology, it is difficult to estimate the timing of ultimate end market and customer adoption. As a result, we expect that our results of operations, including revenue and gross margins, will fluctuate on a quarterly and annual basis for the foreseeable future. As the market for lidar solutions matures and more customers reach a commercialization phase with solutions that rely on our technology, the fluctuations in our operating results may become less pronounced. Nonetheless, our revenue may not grow as we expect unless and until more customers commercialize their products and lidar technology becomes more prevalent across our target end markets.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Number of Customers in Production. </w:t>
      </w:r>
      <w:r>
        <w:rPr>
          <w:rFonts w:ascii="Times New Roman" w:cs="Times New Roman" w:eastAsia="Times New Roman" w:hAnsi="Times New Roman"/>
          <w:sz w:val="18"/>
          <w:szCs w:val="18"/>
          <w:color w:val="auto"/>
        </w:rPr>
        <w:t>For certain strategic customers and markets, our products must be integrated into a broader platform, which then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tested, validated, and achieve system-level performance and reliability thresholds that enable commercial production and sales. The time necessary to reach commercial production varies from six months to seven years, based on the market and application. For example, the production cycle in the automotive market tends to be substantially longer than in our other target markets, including industrial automation, smart infrastructure and robotics. It is critical to our future success in each of our target end markets that our customers reach commercial production and sales and that they select our products in their commercial production applications. Because the timelines to reach production vary significantly and the revenue generated by each customer in connection with commercial production and sales is unpredictable, it is difficult for us to reliably predict our financial performance.</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Customers’ Sales Volumes. </w:t>
      </w:r>
      <w:r>
        <w:rPr>
          <w:rFonts w:ascii="Times New Roman" w:cs="Times New Roman" w:eastAsia="Times New Roman" w:hAnsi="Times New Roman"/>
          <w:sz w:val="18"/>
          <w:szCs w:val="18"/>
          <w:color w:val="auto"/>
        </w:rPr>
        <w:t>Our customer base is diversified and we will continue to penetrate into diverse end markets to increase our sales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Ultimately widespread adoption of our customers’ products that incorporate our lidar solutions will depend on many factors, including the size of our customers’ end markets, end market penetration of our customer’s products that incorporate our digital lidar solutions, our end customers’ ability to sell their products, and the financial stability and reputation of the customers. We believe our sales volume by customer depends on the end market demand for our customers’ products that incorporate our digital lidar solutions as well as our ability to grow our sales force.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Average Selling Prices (“ASPs”), Product Costs and Margins. </w:t>
      </w:r>
      <w:r>
        <w:rPr>
          <w:rFonts w:ascii="Times New Roman" w:cs="Times New Roman" w:eastAsia="Times New Roman" w:hAnsi="Times New Roman"/>
          <w:sz w:val="18"/>
          <w:szCs w:val="18"/>
          <w:color w:val="auto"/>
        </w:rPr>
        <w:t>Our product costs and gross margins depend largely on the volumes of sensors sold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and variety of solutions we provide to our customers. We expect that our selling prices will vary by target end market and application due to market-specific supply and demand dynamics. We expect to continue to experience some downward pressure on margins from signing anticipated large multi-year agreements in the near term with multi-year negotiated pricing, as well as the supply chain constraints discussed above. We expect that these customer-specific selling price fluctuations combined with our volume-driven product costs may drive fluctuations in revenue and gross margins on a quarterly basis. However, notwithstanding any short-term price surcharges on our products, we expect that over time our volume-driven product costs will lead to gross margin improvement as our sales volume increases.</w:t>
      </w:r>
    </w:p>
    <w:p>
      <w:pPr>
        <w:spacing w:after="0" w:line="75"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Lidar is an emerging market, and there are many competitors for the growing market. This has created downward pressure on our ASPs,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particularly in the Asia and Pacific region. We expect this pressure to continue to push our ASPs lower in the coming years. However, we believe that because of our complementary metal-oxide-semiconductor, (“CMOS”), digital lidar technology, we are well-positioned to scale more rapidly than our competitors and leverage our scale to deliver positive gross margins.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Continued Investment and Innovation. </w:t>
      </w:r>
      <w:r>
        <w:rPr>
          <w:rFonts w:ascii="Times New Roman" w:cs="Times New Roman" w:eastAsia="Times New Roman" w:hAnsi="Times New Roman"/>
          <w:sz w:val="18"/>
          <w:szCs w:val="18"/>
          <w:color w:val="auto"/>
        </w:rPr>
        <w:t>We believe that we are a leading digital lidar provider. Our financial performance is significantly dependent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maintain this leading position which is further dependent on the investments we make in research and development. We believe it is essential that we continue to identify and respond to rapidly evolving customer requirements, including successfully realizing our product roadmap. If we fail to continue our innovation, our market position and revenue may be adversely affected, and our investments in that area will not be recovered.</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Trends and Uncertainties. </w:t>
      </w:r>
      <w:r>
        <w:rPr>
          <w:rFonts w:ascii="Times New Roman" w:cs="Times New Roman" w:eastAsia="Times New Roman" w:hAnsi="Times New Roman"/>
          <w:sz w:val="18"/>
          <w:szCs w:val="18"/>
          <w:color w:val="auto"/>
        </w:rPr>
        <w:t>We anticipate robust demand for our digital lidar solution. We estimate a multibillion dollar total addressable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(“TAM”) for our solutions in the near future. We define our TAM as automation applications in the industrial, smart infrastructure, robotics and automotive end markets where we actively engage and maintain customer relationships. Each of our target markets is potentially a significant global opportunity, and these markets have historically been underserved by limited or inferior technology or not served at all. We believe we are well positioned in our market as a leading provider of high-resolution digital lidar sensors.</w:t>
      </w:r>
    </w:p>
    <w:p>
      <w:pPr>
        <w:spacing w:after="0" w:line="7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Although increasing adoption of semi-autonomous solutions that rely on lidar technology may generate higher demand, we may not be able to take advantage of demand if we are unable to anticipate regulatory changes and adapt quickly enough to meet such new regulatory standards or requirements applicable to us or to our customers’ products in which our digital lidar sensors are used. Market acceptance of semi-autonomous solutions and active safety technology depend upon many factors, including cost, performance, safety performance, regulatory requirements and international taxes or tariffs related to such technologies. These factors may impact the ultimate market acceptance of our lidar technology.</w:t>
      </w:r>
    </w:p>
    <w:p>
      <w:pPr>
        <w:spacing w:after="0" w:line="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view international expansion as an important element of our strategy to increase revenue and achieve profitability.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position ourselves in geographic markets that we expect to serve as important sources of future growth. We have an existing presence in three regions: North and South America; Asia and Pacific; and Europe, Middle East and Africa. We intend to expand our presence in these regions over time including through distribution partnerships. Expanded global reach will require continued investment and may expose us to additional foreign currency risk, international taxes and tariffs, legal obligations and additional operational costs, risks and challenges that may impact our ability to meet our projected sales volumes, revenue and gross margins.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majority of our revenue comes from the sale of our digital lidar sensors and accessories both directly to end users and through distributors both domestically and internationally. We recognize revenue from product sales when the performance obligation of transferring control of the product to the customer has been met, generally when the product is shipped. We also recognize revenue by performing services related to product development and validation, and shipping; however, we do not expect product development and validation and license and services to be material components of revenue, cost of revenue or gross margin in the foreseeable future. Performance obligations related to services are generally recognized over time, based on cost-to-cost input basis or straight-line over time. Amounts billed to customers related to shipping and handling are classified as revenue, and we have elected to recognize the cost of shipping activities that occur after control has transferred to the customer as a fulfillment cost rather than a separate performance obligation. All related costs are accrued and recognized within cost of revenue when the related revenue is recognized.</w:t>
      </w:r>
    </w:p>
    <w:p>
      <w:pPr>
        <w:spacing w:after="0" w:line="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Most of our customers are innovators and early technology adopters incorporating our products into their solutions. Currently, our product revenue consists of both customers ordering small volumes of our products that are in an evaluation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phase and customers that order larger volumes of our products and have more predictable long-term production schedules. However, we are still at the very beginning of the lidar adoption curve, and some customers are still learning their ramp rates which can impact the timing of purchase orders quarter to quarter. As we grow our business we expect to improve predictability into our customers’ needs and timelines, and expect the timing of orders will have a less notable impact on our quarterly results. Over the coming years, as more of our customers move into their respective production phases, we expect the majority of our product revenue to shift to larger volume orders based on predictable production schedules. We also expect a significant amount of our revenue to come from international customers, and anticipate that our sales from regions outside of the Americas will continue to grow over the long-term.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Cost of revenue consists of the manufacturing cost of our digital lidar sensors, which primarily consists of sensor components, personnel-related expenses, including salaries, benefits, and stock-based compensation directly associated with our manufacturing organization, and amounts paid to our third-party contract manufacturer and vendors. Our cost of revenue also includes depreciation of manufacturing equipment, an allocated portion of overhead, facility and IT costs, reserves for estimated warranty expenses, excess and obsolete inventory and shipping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gross profit equals total revenues less our total cost of revenues, and our gross margin is our gross profit expressed as a percentage of total revenue. We experienced negative gross margins from the fourth quarter of 2018 until we turned gross margin positive during 2020 primarily due to increased unit volumes which improved our ability to absorb fixed costs and lowered material costs by increasing our buying power and a shift to outsourced mass production of our sensors to Benchmark, who has leverage for greater volume discounts and lower overhead costs. Subject to quarterly fluctuations and volatility, we expect unit costs to decline as we manufacture higher unit volumes of sensors and a greater portion of our sensors are produced by our contract manufacturer in Thailand.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(“R&amp;D”) activities are primarily conducted at our San Francisco based headquarters and our additional R&amp;D facility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Edinburgh, Scotland and consist of the following activities:</w:t>
      </w:r>
    </w:p>
    <w:p>
      <w:pPr>
        <w:spacing w:after="0" w:line="4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prototyping, and testing of proprietary electrical, optical, and mechanical subsystems for our digital lidar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testing for industrial and autonomous vehicle safety certifications;</w:t>
      </w:r>
    </w:p>
    <w:p>
      <w:pPr>
        <w:spacing w:after="0" w:line="63"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enhancements to existing products in response to customer requirements including firmware development and software development of lidar integration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 system-on-a-chip (“SoC”) design for Ouster’s digital lidar products;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custom manufacturing equipment.</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R&amp;D expenses consist of personnel-related expenses, including salaries, benefits, and stock-based compensation, for all personnel directly involved in R&amp;D activities, third-party engineering and contractor costs, and prototype expenses.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R&amp;D costs are expensed as they are incurred. Our investment in R&amp;D will continue to grow as we invest in new lidar technology and related software. Our absolute amount of R&amp;D expenses will grow over time; however, we expect R&amp;D as a percentage of revenue to decrease over time as our business grows.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business development, customer support and marketing teams are located in offices worldwide. Selling and marketing expenses consist of personnel-related expenses, including salaries, benefits, and stock-based compensation, for all personnel directly involved in business development, customer support, and marketing activities, and marketing expenses including trade shows, advertising, and demonstration equipment. We have experienced additional sales and marketing expenses as a result of our global expansion, and expect sales and marketing spend as a percentage of revenue to decrease over time as our business grows.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expenses, including salaries, benefits, and stock-based compensation, of our executives and members of the board of directors, finance, human resource, IT, and legal departments as well as fees related to legal fees, patent prosecution, accounting, finance and professional services as well as insurance and bank fees. Our absolute amount of general and administrative expenses will grow over time; however, we expect the general and administrative spend as a percentage of revenue to decrease over time as our business grows. We have experienced and may in the near term experience additional increases in general and administrative expenses related to legal, accounting, finance and professional services costs associated with the Velodyne Merger, hiring more personnel and consultants to support our growing international expansion and compliance with the applicable provisions of the Sarbanes-Oxley Act (“SOX”) and other SEC rules and regulations as a result of being a public company.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121"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Interest income consists primarily of income earned on our cash and cash equivalents. These amounts will vary based on our cash and cash equivalents balances and market rates. Interest expense consists primarily of interest on our debt and convertible notes and amortization of debt issuance costs and discounts. Other income (expense), net consists primarily of realized and unrealized gains and losses on foreign currency transactions and balances, the change in fair value of financial instruments, including warrants issued in connection with a debt agreement, and warrants initially issued by CLA in a private placement.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income tax provision consists of federal, state and foreign current and deferred income taxes. Our income tax provision for interim periods is determined using an estimate of our annual effective tax rate, adjusted for discrete items arising in the quarter. Our effective tax rate differs from the U.S. statutory tax rate primarily due to valuation allowances on deferred tax assets as it is more likely than not that some, or all, of our deferred tax assets will not be realized. We continue to maintain a full valuation allowance against our net deferred tax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For a discussion of the Company’s results of operations and liquidity and capital resources for the year ended December 31, 2020, including a year-to-year comparison between the year ended December 31, 2021 to the year ended December 31, 2020, refer to “Item 7. Management’s Discussion and Analysis of Financial Condition and Results of Operations,” in Part II of the Company’s Annual Report on Form 10-K for the year ended December 31, 2021, filed with the SEC on February 28, 2022.</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years ended December 31, 2022 and 2021: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r>
      <w:tr>
        <w:trPr>
          <w:trHeight w:val="229"/>
        </w:trPr>
        <w:tc>
          <w:tcPr>
            <w:tcW w:w="81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24,492</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108,796</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(96,775)</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from) for 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and comprehensive loss data as a percentage of revenue for the periods presented:</w:t>
      </w:r>
    </w:p>
    <w:p>
      <w:pPr>
        <w:spacing w:after="0" w:line="1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 revenue)</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8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9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from) for income tax expense</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9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stock-based compensation expense as follows:</w:t>
      </w:r>
    </w:p>
    <w:p>
      <w:pPr>
        <w:spacing w:after="0" w:line="20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5" w:lineRule="exact"/>
        <w:rPr>
          <w:sz w:val="20"/>
          <w:szCs w:val="20"/>
          <w:color w:val="auto"/>
        </w:rPr>
      </w:pPr>
    </w:p>
    <w:p>
      <w:pPr>
        <w:jc w:val="both"/>
        <w:ind w:left="878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33655</wp:posOffset>
            </wp:positionV>
            <wp:extent cx="1945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ectPr>
          <w:pgSz w:w="11900" w:h="16838" w:orient="portrait"/>
          <w:cols w:equalWidth="0" w:num="1">
            <w:col w:w="11240"/>
          </w:cols>
          <w:pgMar w:left="320" w:top="198"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1820" w:type="dxa"/>
        <w:tblCellMar>
          <w:top w:w="0" w:type="dxa"/>
          <w:left w:w="0" w:type="dxa"/>
          <w:bottom w:w="0" w:type="dxa"/>
          <w:right w:w="0" w:type="dxa"/>
        </w:tblCellMar>
      </w:tblPr>
      <w:tr>
        <w:trPr>
          <w:trHeight w:val="229"/>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29"/>
        </w:trPr>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34"/>
        </w:trPr>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w:t>
            </w:r>
          </w:p>
        </w:tc>
      </w:tr>
      <w:tr>
        <w:trPr>
          <w:trHeight w:val="223"/>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25,363</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-770890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-479425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2022 - 2021 Change</w:t>
            </w:r>
          </w:p>
        </w:tc>
      </w:tr>
      <w:tr>
        <w:trPr>
          <w:trHeight w:val="23"/>
        </w:trPr>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5640" w:space="720"/>
            <w:col w:w="4880"/>
          </w:cols>
          <w:pgMar w:left="320" w:top="198"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by geographic location:</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 and Pacific</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6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increased by $7.5 million, or 22%, to $41.0 million for the year ended December 31, 2022 from $33.6 million for the prior year. The increase in product revenue was driven by an increase in volume of 34%, which we attribute primarily to the expansion of our sales team and the increase of high volume, long-term deals as some of our customers begin to move into the production stage. Our average selling price declined by 9%.</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Locations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Americas revenue remained relatively flat compared to prior year. Revenue increase in Asia and Pacific, Europe, Middle East and Africa regions was primarily attributable to our continued focus and investment in our global sales team and an increase in the demand of our products in the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2022 - 2021 Change</w:t>
            </w:r>
          </w:p>
        </w:tc>
      </w:tr>
      <w:tr>
        <w:trPr>
          <w:trHeight w:val="23"/>
        </w:trPr>
        <w:tc>
          <w:tcPr>
            <w:tcW w:w="6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3"/>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30,099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Cost of revenue increased by $5.6 million, or 23%, to $30.1 million for the year ended December 31, 2022 from $24.5 million for the prior year. The increase in cost of revenue was primarily attributable to increase related to volume of units shipped.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Gross margin was flat at 27% for the year ended December 31, 2022 as the result of 8% decrease in cost per unit offset by the 9% decrease in average selling prices.</w:t>
      </w:r>
    </w:p>
    <w:p>
      <w:pPr>
        <w:sectPr>
          <w:pgSz w:w="11900" w:h="16838" w:orient="portrait"/>
          <w:cols w:equalWidth="0" w:num="1">
            <w:col w:w="11240"/>
          </w:cols>
          <w:pgMar w:left="320" w:top="198"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900" w:type="dxa"/>
            <w:vAlign w:val="bottom"/>
            <w:gridSpan w:val="3"/>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2022 - 2021 Change</w:t>
            </w:r>
          </w:p>
        </w:tc>
      </w:tr>
      <w:tr>
        <w:trPr>
          <w:trHeight w:val="23"/>
        </w:trPr>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29,738</w:t>
            </w:r>
          </w:p>
        </w:tc>
        <w:tc>
          <w:tcPr>
            <w:tcW w:w="80" w:type="dxa"/>
            <w:vAlign w:val="bottom"/>
          </w:tcPr>
          <w:p>
            <w:pPr>
              <w:spacing w:after="0"/>
              <w:rPr>
                <w:sz w:val="19"/>
                <w:szCs w:val="19"/>
                <w:color w:val="auto"/>
              </w:rPr>
            </w:pPr>
          </w:p>
        </w:tc>
        <w:tc>
          <w:tcPr>
            <w:tcW w:w="1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47,557</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$29.7 million, or 86%, to $64.3 million for the year ended December 31, 2022 from $34.6 million in the prior year. The increase was primarily attributable to the $11.6 million increase in payroll-related expenses, $6.7 million increase in stock-based compensation expense, $6.5 million increase in contractor, prototype, and equipment costs related to product development, $2.6 million increase in depreciation and amortization expense mainly due to acquired developed technology amortization, and $2.3 million in other materials and supplies, facilities, professional fees and other miscellaneous costs attributable to research and development functions. The increase in employee-related expenses was mainly due to the higher headcount associated with the Sense Photonics, Inc. acquisition.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$8.6 million, or 39%, to $30.8 million for the year ended December 31, 2022 from $22.3 million in the prior year. The increase was primarily attributable to the $5.3 million increase in payroll and personnel-related costs and the $3.2 million increase in stock-based compensation expense driven by the addition of sales personnel globally.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$9.2 million, or 18%, to $61.2 million for the year ended December 31, 2022 from $52.0 million in the prior year. The change was primarily attributable to the $2.6 million increase in litigation costs, $2.5 million increase in payroll and personnel-related costs, $2.3 million increase in professional services fees primarily related to Velodyne Merger, $2.2 million increase in office, facility and other expenses, $1.3 million increase in depreciation and amortization expenses and $1.1 million increase in insurance premiums, partially offset by a decrease of $2.8 million in stock-based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8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2022 - 2021 Change</w:t>
            </w:r>
          </w:p>
        </w:tc>
      </w:tr>
      <w:tr>
        <w:trPr>
          <w:trHeight w:val="23"/>
        </w:trPr>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2,208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369 %</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80" w:type="dxa"/>
            <w:vAlign w:val="bottom"/>
          </w:tcPr>
          <w:p>
            <w:pPr>
              <w:jc w:val="center"/>
              <w:ind w:left="219"/>
              <w:spacing w:after="0"/>
              <w:rPr>
                <w:sz w:val="20"/>
                <w:szCs w:val="20"/>
                <w:color w:val="auto"/>
              </w:rPr>
            </w:pPr>
            <w:r>
              <w:rPr>
                <w:rFonts w:ascii="Times New Roman" w:cs="Times New Roman" w:eastAsia="Times New Roman" w:hAnsi="Times New Roman"/>
                <w:sz w:val="18"/>
                <w:szCs w:val="18"/>
                <w:color w:val="auto"/>
                <w:w w:val="98"/>
              </w:rPr>
              <w:t>(2,694)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9"/>
                <w:szCs w:val="19"/>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8"/>
                <w:szCs w:val="18"/>
                <w:color w:val="auto"/>
                <w:w w:val="98"/>
              </w:rPr>
              <w:t>7,654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4,686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40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income was $2.2 million for the year ended December 31, 2022 compared to $0.5 million for the prior year. The increase in interest income was primarily attributable to higher interest rates on excess cash and cash equivalent balances.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expense was $2.7 million for the year ended December 31, 2022 compared to $0.5 million for the prior year. We recorded interest expense on our debt and amortization of debt issuance costs and discount in the year ended December 31, 2022 relating to multiple term loan borrowings and amortization of debt issuance costs and discount under our Loan and Security Agreement with Hercules Capital, Inc., dated April 29, 2022 (as amended, the “Term Loan Facility”). Interest expense recorded in the year ended December 31, 2021 primarily consisted of interest and amortization of debt issuance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and discount on the loan and security agreement with Runway Growth Credit and Fund Inc., which was terminated on March 26,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was $7.7 million for the year ended December 31, 2022 compared to $3.0 million for the prior year.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 recorded a gain of $7.4 million for the fair value change of private placement warrant liability.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 recorded a gain of $11.8 million for the fair value change of warrant liability and a loss of $8.8 million for the fair value change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2022 - 2021 Change</w:t>
            </w:r>
          </w:p>
        </w:tc>
      </w:tr>
      <w:tr>
        <w:trPr>
          <w:trHeight w:val="23"/>
        </w:trPr>
        <w:tc>
          <w:tcPr>
            <w:tcW w:w="6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(138,255)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(96,775)</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(41,480)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from) for income tax expense</w:t>
            </w:r>
          </w:p>
        </w:tc>
        <w:tc>
          <w:tcPr>
            <w:tcW w:w="28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9"/>
                <w:szCs w:val="19"/>
                <w:color w:val="auto"/>
              </w:rPr>
            </w:pP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effective tax rate was (0.22)% for the year ended December 31, 2022 compared to our effective tax benefit of 2.89% for the prior year. Our tax expense changed by $3.1 million during the year ended December 31, 2022, compared to prior year, primarily due to the release of the valuation allowance as a result of recording a deferred tax liability from an acquisition during the year ended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cash generated from product revenues, sales of common stock under our at-the market equity offering program and our Loan Agreement with Hercules Capital, Inc.</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requirements for liquidity and capital are working capital, inventory management, capital expenditures, public company costs and general corporate needs. We expect these needs to continue as we develop and grow our business. Prior to the Colonnade Merger, we primarily funded our operations from the net proceeds from sales of our preferred convertible stock and convertible notes, borrowing under our loan and security agreement with Runway Growth Credit Fund, Inc. and product revenue. Upon closing of the Colonnade Merger, we received gross proceeds of $299.9 million from the Colonnade Merger and private offering, offset by $8.5 million of pre-merger costs relating to CLA and transactions cost of $26.6 million.</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29, 2022, we entered into an open market sale agreement with B. Riley Securities, Inc., Cantor Fitzgerald &amp; Co. and Oppenheimer &amp; Co. Inc. (the “ATM Agreement”), pursuant to which we may offer and sell shares of our common stock with an aggregate offering price of up to $150.0 million under an “at the market” offering program. Subject to the terms and conditions of the agreement, we may sell the shares in amounts and at times to be determined by us but we are under no obligation to sell any of the shares. Actual sales, if any, will depend on a variety of factors to be determined by us from time to time, including, among other things, market conditions, the trading price of our common stock, capital needs and determinations by us of the appropriate sources of funding. During the year ended December 31, 2022, we sold 7,833,709 shares of common stock for net proceeds of $15.8 million under the ATM Agreement. We currently intend to use the net proceeds from the sale of shares pursuant to the ATM Agreement for working capital and general corporate purposes.</w:t>
      </w:r>
    </w:p>
    <w:p>
      <w:pPr>
        <w:spacing w:after="0" w:line="84" w:lineRule="exact"/>
        <w:rPr>
          <w:sz w:val="20"/>
          <w:szCs w:val="20"/>
          <w:color w:val="auto"/>
        </w:rPr>
      </w:pPr>
    </w:p>
    <w:p>
      <w:pPr>
        <w:ind w:right="660"/>
        <w:spacing w:after="0" w:line="254" w:lineRule="auto"/>
        <w:rPr>
          <w:sz w:val="20"/>
          <w:szCs w:val="20"/>
          <w:color w:val="auto"/>
        </w:rPr>
      </w:pPr>
      <w:r>
        <w:rPr>
          <w:rFonts w:ascii="Times New Roman" w:cs="Times New Roman" w:eastAsia="Times New Roman" w:hAnsi="Times New Roman"/>
          <w:sz w:val="18"/>
          <w:szCs w:val="18"/>
          <w:color w:val="auto"/>
        </w:rPr>
        <w:t>On April 29, 2022, we entered into a loan and security agreement (the “Loan Agreement”) with Hercules Capital, Inc. (“Hercules”). For additional information, see “Debt Arrangements” below.</w:t>
      </w:r>
    </w:p>
    <w:p>
      <w:pPr>
        <w:spacing w:after="0"/>
        <w:rPr>
          <w:sz w:val="20"/>
          <w:szCs w:val="20"/>
          <w:color w:val="auto"/>
        </w:rPr>
      </w:pPr>
      <w:r>
        <w:rPr>
          <w:rFonts w:ascii="Times New Roman" w:cs="Times New Roman" w:eastAsia="Times New Roman" w:hAnsi="Times New Roman"/>
          <w:sz w:val="18"/>
          <w:szCs w:val="18"/>
          <w:color w:val="auto"/>
        </w:rPr>
        <w:t>As of December 31, 2022 we had an accumulated deficit of $441.9 million and cash and cash equivalents of $122.9 million. We manage our cash and cash</w:t>
      </w:r>
    </w:p>
    <w:p>
      <w:pPr>
        <w:spacing w:after="0" w:line="1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equivalents with financial institutions that we believe have high credit quality and, at times, such amounts exceed federally insured limits. The failure of any bank with which we maintain a commercial relationship could cause us to lose our deposits in excess of the federally insured or protected amounts. We have experienced recurring losses from operations, and negative cash flows from operations, and we expect to continue operating at a loss and to have negative cash flows from operations for the foreseeable future. Because we are in the growth stage of our business and operate in an emerging field of technology, we expect to continue to invest in research and development and expand our sales and marketing teams worldwide. We may require additional capital to respond to technological advancements, competitive dynamics or technologies, customer demands, business opportunities, challenges, acquisitions or unforeseen circumstances and in either the short-term or long-term may determine to engage in equity or debt financings or enter into credit facilities for other reasons. If we are unable to obtain adequate financing or financing 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terms satisfactory to us, when we require it, our ability to continue to grow or support our business and to respond to business challenges could be significantly limited. In particular, the widespread COVID-19 pandemic and current macroeconomic conditions, including elevated inflation rates and high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Arrangements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described above, on April 29, 2022, we entered into the Loan Agreement with Hercules, which provided us with a term loan facility of up to $50.0 million, subject to terms and conditions (the “Term Loan Facility”). As of December 31, 2022, $40.0 million has been drawn to date under the Loan Agreement, and can be used for general working capital purposes subject to certain terms and conditions. As of December 31, 2022, we did not achieve certain conditions relating to the achievement of trailing twelve month revenue and profit milestones therefore an additional $10.0 million under the Term Loan Facility is no longer available to us.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contemplation of entry into the Velodyne Merger Agreement, on November 1, 2022, we entered into a Consent and Second Amendment to Loan and Security Agreement (the “Second Amendment”), amending the Loan Agreement. Pursuant to the terms of the Second Amendment, the financial covenant requiring us to achieve certain trailing twelve month revenue thresholds commencing with the quarter ending June 30, 2023 was eliminated and replaced, contingent upon and effective as of the closing of the Velodyne Merger, with a minimum liquidity financial covenant whereby we must maintain at least $60 million of cash in deposit accounts that are subject to an account control agreement in favor of Hercules.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February 10, 2023, we entered into the Third Amendment to Loan and Security Agreement (the “Third Amendment”), which amends certain provisions of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spacing w:after="0" w:line="6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terms of the Loan Agreement, see Note 7. Debt and Note 18. Subsequent Events to our consolidated financial statements included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consolidated balance sheet as of December 31, 2022, while others are considered future commitments. Our contractual obligations primarily consist of non-cancelable purchase commitments with various parties to purchase goods or services, primarily inventory, entered into in the normal course of business and operating leases. For information regarding our other contractual obligations, refer to Note 9. Leases and Note 10. Commitments and Contingencies.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3"/>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3"/>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(110,690)</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(71,061)</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(15,229)</w:t>
            </w:r>
          </w:p>
        </w:tc>
      </w:tr>
      <w:tr>
        <w:trPr>
          <w:trHeight w:val="234"/>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55,602</w:t>
            </w:r>
          </w:p>
        </w:tc>
        <w:tc>
          <w:tcPr>
            <w:tcW w:w="400" w:type="dxa"/>
            <w:vAlign w:val="bottom"/>
          </w:tcPr>
          <w:p>
            <w:pPr>
              <w:spacing w:after="0"/>
              <w:rPr>
                <w:sz w:val="20"/>
                <w:szCs w:val="20"/>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258,304</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$110.7 million in cash. The primary factors affecting our operating cash flows during this period were our net loss of $138.6 million, impacted by our non-cash charges of $41.4 million primarily consisting of depreciation and amortization of $9.5 million, stock-based compensation of $33.3 million, change in right-of-use asset of $2.7 million, interest expense and amortization of debt issuance costs and debt discount of $1.0 million, a $7.4 million change in fair value of warrant liabilities, inventory write down of $1.6 million allowance for expected credit losses of $0.3 million and loss from disposal of property and equipment of $0.4 million. The cash used in changes in our operating assets and liabilities of $13.5 million was primarily due to an increase in accounts receivable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$0.9 million, an increase in inventories of $13.7 million, an increase in prepaid expenses and other assets of $3.1 million, an increase in accounts payable of $4.2 million, an increase in accrued and other liabilities of $3.2 million and a decrease in operating lease liability of $3.2 million.</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operating activities used $71.1 million in cash. The primary factors affecting our operating cash flows during this period were our net loss of $94.0 million, impacted by our non-cash charges of $29.1 million primarily consisting of depreciation and amortization of $5.5 million, stock-based compensation of $25.4 million, change in deferred income taxes of $2.5 million, change in right-of-use asset of $2.2 million, amortization of debt issuance costs and debt discount of $0.3 million, $2.9 million change in fair value of warrant liabilities, inventory write down of $0.8 million and allowance for expected credit losses of $0.4 million. The cash used in changes in our operating assets and liabilities of $6.1 million was primarily due to an increase in accounts receivable of $8.0 million, an increase in inventories of $3.4 million, a decrease in prepaid expenses and other assets of $0.4 million, a decrease in accounts payable of $2.4 million, an increase in accrued and other liabilities of $9.1 million and a decrease of operating lease liability of $1.7 million.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cash used in investing activities was $5.1 million, which was primarily related to purchases of property, plant and equipment of $5.4 million, partially offset by sales of property and equipment of $0.3 million.</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cash used in investing activities was $15.2 million, which was primarily related to cash used for our acquisition of Sense, net of cash acquired, of $10.9 million and purchases of property, plant and equipment of $4.3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cash provided by financing activities was $55.6 million, consisting primarily of $39.1 million of proceeds from borrowings, net of debt discount and issuance costs, $16.3 million of proceeds from the issuance of common stock under the ATM Agreement, net of commissions and fees, proceeds from exercise of stock options of $0.5 million and proceeds from ESPP purchase of $0.4 million.</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cash provided by financing activities was $258.3 million, consisting primarily of net proceeds from the Colonnade Merger and PIPE Investment of $264.8 million, and proceeds from exercise of stock options of $0.5 million, partially offset by repayment of debt of $7.0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we may record certain adjustments to the carrying value of the assets acquired and liabilities assumed with the corresponding offset to goodwill.</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measurement period, all adjustments are recorded in the consolidated statements of operations within other income (expense), net.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recoverability of goodwill is evaluated annually or whenever events or changes in circumstances indicate that the fair value of the reporting unit is less than its carrying amount. The Company’s impairment evaluation of goodwill consists of a qualitative assessment to determine if it is more likely than not that the fair value of its single reporting unit is less than its carrying amount. The Company’s qualitative assessment considers factors including changes in the macroeconomic, industry and market conditions, a sustained share price or market capitalization decrease, and if there is any other specific event. If this qualitative assessment indicates it is more likely than not that the estimated fair value of a reporting unit exceeds its carrying value, no further analysis is required and goodwill is not impaired. Otherwise, we compare the estimated fair value of the asset to its carrying amount with an impairment loss recognized for the amount, if any, by which carrying value exceeds estimated fair value.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When the Company performs the quantitative test for goodwill, fair values are determined using a combination of the discounted cash flow approach (“income approach”) and the guideline public company method (“market approach”). This approach requires the use of significant estimates and assumption including forecasted future cash flows, long-term future growth rates and discount rates. Estimating the fair value of reporting unit requires the use of estimates and significant judgments that are based on a number of factors including actual operating results. It is reasonably possible that the judgments and estimates described above could change in future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Inventories are stated at the lower of cost or estimated net realizable value. Costs are computed under the standard cost method, which approximates actual costs determined on the first in, first out basis. We record write-downs of inventories which are obsolete or in excess of anticipated demand. Significant judgment is used in establishing our forecasts of future demand and obsolete material exposures. We consider marketability and product life cycle stage, product development plans, demand forecasts, and assumptions about future demand and market conditions in establishing our estimates. If the actual component usage and product demand are significantly lower than forecast, which may be caused by factors within and outside of our control, or if there were a higher incidence of inventory obsolescence because of rapidly changing technology and our customer requirements, we may be required to increase our inventory write-downs. A change in our estimates could have a significant impact on the value of our inventory and our results of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to a lesser extent, inflation risk. The following analysis provides quantitative information regarding these risks.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General inflation in the U.S., Europe and other geographies has risen to levels not experienced in recent decades. General inflation, including rising prices for inputs and rising wages, as well as rising interest rates negatively impact our business by increasing our operating costs. General inflation also negatively impacts our business by decreasing the capital for our customers to deploy to purchase our products. Inflation may cause our customers to reduce or delay orders for our products thereby causing a decrease in sales. Increased instability relating to this higher inflation as well as rising interest rates may enhance volatility in currency exchange rates, limit our suppliers’ and customers’ access to credit and limit our ability to access debt and equity financing. These uncertainties may make it difficult for us and our suppliers and customers to accurately plan future business activities and materially adversely impact our operating results and financial condition. While we adjust our prices to try to offset rising operating costs, we may not be able to fully offset such higher costs or demand may decline. Our inability to offset costs or consequential decline in demand could harm our business, results of operations or financial condition. We do not believe that inflation has had a material effect on our business, financial condition, or results of operations, other than its impact on the general economy. We cannot assure you, however, that our results of operations and financial condition will not be materially impacted by inflation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 Our exposures to market risk for changes in interest rates relate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primarily to our cash and cash equivalents balances and our debt arrangements which bear floating interest rates. A rising interest rate environment will increase the amount of interest paid on our loans. Based upon a sensitivity analysis, a hypothetical 100 basis point increase in interest rates would have increased our interest expense by $0.4 million for the year ended December 31, 2022.</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approximately $122.9 million, out of which $121.1 million consisted of money market funds, which carries a degree of interest rate risk. Based upon a sensitivity analysis, a hypothetical 10% change in interest rates would not have a material impact on our financial condition or results of operations due to the short-term nature of our investment portfolio.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generated in U.S. dollars. Our expenses are generally denominated in the currencies of the jurisdictions in which we conduct our operations, which are primarily in the U.S. and to a lesser extent in Asia and Europe.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 rates applicable to our business would not have a material impact on our historical consolidated financial statements. To date, we have not engaged in any hedging strategies. As our international operations grow, we will continue to reassess our approach to manage our risk relating to fluctuations in currency rates. No strategy can completely insulate us from risks associated with such fluctuations and our currency exchange rate risk management activities could expose us to substantial losses if such rates move materially differently from our expectations.</w:t>
      </w: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98"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3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168"/>
        </w:trPr>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8"/>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36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OUSTER, INC.</w:t>
            </w:r>
          </w:p>
        </w:tc>
        <w:tc>
          <w:tcPr>
            <w:tcW w:w="136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3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98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PCAOB ID 238</w:t>
            </w:r>
            <w:r>
              <w:rPr>
                <w:rFonts w:ascii="Times New Roman" w:cs="Times New Roman" w:eastAsia="Times New Roman" w:hAnsi="Times New Roman"/>
                <w:sz w:val="18"/>
                <w:szCs w:val="18"/>
                <w:color w:val="000000"/>
              </w:rPr>
              <w:t>)</w:t>
            </w:r>
          </w:p>
        </w:tc>
        <w:tc>
          <w:tcPr>
            <w:tcW w:w="1360" w:type="dxa"/>
            <w:vAlign w:val="bottom"/>
          </w:tcPr>
          <w:p>
            <w:pPr>
              <w:jc w:val="right"/>
              <w:ind w:right="570"/>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2021</w:t>
            </w:r>
          </w:p>
        </w:tc>
        <w:tc>
          <w:tcPr>
            <w:tcW w:w="5200" w:type="dxa"/>
            <w:vAlign w:val="bottom"/>
            <w:gridSpan w:val="6"/>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64</w:t>
            </w:r>
          </w:p>
        </w:tc>
      </w:tr>
      <w:tr>
        <w:trPr>
          <w:trHeight w:val="209"/>
        </w:trPr>
        <w:tc>
          <w:tcPr>
            <w:tcW w:w="2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2022,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and 2020</w:t>
            </w: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Convertible Preferred Stock and Stockholders’ Equity (Deficit) for the Years</w:t>
            </w:r>
          </w:p>
        </w:tc>
        <w:tc>
          <w:tcPr>
            <w:tcW w:w="136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Ended December 31, 2022, 2021, and 2020</w:t>
            </w:r>
          </w:p>
        </w:tc>
        <w:tc>
          <w:tcPr>
            <w:tcW w:w="40" w:type="dxa"/>
            <w:vAlign w:val="bottom"/>
            <w:tcBorders>
              <w:top w:val="single" w:sz="8" w:color="0000FF"/>
              <w:bottom w:val="single" w:sz="8" w:color="0000FF"/>
            </w:tcBorders>
          </w:tcPr>
          <w:p>
            <w:pPr>
              <w:spacing w:after="0"/>
              <w:rPr>
                <w:sz w:val="15"/>
                <w:szCs w:val="15"/>
                <w:color w:val="auto"/>
              </w:rPr>
            </w:pPr>
          </w:p>
        </w:tc>
        <w:tc>
          <w:tcPr>
            <w:tcW w:w="3900" w:type="dxa"/>
            <w:vAlign w:val="bottom"/>
            <w:tcBorders>
              <w:top w:val="single" w:sz="8" w:color="0000FF"/>
              <w:bottom w:val="single" w:sz="8" w:color="0000FF"/>
            </w:tcBorders>
            <w:gridSpan w:val="3"/>
          </w:tcPr>
          <w:p>
            <w:pPr>
              <w:spacing w:after="0"/>
              <w:rPr>
                <w:sz w:val="15"/>
                <w:szCs w:val="15"/>
                <w:color w:val="auto"/>
              </w:rPr>
            </w:pPr>
          </w:p>
        </w:tc>
        <w:tc>
          <w:tcPr>
            <w:tcW w:w="2280" w:type="dxa"/>
            <w:vAlign w:val="bottom"/>
            <w:tcBorders>
              <w:top w:val="single" w:sz="8" w:color="0000FF"/>
              <w:bottom w:val="single" w:sz="8" w:color="0000FF"/>
            </w:tcBorders>
            <w:gridSpan w:val="4"/>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66</w:t>
            </w:r>
          </w:p>
        </w:tc>
      </w:tr>
      <w:tr>
        <w:trPr>
          <w:trHeight w:val="236"/>
        </w:trPr>
        <w:tc>
          <w:tcPr>
            <w:tcW w:w="20" w:type="dxa"/>
            <w:vAlign w:val="bottom"/>
          </w:tcPr>
          <w:p>
            <w:pPr>
              <w:spacing w:after="0"/>
              <w:rPr>
                <w:sz w:val="20"/>
                <w:szCs w:val="20"/>
                <w:color w:val="auto"/>
              </w:rPr>
            </w:pPr>
          </w:p>
        </w:tc>
        <w:tc>
          <w:tcPr>
            <w:tcW w:w="7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2800" w:type="dxa"/>
            <w:vAlign w:val="bottom"/>
            <w:gridSpan w:val="5"/>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68</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700" w:type="dxa"/>
            <w:vAlign w:val="bottom"/>
            <w:gridSpan w:val="8"/>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69</w:t>
            </w:r>
          </w:p>
        </w:tc>
      </w:tr>
      <w:tr>
        <w:trPr>
          <w:trHeight w:val="911"/>
        </w:trPr>
        <w:tc>
          <w:tcPr>
            <w:tcW w:w="7080" w:type="dxa"/>
            <w:vAlign w:val="bottom"/>
            <w:gridSpan w:val="7"/>
          </w:tcPr>
          <w:p>
            <w:pPr>
              <w:jc w:val="center"/>
              <w:ind w:left="4090"/>
              <w:spacing w:after="0"/>
              <w:rPr>
                <w:sz w:val="20"/>
                <w:szCs w:val="20"/>
                <w:color w:val="auto"/>
              </w:rPr>
            </w:pPr>
            <w:r>
              <w:rPr>
                <w:rFonts w:ascii="Times New Roman" w:cs="Times New Roman" w:eastAsia="Times New Roman" w:hAnsi="Times New Roman"/>
                <w:sz w:val="18"/>
                <w:szCs w:val="18"/>
                <w:color w:val="auto"/>
                <w:w w:val="99"/>
              </w:rPr>
              <w:t>61</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360" w:firstLine="3364"/>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Ouster, Inc. </w:t>
      </w:r>
      <w:r>
        <w:rPr>
          <w:rFonts w:ascii="Times New Roman" w:cs="Times New Roman" w:eastAsia="Times New Roman" w:hAnsi="Times New Roman"/>
          <w:sz w:val="18"/>
          <w:szCs w:val="18"/>
          <w:b w:val="1"/>
          <w:bCs w:val="1"/>
          <w:i w:val="1"/>
          <w:iCs w:val="1"/>
          <w:color w:val="auto"/>
        </w:rPr>
        <w:t>Opinion on the Financial Statements</w:t>
      </w:r>
    </w:p>
    <w:p>
      <w:pPr>
        <w:spacing w:after="0" w:line="2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Ouster, Inc. and its subsidiaries (the “Company”) as of December 31, 2022 and 2021, and the related consolidated statements of operations and comprehensive loss, of changes in redeemable convertible preferred stock and stockholders’ equity (deficit)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the Company has a single reporting unit and the goodwill balance was $51.2 million as of December 31, 2022. Goodwill is tested by management for impairment at the reporting unit level annually in the fourth quarter, or more frequently when events or changes in circumstances indicate that the asset might be impaired. The quantitative impairment test involves comparing the fair value of the reporting unit to the carrying value. In addition to its annual test, management performed an interim goodwill impairment test as of September 30, 2022, as a result of the decline in market conditions and the impact of market uncertainties that prolonged the sales cycle, and an interim goodwill impairment test as of December 31, 2022 as a result of the continuing market volatility resulting in a decline in the Company’s stock price. Management determined the estimated fair value of the reporting unit exceeded its carrying value and that goodwill was not impaired as of September 30, 2022 and December 31, 2022. The Company’s reporting unit estimated fair value was determined by management based on a discounted future cash flow model (income approach) and a market approach. Management’s estimate of fair value included significant judgments and assumptions relating to an implied control premium and comparable company market transactions.</w:t>
      </w:r>
    </w:p>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impairment assessments is a critical audit matter are (i) the significant judgment by management when developing the fair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estimates of the reporting unit; (ii) a high degree of auditor judgment, subjectivity, and effort in performing procedures and evaluating management’s significant assumptions related to the implied control premiums and comparable company market transactions; and (iii) the audit effort involved in the use of professionals with specialized skill and knowledge.</w:t>
      </w:r>
    </w:p>
    <w:p>
      <w:pPr>
        <w:spacing w:after="0" w:line="6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fair value estimates of the reporting unit; (ii) evaluating the appropriateness of the market approach; (iii) testing the completeness and accuracy of underlying data used in the market approach; and (iv) evaluating the reasonableness of the significant assumptions used by management related to the implied control premiums and comparable company market transactions. Evaluating management’s significant assumption related to the implied control premiums involved evaluating whether the assumption used by management was reasonable considering (i) the current and past performance of the reporting unit; (ii) the synergies which a market participant could achieve; (iii) the consistency with external market and industry data; and (iv) whether this assumption was consistent with evidence obtained in other areas of the audit. Professionals with specialized skills and knowledge were used to assist in evaluating (i) the appropriateness of the market approach and (ii) the reasonableness of the implied control premiums and comparable company market transactions significant assumptions.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98"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182,644</w:t>
            </w:r>
          </w:p>
        </w:tc>
        <w:tc>
          <w:tcPr>
            <w:tcW w:w="0" w:type="dxa"/>
            <w:vAlign w:val="bottom"/>
          </w:tcPr>
          <w:p>
            <w:pPr>
              <w:spacing w:after="0"/>
              <w:rPr>
                <w:sz w:val="1"/>
                <w:szCs w:val="1"/>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 current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0" w:type="dxa"/>
            <w:vAlign w:val="bottom"/>
          </w:tcPr>
          <w:p>
            <w:pPr>
              <w:spacing w:after="0"/>
              <w:rPr>
                <w:sz w:val="1"/>
                <w:szCs w:val="1"/>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207,358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 portion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 (At December 31, 2022 and 2021 related party $63 and $2,669, respectively)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$0.0001 par value per share; 100,000,000 shares authorized at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Nil shares issued and outstanding at December 31, 2022 and 2021, respectively</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liquidation preference of nil at December 31, 2022 and 2021, respectively)</w:t>
            </w:r>
          </w:p>
        </w:tc>
        <w:tc>
          <w:tcPr>
            <w:tcW w:w="3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2022 and 2021;</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186,587,986 and 172,200,417 issued and outstanding at December 31, 2022 and 2021, respectively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564,045</w:t>
            </w:r>
          </w:p>
        </w:tc>
        <w:tc>
          <w:tcPr>
            <w:tcW w:w="0" w:type="dxa"/>
            <w:vAlign w:val="bottom"/>
          </w:tcPr>
          <w:p>
            <w:pPr>
              <w:spacing w:after="0"/>
              <w:rPr>
                <w:sz w:val="1"/>
                <w:szCs w:val="1"/>
                <w:color w:val="auto"/>
              </w:rPr>
            </w:pPr>
          </w:p>
        </w:tc>
      </w:tr>
      <w:tr>
        <w:trPr>
          <w:trHeight w:val="229"/>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260,700</w:t>
            </w:r>
          </w:p>
        </w:tc>
        <w:tc>
          <w:tcPr>
            <w:tcW w:w="0" w:type="dxa"/>
            <w:vAlign w:val="bottom"/>
          </w:tcPr>
          <w:p>
            <w:pPr>
              <w:spacing w:after="0"/>
              <w:rPr>
                <w:sz w:val="1"/>
                <w:szCs w:val="1"/>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product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17,365</w:t>
            </w: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w:t>
            </w: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53,275</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(52,150)</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(54,643)</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from) for income tax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(138,703)</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 per share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177,923,156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133,917,571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17,858,976</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000" w:type="dxa"/>
            <w:vAlign w:val="bottom"/>
            <w:tcBorders>
              <w:right w:val="single" w:sz="8" w:color="auto"/>
            </w:tcBorders>
            <w:gridSpan w:val="5"/>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2000" w:type="dxa"/>
            <w:vAlign w:val="bottom"/>
            <w:tcBorders>
              <w:right w:val="single" w:sz="8" w:color="auto"/>
            </w:tcBorders>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restart"/>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7"/>
                <w:szCs w:val="7"/>
                <w:color w:val="auto"/>
              </w:rPr>
            </w:pPr>
          </w:p>
        </w:tc>
        <w:tc>
          <w:tcPr>
            <w:tcW w:w="88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6"/>
        </w:trPr>
        <w:tc>
          <w:tcPr>
            <w:tcW w:w="2180" w:type="dxa"/>
            <w:vAlign w:val="bottom"/>
          </w:tcPr>
          <w:p>
            <w:pPr>
              <w:spacing w:after="0"/>
              <w:rPr>
                <w:sz w:val="4"/>
                <w:szCs w:val="4"/>
                <w:color w:val="auto"/>
              </w:rPr>
            </w:pPr>
          </w:p>
        </w:tc>
        <w:tc>
          <w:tcPr>
            <w:tcW w:w="1900" w:type="dxa"/>
            <w:vAlign w:val="bottom"/>
            <w:gridSpan w:val="4"/>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Borders>
              <w:right w:val="single" w:sz="8" w:color="auto"/>
            </w:tcBorders>
            <w:vMerge w:val="restart"/>
          </w:tcPr>
          <w:p>
            <w:pPr>
              <w:spacing w:after="0"/>
              <w:rPr>
                <w:sz w:val="4"/>
                <w:szCs w:val="4"/>
                <w:color w:val="auto"/>
              </w:rPr>
            </w:pPr>
          </w:p>
        </w:tc>
        <w:tc>
          <w:tcPr>
            <w:tcW w:w="60" w:type="dxa"/>
            <w:vAlign w:val="bottom"/>
          </w:tcPr>
          <w:p>
            <w:pPr>
              <w:spacing w:after="0"/>
              <w:rPr>
                <w:sz w:val="4"/>
                <w:szCs w:val="4"/>
                <w:color w:val="auto"/>
              </w:rPr>
            </w:pPr>
          </w:p>
        </w:tc>
        <w:tc>
          <w:tcPr>
            <w:tcW w:w="1900" w:type="dxa"/>
            <w:vAlign w:val="bottom"/>
            <w:gridSpan w:val="4"/>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gridSpan w:val="2"/>
            <w:vMerge w:val="restart"/>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18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1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900" w:type="dxa"/>
            <w:vAlign w:val="bottom"/>
            <w:tcBorders>
              <w:bottom w:val="single" w:sz="8" w:color="auto"/>
            </w:tcBorders>
            <w:gridSpan w:val="4"/>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900" w:type="dxa"/>
            <w:vAlign w:val="bottom"/>
            <w:gridSpan w:val="2"/>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from</w:t>
            </w:r>
          </w:p>
        </w:tc>
        <w:tc>
          <w:tcPr>
            <w:tcW w:w="1040" w:type="dxa"/>
            <w:vAlign w:val="bottom"/>
            <w:gridSpan w:val="3"/>
          </w:tcPr>
          <w:p>
            <w:pPr>
              <w:jc w:val="right"/>
              <w:ind w:right="16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tcPr>
          <w:p>
            <w:pPr>
              <w:jc w:val="center"/>
              <w:ind w:right="88"/>
              <w:spacing w:after="0" w:line="14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94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8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January 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4,384,348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7,902,407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(102,595)</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(100,319)</w:t>
            </w:r>
          </w:p>
        </w:tc>
        <w:tc>
          <w:tcPr>
            <w:tcW w:w="0" w:type="dxa"/>
            <w:vAlign w:val="bottom"/>
          </w:tcPr>
          <w:p>
            <w:pPr>
              <w:spacing w:after="0"/>
              <w:rPr>
                <w:sz w:val="1"/>
                <w:szCs w:val="1"/>
                <w:color w:val="auto"/>
              </w:rPr>
            </w:pPr>
          </w:p>
        </w:tc>
      </w:tr>
      <w:tr>
        <w:trPr>
          <w:trHeight w:val="135"/>
        </w:trPr>
        <w:tc>
          <w:tcPr>
            <w:tcW w:w="218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upon exercise of stock</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12,221,363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88"/>
        </w:trPr>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options</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780"/>
              <w:spacing w:after="0" w:line="139" w:lineRule="exact"/>
              <w:rPr>
                <w:sz w:val="20"/>
                <w:szCs w:val="20"/>
                <w:color w:val="auto"/>
              </w:rPr>
            </w:pPr>
            <w:r>
              <w:rPr>
                <w:rFonts w:ascii="Times New Roman" w:cs="Times New Roman" w:eastAsia="Times New Roman" w:hAnsi="Times New Roman"/>
                <w:sz w:val="14"/>
                <w:szCs w:val="14"/>
                <w:color w:val="auto"/>
              </w:rPr>
              <w:t>upon exercise of</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1,617,264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restricted stock awards</w:t>
            </w:r>
          </w:p>
        </w:tc>
        <w:tc>
          <w:tcPr>
            <w:tcW w:w="10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Issuance of redeemable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convertible preferred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88,434,754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39,225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4"/>
                <w:szCs w:val="14"/>
                <w:color w:val="auto"/>
              </w:rPr>
              <w:t>Conversion of redeemable</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780"/>
              <w:spacing w:after="0" w:line="139" w:lineRule="exact"/>
              <w:rPr>
                <w:sz w:val="20"/>
                <w:szCs w:val="20"/>
                <w:color w:val="auto"/>
              </w:rPr>
            </w:pPr>
            <w:r>
              <w:rPr>
                <w:rFonts w:ascii="Times New Roman" w:cs="Times New Roman" w:eastAsia="Times New Roman" w:hAnsi="Times New Roman"/>
                <w:sz w:val="14"/>
                <w:szCs w:val="14"/>
                <w:color w:val="auto"/>
              </w:rPr>
              <w:t>convertible preferred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(4,384,348)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4,384,348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stock to common stock</w:t>
            </w: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Conversion of convertible</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7,201,912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78,311</w:t>
            </w:r>
          </w:p>
        </w:tc>
        <w:tc>
          <w:tcPr>
            <w:tcW w:w="0" w:type="dxa"/>
            <w:vAlign w:val="bottom"/>
          </w:tcPr>
          <w:p>
            <w:pPr>
              <w:spacing w:after="0"/>
              <w:rPr>
                <w:sz w:val="1"/>
                <w:szCs w:val="1"/>
                <w:color w:val="auto"/>
              </w:rPr>
            </w:pPr>
          </w:p>
        </w:tc>
      </w:tr>
      <w:tr>
        <w:trPr>
          <w:trHeight w:val="195"/>
        </w:trPr>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notes to common stock</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expense</w:t>
            </w: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Reclassification of a note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780"/>
              <w:spacing w:after="0" w:line="139" w:lineRule="exact"/>
              <w:rPr>
                <w:sz w:val="20"/>
                <w:szCs w:val="20"/>
                <w:color w:val="auto"/>
              </w:rPr>
            </w:pPr>
            <w:r>
              <w:rPr>
                <w:rFonts w:ascii="Times New Roman" w:cs="Times New Roman" w:eastAsia="Times New Roman" w:hAnsi="Times New Roman"/>
                <w:sz w:val="14"/>
                <w:szCs w:val="14"/>
                <w:color w:val="auto"/>
              </w:rPr>
              <w:t>receivable from a</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color w:val="auto"/>
                <w:w w:val="99"/>
              </w:rPr>
              <w:t>44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8"/>
        </w:trPr>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stockholder</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460"/>
              <w:spacing w:after="0" w:line="135" w:lineRule="exact"/>
              <w:rPr>
                <w:sz w:val="20"/>
                <w:szCs w:val="20"/>
                <w:color w:val="auto"/>
              </w:rPr>
            </w:pPr>
            <w:r>
              <w:rPr>
                <w:rFonts w:ascii="Times New Roman" w:cs="Times New Roman" w:eastAsia="Times New Roman" w:hAnsi="Times New Roman"/>
                <w:sz w:val="14"/>
                <w:szCs w:val="14"/>
                <w:color w:val="auto"/>
              </w:rPr>
              <w:t>Vesting of early exercised</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stock options</w:t>
            </w: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(106,780)</w:t>
            </w:r>
          </w:p>
        </w:tc>
        <w:tc>
          <w:tcPr>
            <w:tcW w:w="0" w:type="dxa"/>
            <w:vAlign w:val="bottom"/>
          </w:tcPr>
          <w:p>
            <w:pPr>
              <w:spacing w:after="0"/>
              <w:rPr>
                <w:sz w:val="1"/>
                <w:szCs w:val="1"/>
                <w:color w:val="auto"/>
              </w:rPr>
            </w:pPr>
          </w:p>
        </w:tc>
      </w:tr>
      <w:tr>
        <w:trPr>
          <w:trHeight w:val="228"/>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88,434,754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39,225</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33,327,294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ind w:left="360"/>
              <w:spacing w:after="0" w:line="122" w:lineRule="exact"/>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1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rPr>
              <w:t>upon exercise of stock</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2,148,437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88"/>
        </w:trPr>
        <w:tc>
          <w:tcPr>
            <w:tcW w:w="2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options</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upon exercise of warrants</w:t>
            </w: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(406,845)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Issuance of redeemable</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convertible preferred</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stock upon exercise of</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4,232,947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58,097</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warrants</w:t>
            </w: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3"/>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Conversion of redeemable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rPr>
              <w:t>convertible preferred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(92,667,701)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(97,322)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92,667,701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97,310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97,322</w:t>
            </w:r>
          </w:p>
        </w:tc>
        <w:tc>
          <w:tcPr>
            <w:tcW w:w="0" w:type="dxa"/>
            <w:vAlign w:val="bottom"/>
          </w:tcPr>
          <w:p>
            <w:pPr>
              <w:spacing w:after="0"/>
              <w:rPr>
                <w:sz w:val="1"/>
                <w:szCs w:val="1"/>
                <w:color w:val="auto"/>
              </w:rPr>
            </w:pPr>
          </w:p>
        </w:tc>
      </w:tr>
      <w:tr>
        <w:trPr>
          <w:trHeight w:val="188"/>
        </w:trPr>
        <w:tc>
          <w:tcPr>
            <w:tcW w:w="2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stock to common stock</w:t>
            </w: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18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upon merger and private</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offering, net of acquired</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ind w:left="680"/>
              <w:spacing w:after="0" w:line="145" w:lineRule="exact"/>
              <w:rPr>
                <w:sz w:val="20"/>
                <w:szCs w:val="20"/>
                <w:color w:val="auto"/>
              </w:rPr>
            </w:pPr>
            <w:r>
              <w:rPr>
                <w:rFonts w:ascii="Times New Roman" w:cs="Times New Roman" w:eastAsia="Times New Roman" w:hAnsi="Times New Roman"/>
                <w:sz w:val="14"/>
                <w:szCs w:val="14"/>
                <w:color w:val="auto"/>
              </w:rPr>
              <w:t>private placement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34,947,657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272,065</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warrants of $19,377</w:t>
            </w: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Offering costs in connection</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0" w:type="dxa"/>
            <w:vAlign w:val="bottom"/>
          </w:tcPr>
          <w:p>
            <w:pPr>
              <w:spacing w:after="0"/>
              <w:rPr>
                <w:sz w:val="1"/>
                <w:szCs w:val="1"/>
                <w:color w:val="auto"/>
              </w:rPr>
            </w:pPr>
          </w:p>
        </w:tc>
      </w:tr>
      <w:tr>
        <w:trPr>
          <w:trHeight w:val="195"/>
        </w:trPr>
        <w:tc>
          <w:tcPr>
            <w:tcW w:w="21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with the merger</w:t>
            </w: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Issuance of common stock in</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connection with</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9,163,982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60,024</w:t>
            </w:r>
          </w:p>
        </w:tc>
        <w:tc>
          <w:tcPr>
            <w:tcW w:w="0" w:type="dxa"/>
            <w:vAlign w:val="bottom"/>
          </w:tcPr>
          <w:p>
            <w:pPr>
              <w:spacing w:after="0"/>
              <w:rPr>
                <w:sz w:val="1"/>
                <w:szCs w:val="1"/>
                <w:color w:val="auto"/>
              </w:rPr>
            </w:pPr>
          </w:p>
        </w:tc>
      </w:tr>
      <w:tr>
        <w:trPr>
          <w:trHeight w:val="188"/>
        </w:trPr>
        <w:tc>
          <w:tcPr>
            <w:tcW w:w="2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acquisition</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Issuance of replacement equity</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680"/>
              <w:spacing w:after="0" w:line="139" w:lineRule="exact"/>
              <w:rPr>
                <w:sz w:val="20"/>
                <w:szCs w:val="20"/>
                <w:color w:val="auto"/>
              </w:rPr>
            </w:pPr>
            <w:r>
              <w:rPr>
                <w:rFonts w:ascii="Times New Roman" w:cs="Times New Roman" w:eastAsia="Times New Roman" w:hAnsi="Times New Roman"/>
                <w:sz w:val="14"/>
                <w:szCs w:val="14"/>
                <w:color w:val="auto"/>
              </w:rPr>
              <w:t>awards in connection with</w:t>
            </w:r>
          </w:p>
        </w:tc>
        <w:tc>
          <w:tcPr>
            <w:tcW w:w="13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88"/>
        </w:trPr>
        <w:tc>
          <w:tcPr>
            <w:tcW w:w="2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acquisition</w:t>
            </w:r>
          </w:p>
        </w:tc>
        <w:tc>
          <w:tcPr>
            <w:tcW w:w="1380" w:type="dxa"/>
            <w:vAlign w:val="bottom"/>
            <w:gridSpan w:val="3"/>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2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680"/>
              <w:spacing w:after="0" w:line="139" w:lineRule="exact"/>
              <w:rPr>
                <w:sz w:val="20"/>
                <w:szCs w:val="20"/>
                <w:color w:val="auto"/>
              </w:rPr>
            </w:pPr>
            <w:r>
              <w:rPr>
                <w:rFonts w:ascii="Times New Roman" w:cs="Times New Roman" w:eastAsia="Times New Roman" w:hAnsi="Times New Roman"/>
                <w:sz w:val="14"/>
                <w:szCs w:val="14"/>
                <w:color w:val="auto"/>
              </w:rPr>
              <w:t>expense, including vesting</w:t>
            </w:r>
          </w:p>
        </w:tc>
        <w:tc>
          <w:tcPr>
            <w:tcW w:w="138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25,363</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of restricted stock units</w:t>
            </w:r>
          </w:p>
        </w:tc>
        <w:tc>
          <w:tcPr>
            <w:tcW w:w="138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Cancellation of previously</w:t>
            </w:r>
          </w:p>
        </w:tc>
        <w:tc>
          <w:tcPr>
            <w:tcW w:w="13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(105,921)</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1"/>
                <w:szCs w:val="11"/>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issued awards</w:t>
            </w:r>
          </w:p>
        </w:tc>
        <w:tc>
          <w:tcPr>
            <w:tcW w:w="1380" w:type="dxa"/>
            <w:vAlign w:val="bottom"/>
            <w:gridSpan w:val="3"/>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Vesting of early exercised stock</w:t>
            </w:r>
          </w:p>
        </w:tc>
        <w:tc>
          <w:tcPr>
            <w:tcW w:w="138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gridSpan w:val="3"/>
            <w:vMerge w:val="continue"/>
            <w:shd w:val="clear" w:color="auto" w:fill="CCEEFF"/>
          </w:tcPr>
          <w:p>
            <w:pPr>
              <w:spacing w:after="0"/>
              <w:rPr>
                <w:sz w:val="17"/>
                <w:szCs w:val="17"/>
                <w:color w:val="auto"/>
              </w:rPr>
            </w:pPr>
          </w:p>
        </w:tc>
        <w:tc>
          <w:tcPr>
            <w:tcW w:w="6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(93,981)</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172,200,417</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564,045</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(303,356)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260,700</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2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Proceeds from at-the-market offering,</w:t>
            </w: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net of commissions and fees of $505</w:t>
            </w:r>
          </w:p>
        </w:tc>
        <w:tc>
          <w:tcPr>
            <w:tcW w:w="138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7,833,709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15,775</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and issuance costs of $546</w:t>
            </w:r>
          </w:p>
        </w:tc>
        <w:tc>
          <w:tcPr>
            <w:tcW w:w="138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3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2,158,503</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380" w:type="dxa"/>
            <w:vAlign w:val="bottom"/>
            <w:gridSpan w:val="3"/>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exercise of restricted stock units - net</w:t>
            </w:r>
          </w:p>
        </w:tc>
        <w:tc>
          <w:tcPr>
            <w:tcW w:w="138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4,439,713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 tax withholding</w:t>
            </w:r>
          </w:p>
        </w:tc>
        <w:tc>
          <w:tcPr>
            <w:tcW w:w="138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to</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employees under employee stock</w:t>
            </w:r>
          </w:p>
        </w:tc>
        <w:tc>
          <w:tcPr>
            <w:tcW w:w="13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322,010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88"/>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380" w:type="dxa"/>
            <w:vAlign w:val="bottom"/>
            <w:gridSpan w:val="3"/>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(311,236)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35"/>
        </w:trPr>
        <w:tc>
          <w:tcPr>
            <w:tcW w:w="2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Cancellation of Sense acquisition</w:t>
            </w:r>
          </w:p>
        </w:tc>
        <w:tc>
          <w:tcPr>
            <w:tcW w:w="13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(55,130)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1380" w:type="dxa"/>
            <w:vAlign w:val="bottom"/>
            <w:gridSpan w:val="3"/>
            <w:vMerge w:val="continue"/>
          </w:tcPr>
          <w:p>
            <w:pPr>
              <w:spacing w:after="0"/>
              <w:rPr>
                <w:sz w:val="16"/>
                <w:szCs w:val="16"/>
                <w:color w:val="auto"/>
              </w:rPr>
            </w:pPr>
          </w:p>
        </w:tc>
        <w:tc>
          <w:tcPr>
            <w:tcW w:w="62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Vesting of early exercised stock</w:t>
            </w:r>
          </w:p>
        </w:tc>
        <w:tc>
          <w:tcPr>
            <w:tcW w:w="138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gridSpan w:val="3"/>
            <w:vMerge w:val="continue"/>
            <w:shd w:val="clear" w:color="auto" w:fill="CCEEFF"/>
          </w:tcPr>
          <w:p>
            <w:pPr>
              <w:spacing w:after="0"/>
              <w:rPr>
                <w:sz w:val="17"/>
                <w:szCs w:val="17"/>
                <w:color w:val="auto"/>
              </w:rPr>
            </w:pPr>
          </w:p>
        </w:tc>
        <w:tc>
          <w:tcPr>
            <w:tcW w:w="620" w:type="dxa"/>
            <w:vAlign w:val="bottom"/>
            <w:tcBorders>
              <w:right w:val="single" w:sz="8" w:color="auto"/>
            </w:tcBorders>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33,321</w:t>
            </w: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(138,560)</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 December 31, 2022</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186,587,986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613,665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r>
      <w:tr>
        <w:trPr>
          <w:trHeight w:val="203"/>
        </w:trPr>
        <w:tc>
          <w:tcPr>
            <w:tcW w:w="7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(138,560)</w:t>
            </w:r>
          </w:p>
        </w:tc>
        <w:tc>
          <w:tcPr>
            <w:tcW w:w="8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(93,981)</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(106,780)</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right-of-use asset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 and debt discount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48,440</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5,308</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extinguishment of tranche right liability</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Inventory write down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1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from disposal of property and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r>
      <w:tr>
        <w:trPr>
          <w:trHeight w:val="195"/>
        </w:trPr>
        <w:tc>
          <w:tcPr>
            <w:tcW w:w="71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r>
      <w:tr>
        <w:trPr>
          <w:trHeight w:val="210"/>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r>
      <w:tr>
        <w:trPr>
          <w:trHeight w:val="195"/>
        </w:trPr>
        <w:tc>
          <w:tcPr>
            <w:tcW w:w="71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0"/>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96"/>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w:t>
            </w: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(110,690)</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(71,061)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(42,117)</w:t>
            </w:r>
          </w:p>
        </w:tc>
      </w:tr>
      <w:tr>
        <w:trPr>
          <w:trHeight w:val="176"/>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 of property &amp; equipment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net of cash acquired</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9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(15,229)</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w:t>
            </w:r>
          </w:p>
        </w:tc>
      </w:tr>
      <w:tr>
        <w:trPr>
          <w:trHeight w:val="18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the merger and private offering</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291,442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 of offering costs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debt</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promissory notes to related parties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Repayment of promissory notes to related parties</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1,337</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ESPP purchase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issuance of redeemable convertible preferred stock, net off issuance cost of 265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41,526</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borrowings, net of debt discount and issuance costs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39,077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the issuance of common stock under at-the-market offering, net of commissions and fees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At-the-market offering costs for the issuance of common stock</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restricted stock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55,602</w:t>
            </w:r>
          </w:p>
        </w:tc>
        <w:tc>
          <w:tcPr>
            <w:tcW w:w="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258,304</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39,863</w:t>
            </w: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(60,378)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w:t>
            </w:r>
          </w:p>
        </w:tc>
      </w:tr>
      <w:tr>
        <w:trPr>
          <w:trHeight w:val="20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184,656</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w:t>
            </w:r>
          </w:p>
        </w:tc>
      </w:tr>
      <w:tr>
        <w:trPr>
          <w:trHeight w:val="20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124,278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184,656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OPERATING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3"/>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INFORMATION:</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3"/>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liabilities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Equity issued in connection with acquisition</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76"/>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redeemable convertible preferred stock upon exercise of warrants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58,097</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1"/>
        </w:trPr>
        <w:tc>
          <w:tcPr>
            <w:tcW w:w="7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97,322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71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liability</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6,265</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6,409</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Unpaid at-the-market offering costs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98"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906"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OUSTER,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Ouster, Inc. was incorporated in the Cayman Islands on June 4, 2020 as “Colonnade Acquisition Corp”. Following the closing of the business combination in March 2021, the Company domesticated as a Delaware corporation and changed its name to “Ouster, Inc.” The Company’s prior operating subsidiary, Ouster Technologies, Inc. (“OTI”), was incorporated in the state of Delaware on June 30, 2015. The Company is a leading provider of high-resolution digital lidar sensors that offer advanced 3D vision to machinery, vehicles, robots, and fixed infrastructure assets, allowing each to understand and visualize the surrounding world and ultimately enabling safe operation and ubiquitous autonomy. Unless the context otherwise requires, references in this subsection to “the Company” refer to the business and operations of OTI (formerly known as Ouster, Inc.) and its consolidated subsidiaries prior to the Colonnade Merger (as defined below) and to Ouster, Inc. (formerly known as Colonnade Acquisition Corp.) and its consolidated subsidiaries following the consummation of the Colonnade Merger.</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Colonnade Acquisition Corp. (“CLA”), the Company’s legal predecessor, was originally a blank check company incorporated as a Cayman Islands exempted company on June 4, 2020. CLA was formed for the purpose of effecting a merger, share exchange, asset acquisition, share purchase, reorganization or similar business combination with one or more businesses. On March 11, 2021, CLA consummated a merger with the Company (the “Colonnade Merger”) pursuant to an Agreement and Plan of Merger (the “Colonnade Merger Agreement”) dated as of December 21, 2020, details of which are included below.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 owned) and have been prepared in conformity with U.S. generally accepted accounting principles (“US GAAP”).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Pandemic</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Ouster has been actively monitoring the COVID-19 pandemic on a global scale and continues to evaluate the long-term impacts on the business while keeping abreast of the latest developments, particularly the variants of the virus, to ensure preparedness for Ouster’s employees and its business. We maintain our commitment to protecting the health and safety of our employees and customers. We continue to adapt and enhance our safety protocols as we follow the guidance from local authorities. The full extent to which the COVID-19 pandemic will directly or indirectly impact the Company’s business, results of operations and financial condition, including sales, expenses, reserves and allowances, manufacturing, research and development costs and employee-related amounts, will depend on future events that are uncertain, including as a result of new information that continues to emerge concerning the virus, its variants, the deployment and effectiveness of vaccination roll-outs, vaccination hesitancy, therapeutics, and the actions taken to contain the virus or treat it, as well as the economic impact on local, regional, national and international customers and markets. Thus, the Company is not able to estimate the future consequences on its operations, its financial condition, or its liquidity.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The Company has experienced recurring losses from operations, and negative cash flows from operations. As of December 31, 2022, the Company had an accumulated deficit of approximately $441.9 million.</w:t>
      </w:r>
    </w:p>
    <w:p>
      <w:pPr>
        <w:spacing w:after="0" w:line="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Colonnade Merger and related transactions, the sale of convertible notes, equity securities, proceeds from debt and, to a lesser extent, cash received from sales. Management expects significant operating losses and negative cash flows from operations to continue for the foreseeable future. The Company expects to continue investing in product development and sales and marketing activities. The long-term continuation of the Company’s business plan is dependent upon the generation of sufficient revenues from its products to offset expenses. In the event that the Company does not generate sufficient cash flows from operations and is unable to obtain funding, the Company will be forced to delay, reduce, or eliminate some or all of its discretionary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spending, which could adversely affect the Company’s business prospects, ability to meet long-term liquidity needs or ability to continue operations.</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concluded that it has sufficient capital to fund its obligations after closing the Velodyne Merger (as defined below, for additional information, Note 18), as they become due, in the ordinary course of business for at least one year from the date these consolidated financial statements are available for issuance.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Velodyne Lidar, Inc.</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On November 4, 2022, the Company entered into an Agreement and Plan of Merger (the “Velodyne Merger Agreement”) with Velodyne Lidar, Inc., a Delaware corporation (“Velodyne”), Oban Merger Sub, Inc., a Delaware corporation and one of the Company’s direct, wholly owned subsidiaries (“Velodyne Merger Sub I”) and Oban Merger Sub II LLC, a Delaware limited liability company and one of the Company’s direct, wholly owned subsidiaries (“Velodyne Merger Sub II”).</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February 10, 2023, the Company completed the merger of equals with Velodyne pursuant to the terms of the Agreement and Plan of Merger with Velodyne, Merger Sub I and Merger Sub II (the “Velodyne Merger”). In connection with the closing of the Velodyne Merger, the Company and Velodyne now operate as a single combined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Colonnade Acquisition Corp. and Beam Merger Sub, Inc.</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On December 21, 2020, OTI entered into the Colonnade Merger Agreement with CLA and Beam Merger Sub, Inc. (“Merger Sub”), a Delaware corporation and subsidiary of CLA. OTI’s board of directors unanimously approved OTI’s entry into the Colonnade Merger Agreement, and on March 11, 2021, the transactions contemplated by the Colonnade Merger Agreement were consummated. Pursuant to the terms of the Colonnade Merger Agreement, (i) CLA domesticated as a corporation incorporated under the laws of the State of Delaware and changed its name to “Ouster, Inc.” and (ii) Merger Sub merged with and into OTI (such transactions contemplated by the Colonnade Merger Agreement, the “Colonnade Merger”), with OTI surviving the Colonnade Merger.</w:t>
      </w:r>
    </w:p>
    <w:p>
      <w:pPr>
        <w:spacing w:after="0" w:line="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result of the Colonnade Merger, among other things, (1) each of the then issued and outstanding 5,000,000 CLA Class B ordinary shares, par value $0.0001 per share, of CLA (the “CLA Class B ordinary shares”) converted automatically, on a one-for-one basis, into a CLA Class A ordinary share (as defined below), (2) immediately following the conversion described in clause (1), each of the then issued and outstanding 25,000,000 Class A ordinary shares, par value $0.0001 per share, of CLA (the “CLA Class A ordinary shares”), converted automatically, on a one-for-one basis, into a share of common stock, par value $0.0001 per share, of Ouster (the “Ouster common stock”), (3) each of the then issued and outstanding 10,000,000 redeemable warrants of CLA (the “CLA warrants”) converted automatically into a redeemable warrant to purchase one share of Ouster common stock (the “Public warrants”) pursuant to the Warrant Agreement, dated August 20, 2020 (the “Warrant Agreement”), between CLA and Continental Stock Transfer &amp; Trust Company (“Continental”), as warrant agent, and (4) each of the then issued and outstanding units of CLA that had not been previously separated into the underlying CLA Class A ordinary shares and underlying CLA warrants upon the request of the holder thereof (the “CLA units”), were cancelled and entitled the holder thereof to one share of Ouster common stock and one-half of one Public warrant, and (5) each of the then issued and outstanding 6,000,000 private placement warrants of CLA (the “Private Placement warrants”) converted automatically into a Public warrant pursuant to the Warrant Agreement. No fractional Public warrants were issued upon separation of the CLA units.</w:t>
      </w:r>
    </w:p>
    <w:p>
      <w:pPr>
        <w:spacing w:after="0" w:line="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Immediately prior to the effective time of the Colonnade Merger, (1) each share of OTI’s Series B Preferred Stock, par value $0.00001 per share (the “OTI Preferred Stock”), converted into one share of common stock, par value $0.00001 per share, of OTI (the “OTI common stock” and, together with OTI Preferred Stock, the “OTI Capital Stock”) (such conversion, the “OTI Preferred Conversion”) and (2) all of the outstanding warrants to purchase shares of OTI Capital Stock were exercised in full or terminated in accordance with their respective terms (the “OTI Warrant Settlement”).</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a result of and upon the closing of the Colonnade Merger, among other things, all shares of OTI Capital Stock (after giving effect to the OTI Warrant Settlement) outstanding immediately prior to the closing of the Colonnade Merger together with shares of OTI common stock reserved in respect of options to purchase shares of OTI common stock and restricted shares of OTI common stock (together, the “OTI Awards”) outstanding immediately prior to the closing of the Colonnade Merger that were converted into awards based on Ouster common stock, were cancelled in exchange for the right to receive, or the reservation of, an aggregate of 150,000,000 shares of Ouster common stock (at a deemed value of $10.00 per share), which, in the case of OTI Awards, were shares underlying awards based on Ouster common stock, representing a fully-diluted pre-transaction. Upon closing of the Colonnade Merger, the Company received gross proceeds of $299.9 million from the Colonnade Merger and private offering, offset by $8.5 million of pre-merger costs relating to CLA and offerings costs of $26.6 million.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Colonnade Merger was accounted for as a reverse recapitalization under US GAAP. Under this method of accounting, CLA is treated as the “acquired” company for financial reporting purposes. This determination is primarily based on OTI stockholders comprising a relative majority of the voting power of the Company and having the ability to nominate the members of the board of directors of the Company after the Colonnade Merger, OTI’s operations prior to the Colonnade Merger comprising the only ongoing operations of the Company following the Colonnade Merger, and OTI’s senior management prior to the Colonnade Merger comprising a majority of the senior management of the Company following the Colonnade Merger. Accordingly, for accounting purposes, the financial statements of the Company represent a continuation of the financial statements of OTI with the Colonnade Merger being treated as the equivalent of OTI issuing stock for the net assets of CLA, accompanied by a recapitalization whereby no goodwill or other intangible assets are recorded. Transactions and balances prior to the Colonnade Merger are those of OTI. The shares and net loss per share available to holders of OTI’s common stock prior to the Colonnade Merger have been retroactively restated as shares reflecting the exchange ratio established in the Colonnade Merger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21, 2020, concurrently with the execution of the Colonnade Merger Agreement, CLA entered into subscription agreements with certain institutional and accredited investors (collectively, the “PIPE Investors”), pursuant to which the PIPE Investors agreed to purchase, in the aggregate, 10,000,000 shares of Ouster common stock at $10.00 per share for an aggregate commitment amount of $100,000,000 (the “PIPE Investment”), a portion of which was funded by certain affiliates of Colonnade Sponsor LLC, CLA’s sponsor (the “Sponsor”). The PIPE Investment was consummated substantially concurrently with the closing of the Colonnade Merger.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Issuance Sales Agreement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29, 2022, the Company entered into an At Market Issuance Sales Agreement (the “ATM Agreement”) with B. Riley Securities, Inc., Cantor Fitzgerald &amp; Co. and Oppenheimer &amp; Co. Inc., pursuant to which the Company may offer and sell, from time to time, through or to the agents, acting as agent or principal, shares of the Company’s common stock having an aggregate offering price of up to $150.0 million under the Company’s Form S-3 registration statement. From the date of the ATM Agreement through December 31, 2022, the Company sold 7,833,709 shares at a weighted-average sales price of $2.08 per share, resulting in cumulative gross proceeds to the Company totaling approximately $16.8 million before deducting offering costs, sales commissions and fees.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29, 2022, the Company entered into the Loan and Security Agreement (as amended by the First Amendment to Loan and Security Agreement, dated as of August 5, 2022, the Consent and Second Amendment to Loan and Security Agreement, dated as of November 1, 2022 (the “Second Amendment”), and the Third Amendment to Loan and Security Agreement, dated as of February 10, 2023 (the “Third Amendment”), the “Loan Agreement”) with Hercules Capital, Inc. as administrative agent and collateral agent (“Hercules”). The Loan Agreement provides the Company with a term loan of up to $50.0 million, subject to terms and conditions. The Company borrowed the initial tranche of $20.0 million on April 29, 2022. On October 17, 2022, the Company borrowed an additional $20.0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7.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reported periods. The most significant estimates included in these consolidated financial statements are the useful lives of long-lived assets, revenue recognition, sales return reserve, inventory write downs, the realizability of deferred tax assets, the measurement of stock-based compensation, and the valuation of the Company’s various financial instruments. The complexity of the estimation process and factors relating to assumptions, risks and uncertainties inherent with the use of the estimates affect the amount of revenue and related expenses reported in the Company’s consolidated financial statements. Internal and external factors can affect the Company’s estimates. Actual results could differ from these estimates under different assumptions or conditions.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Business combinations are accounted for under the acquisition method. The Company recognizes the assets acquired and liabilities assumed in business combinations on the basis of their fair values at the date of acquisition. The Company assesses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estimates and assumptions regarding the estimates a market participant would make in order to evaluate an asset, including a market participant’s use of the asset, future cash inflows and outflows, probabilities of success, asset lives, and the appropriate discount rates. Any excess purchase price over the fair value of the net tangible and intangible assets acquired is allocated to goodwill. Transaction costs and restructuring costs associated with a business combination are expensed as incurred.</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within other income (expense), 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 is the U.S. dollar. The functional currency of the Company’s wholly-owned foreign subsidiaries is generally the same as the entity’s local currency. Accordingly, the asset and liability accounts of our foreign operations are translated into U.S. dollars using the current exchange rate in effect at the balance sheet date and equity accounts are translated into U.S. dollars using historical rates. The revenues and expenses are translated using the weighted-average exchange rates in effect during the period, and gains and losses from foreign currency translation adjustments are included as a component of accumulated other comprehensive loss in the consolidated balance sheets. Foreign currency translation adjustments are recorded in other comprehensive loss in the consolidated statements of operations and comprehensive loss.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a result of the effect of exchange rate changes on transactions denominated in currencies other than the functional currency. Foreign currency transaction gains and losses are recorded in other income (expense), net in the consolidated statements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operates as one reportable and operating segment, which relates to the sale and production of lidar sensor kits. The Company’s chief operating decision maker (“CODM”) is its chief executive officer, who reviews financial information presented on a consolidated basis for purposes of making operating decisions, assessing financial performance and allocating resources. The profitability of the Company’s product group is not a determining factor in allocating resources and the CODM does not evaluate profitability below the level of the consolidated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is recognized when a customer obtains control of promised products or services. The amount of revenue recognized reflects the consideration that the Company expects to be entitled to receive in exchange for these products or services. To achieve the core principle of this standard, the Company performs the following five steps: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Identify the contract with a customer</w:t>
      </w:r>
    </w:p>
    <w:p>
      <w:pPr>
        <w:spacing w:after="0" w:line="119" w:lineRule="exact"/>
        <w:rPr>
          <w:sz w:val="20"/>
          <w:szCs w:val="20"/>
          <w:color w:val="auto"/>
        </w:rPr>
      </w:pPr>
    </w:p>
    <w:p>
      <w:pPr>
        <w:ind w:left="420" w:right="40"/>
        <w:spacing w:after="0" w:line="256" w:lineRule="auto"/>
        <w:rPr>
          <w:sz w:val="20"/>
          <w:szCs w:val="20"/>
          <w:color w:val="auto"/>
        </w:rPr>
      </w:pPr>
      <w:r>
        <w:rPr>
          <w:rFonts w:ascii="Times New Roman" w:cs="Times New Roman" w:eastAsia="Times New Roman" w:hAnsi="Times New Roman"/>
          <w:sz w:val="18"/>
          <w:szCs w:val="18"/>
          <w:color w:val="auto"/>
        </w:rPr>
        <w:t>The Company considers the terms and conditions of revenue contracts and its customary business practices in identifying contracts with its customers. It is determined that a contract with a customer exists when the contract is approved, each party’s rights regarding the product or services to be transferred and the payment terms for the product or services can be identified, it is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 Accounts receivable are due under normal trade terms, typically three months or less.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 Identify the performance obligations in the contract</w:t>
      </w:r>
    </w:p>
    <w:p>
      <w:pPr>
        <w:spacing w:after="0" w:line="119" w:lineRule="exact"/>
        <w:rPr>
          <w:sz w:val="20"/>
          <w:szCs w:val="20"/>
          <w:color w:val="auto"/>
        </w:rPr>
      </w:pPr>
    </w:p>
    <w:p>
      <w:pPr>
        <w:ind w:left="420" w:right="180"/>
        <w:spacing w:after="0" w:line="282"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product or services that will be transferred to the customer that are both capable of being distinct, whereby the customer can benefit from the product or service</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0" w:right="120"/>
        <w:spacing w:after="0" w:line="256" w:lineRule="auto"/>
        <w:rPr>
          <w:sz w:val="20"/>
          <w:szCs w:val="20"/>
          <w:color w:val="auto"/>
        </w:rPr>
      </w:pPr>
      <w:r>
        <w:rPr>
          <w:rFonts w:ascii="Times New Roman" w:cs="Times New Roman" w:eastAsia="Times New Roman" w:hAnsi="Times New Roman"/>
          <w:sz w:val="18"/>
          <w:szCs w:val="18"/>
          <w:color w:val="auto"/>
        </w:rPr>
        <w:t>either on its own or together with other resources that are readily available from third parties or from the Company, and are distinct in the context of the contract, whereby the transfer of the product or services is separately identifiable from other promises in the contract. The Company’s performance obligations consist of (i) sale of lidar sensor kits and (ii) product development and validation services. Amounts billed to customers related to shipping and handling are classified as revenue, and the Company has elected to recognize the cost of shipping activities that occur after control has transferred to the customer as a fulfillment cost rather than a separate performance obligation. All related shipping costs are accrued and recognized within cost of revenue when the related revenue is recognized.</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left="420" w:right="120"/>
        <w:spacing w:after="0" w:line="255"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product or services to the customer. Variable consideration is included in the transaction price if the Company judges that it is probable that a significant future reversal of cumulative revenue under the contract will not occur. The Company does not have a material amount of variable consideration in its agreements with customers. None of the Company’s contracts contain a significant financing component. All taxes assessed by a governmental authority on a specific revenue-producing transaction collected by the Company from a customer are excluded from the transaction price. The Company’s general terms and conditions for its contracts do not contain a right of return that allows the customer to return products and receive a credit.</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performance obligations in the contract</w:t>
      </w:r>
    </w:p>
    <w:p>
      <w:pPr>
        <w:spacing w:after="0" w:line="119" w:lineRule="exact"/>
        <w:rPr>
          <w:sz w:val="20"/>
          <w:szCs w:val="20"/>
          <w:color w:val="auto"/>
        </w:rPr>
      </w:pPr>
    </w:p>
    <w:p>
      <w:pPr>
        <w:ind w:left="420" w:right="80"/>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In 2022, 2021 and 2020 the Company did not have a material volume of contracts that required the allocation of transaction price to multiple performance obligations.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promised product or service to a customer. Revenue is recognized when control of products or services is transferred to customers, in an amount that reflects the consideration that the Company expects to receive in exchange for those products or services. The Company generates all of its revenue from contracts with customers and applies judgment in identifying and evaluating any terms and conditions in contracts which may impact revenue recognition. Revenue is recognized at a point in time when control of the goods is transferred to the customer, generally occurring upon shipment. Product sales to certain customers may require customer acceptance due to performance acceptance criteria that is considered more than a formality. For these product sales, revenue is recognized upon the expiration of the customer acceptance period. The obligation to provide services is generally satisfied over time, with the customer simultaneously receiving and consuming the benefits as the Company satisfies its performance obligations. For these service projects, the Company bills and recognizes revenue as the services are performed. For these arrangements, control is transferred to the customer as the Company’s inputs incurred to complete the project; therefore, revenue is recognized over the service period with the measure of progress using the input method based on labor costs incurred to total labor cost (cost-to-cost) as the services are provided. Revenue from services that were recognized over time were not material to date.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expenses the incremental costs of obtaining a contract when incurred because the amortization period for these costs would be less than one year. These costs primarily relate to sales commissions and are expensed as incurred in sales and marketing expense in the Company’s consolidated statements of operations and comprehensive loss. The incremental cost of obtaining a contract for the years ended December 31, 2022 and 2021 was $2.9 million, $2.2 million and $0.3 million,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return</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general terms and conditions for its contracts do not contain a right of return that allows the customer to return products and receive a credit, however it has in practice permitted returns of its sensor kits in limited circumstances. Allowances for sales returns, which reduce revenue, are estimated using historical experience and were immaterial as of December 31, 2022 and 2021. Actual returns in subsequent periods have been consistent with estimated amounts.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98" w:right="3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the transaction price allocated to the performance obligations that are unsatisfied, or partially unsatisfied at the reporting date. The composition of unsatisfied performance obligations consists mainly of the Company’s deferred extended warranty services, and to a lesser extent, deferred product revenue and development and validation services for which the Company has an obligation to perform, and has not yet recognized as revenue in the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breakdown of remaining performance obligations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common share. The two-class method determines net loss per common share for common and participating securities according to dividends declared or accumulated and participation rights in undistributed earnings. The two-</w:t>
      </w:r>
    </w:p>
    <w:p>
      <w:pPr>
        <w:ind w:right="300"/>
        <w:spacing w:after="0" w:line="260" w:lineRule="auto"/>
        <w:rPr>
          <w:sz w:val="20"/>
          <w:szCs w:val="20"/>
          <w:color w:val="auto"/>
        </w:rPr>
      </w:pPr>
      <w:r>
        <w:rPr>
          <w:rFonts w:ascii="Times New Roman" w:cs="Times New Roman" w:eastAsia="Times New Roman" w:hAnsi="Times New Roman"/>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attributable to common stockholders is computed by dividing the net loss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common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redeemable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common share attributable to common stockholders is the same as basic net loss per common share attributable to common stockholders, since dilutive common shares are not assumed to have been issued if their effect is anti-dilutive. The Company reported a net loss attributable to common stockholders for the years ended December 31, 2022, 2021 and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Company’s foreign currency translation adjustment is the only component of other comprehensive loss that is excluded from the reported net loss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cash deposited with banks and a money market account.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certificates of deposit held by banks as security for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The Company maintains an allowance for expected credit losses representing its best estimate of expected credit losses related to its existing accounts receivable and their net realizable value. The allowance is determined using a combination of factors including historical losses adjusted to take into account current market conditions and customers’ financial condition, the amount of receivables in dispute, and the current receivables aging and current payment patterns. The Company writes off accounts receivable against the allowance after all means of collection have been exhausted and the potential for recovery is considered remote.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allowance for expected credit losses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Inventory consists primarily of raw materials, work-in-process, and finished goods and is stated at the lower of cost or estimated net realizable value. Costs are computed under the standard cost method, which approximates actual costs determined on the first-in, first-out basis. The Company charges cost of revenue for write-downs of inventories which are obsolete or in excess of anticipated demand based on purchase commitments, production needed to fulfil the warranty obligations, consideration of product marketability and product development plans, historical revenue and assumptions about future demand and market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Expenditures for repairs and maintenance are charged to expense as incurred. Upon disposition, the cost and related accumulated depreciation and amortization are removed from the accounts and resulting gain or loss is reflected in the consolidated statement of income. Depreciation is computed using the straight-line method over the estimated useful lives of the assets (see Note 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evaluates events and changes in circumstances that could indicate carrying amounts of long-lived assets, including intangible assets, may not be recoverable. When such events or changes in circumstances occur, the Company assesses the recoverability of long-lived assets by determining whether the carrying value of such assets will be recovered through undiscounted expected future cash flows. If the total of the future undiscounted cash flows is less than the carrying amount of those assets, the Company records an impairment charge in the period in which such determination is made. If such assets are considered to be impaired, the impairment to be recognized is measured by the amount by which the carrying amount of the assets exceeds the fair value of the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identified intangible assets acquired in a business combination. Goodwill is not amortized but is evaluated at least annually for impairment or when a change in facts and circumstances indicate that the fair value of the goodwill may be below the carrying value.</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annually in the fourth quarter,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 The Company has determined that it operates in a single operating segment and has a single reporting unit.</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Prior to performing the impairment test, the Company assesses qualitative factors to determine whether the existence of events or circumstances would indicate that it is more likely than not that the fair value of the reporting unit was less than the carrying amount. If after assessing the totality of events or circumstances, the Company were to determine that it 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more likely than not that the fair value of the reporting unit is less than the carrying amount, then the Company would perform a quantitative impairment test.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quantitative impairment test involves comparing the fair value of the reporting unit to the carrying value. If the fair value of the reporting unit exceeds the carrying value of the net assets, goodwill is not impaired, and no further testing is required. If the fair value of the reporting unit is less than the carrying value, the Company measures the amount of impairment loss, if any, as the excess of the carrying value over the fair value of the reporting unit.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Intangible assets consist of developed technology, vendor relationship and customer relationships. Acquired intangible assets are initially recorded at the acquisition-date fair value. Intangible assets are amortized on a straight-line basis over their estimated useful lives, generally 3 to 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applies the fair value measurement accounting standard whenever other accounting pronouncements require or permit fair value measurements. Fair value is defined in the accounting standard as the price that would be received to sell an asset or paid to transfer a liability in an orderly transaction between market participants at the measurement date.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2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63" w:lineRule="exact"/>
        <w:rPr>
          <w:rFonts w:ascii="Times New Roman" w:cs="Times New Roman" w:eastAsia="Times New Roman" w:hAnsi="Times New Roman"/>
          <w:sz w:val="18"/>
          <w:szCs w:val="18"/>
          <w:color w:val="auto"/>
        </w:rPr>
      </w:pPr>
    </w:p>
    <w:p>
      <w:pPr>
        <w:ind w:left="1300" w:right="20" w:hanging="644"/>
        <w:spacing w:after="0" w:line="281" w:lineRule="auto"/>
        <w:tabs>
          <w:tab w:leader="none" w:pos="12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Instruments whose significant value drivers are unobservable.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Warrant liabilities consist of Private Placement warrants. The Private Placement warrants are not redeemable for cash so long as they are held by the initial purchasers or their permitted transferees but may be redeemable for common stock if certain other conditions are met. If the Private Placement warrants are held by someone other than the initial purchasers or their permitted transferees, the Private Placement warrants are redeemable by the Company and exercisable by such holders subject to certain conditions, such as the reported closing price of our common stock equaling or exceeding $18.00 per share (as adjusted for stock splits, stock dividends, reorganizations, recapitalizations and the like) for any 20 trading days within a 30 trading-day period ending three business days before the Company sends the notice of redemption to the holders of Private Placement warrants. The Company evaluated the Private Placement warrants and concluded that they do not meet the criteria to be classified within stockholders’ equity. The agreement governing the Private Placement warrants includes a provision, the application of which could result in a different settlement value for the Private Placement warrants depending on their holder. Because the holder of an instrument is not an input into the pricing of a fixed-for-fixed option on the Company’s ordinary shares, the Private Placement warrants are not considered to be “indexed to the Company’s own stock.” This provision precludes the Company from classifying the Private Placement warrants in stockholders’ equity.</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the Private Placement warrants meet the definition of a derivative, the Company recorded these warrants as liabilities on the consolidated balance sheet at fair value, with subsequent changes in their respective fair values recognized in the consolidated statements of operations and comprehensive loss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cash equivalents, restricted cash and accounts receivable. Cash, cash equivalents and restricted cash are deposited with federally insured commercial banks in the U.S. and UK, Hong Kong, China and European Union. At times, cash balances in the U.S. may be in excess of federal insurance limits. As of December 31, 2022 and 2021, the Company had cash, cash equivalents and restricted cash with financial institutions in US of $123.5 million and $184.2 million, respectively. As of December 31, 2022 and 2021, the Company also had cash on deposit with financial institutions in countries other than the US of approximately $0.8 million and $0.5 million, respectively, that was not federally insured.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generally does not require collateral or other security deposits for accounts receivable.</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reduce credit risk, the Company considers customer creditworthiness, past transaction history with the customer, current economic industry trends, and changes in customer payment terms when determining the collectability of specific customer accounts. Past due balances over 90 days and other higher risk amounts are reviewed individually for collectability. Based on management’s assessment, the Company provides for estimated uncollectible amounts through a charge to earnings and a credit to valuation allowance. Balances that remain outstanding after the Company has used reasonable collection efforts are written off through a charge to the valuation allowance and a credit to accounts receivable.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from the Company’s major customers representing 10% or more of total accounts receivable was as follows:</w:t>
      </w:r>
    </w:p>
    <w:p>
      <w:pPr>
        <w:spacing w:after="0" w:line="25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33655</wp:posOffset>
            </wp:positionV>
            <wp:extent cx="20231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ind w:left="864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9400" w:val="left"/>
          <w:tab w:leader="none" w:pos="10820" w:val="left"/>
        </w:tabs>
        <w:rPr>
          <w:sz w:val="20"/>
          <w:szCs w:val="20"/>
          <w:color w:val="auto"/>
        </w:rPr>
      </w:pPr>
      <w:r>
        <w:rPr>
          <w:rFonts w:ascii="Times New Roman" w:cs="Times New Roman" w:eastAsia="Times New Roman" w:hAnsi="Times New Roman"/>
          <w:sz w:val="18"/>
          <w:szCs w:val="18"/>
          <w:color w:val="auto"/>
        </w:rPr>
        <w:t>Customer 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Customer accounted for less than 10% of total accounts receivable in the period.</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were no customers that accounted for more than 10% of revenue during the years ended December 31, 2022 and 2021. Revenue from customer D accounted for approximately 11% of total revenue during the year ended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supplier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from the Company’s suppliers and vendors representing 10% or more of total purchases were as follows:</w:t>
      </w:r>
    </w:p>
    <w:p>
      <w:pPr>
        <w:spacing w:after="0" w:line="28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1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1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B accounted for 39% and 55% of total accounts payable balance as of December 31, 2022 and 2021.</w:t>
      </w:r>
    </w:p>
    <w:p>
      <w:pPr>
        <w:spacing w:after="0" w:line="25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One professional services vendor accounted for approximately 14% of total accounts payable balance as of December 31, 2022. There were no other vendors that accounted for more than 10% of total accounts payable balance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for stock-based awards granted to employees, directors, and consultants over the requisite service periods based on the estimated grant date fair value, which for options is using the Black-Scholes-Merton option pricing model using the following variables:</w:t>
      </w:r>
    </w:p>
    <w:p>
      <w:pPr>
        <w:spacing w:after="0" w:line="12" w:lineRule="exact"/>
        <w:rPr>
          <w:sz w:val="20"/>
          <w:szCs w:val="20"/>
          <w:color w:val="auto"/>
        </w:rPr>
      </w:pPr>
    </w:p>
    <w:p>
      <w:pPr>
        <w:ind w:left="1300" w:hanging="644"/>
        <w:spacing w:after="0" w:line="253"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Valuation </w:t>
      </w:r>
      <w:r>
        <w:rPr>
          <w:rFonts w:ascii="Times New Roman" w:cs="Times New Roman" w:eastAsia="Times New Roman" w:hAnsi="Times New Roman"/>
          <w:sz w:val="18"/>
          <w:szCs w:val="18"/>
          <w:color w:val="auto"/>
        </w:rPr>
        <w:t>– The fair value of the shares of common stock underlying the Company’s stock-based awards issued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Colonnade Merger is based on the grant date closing fair market value of the Company’s common stock. Before closing of the Colonnade Merger, the fair value of the shares of common stock underlying the Company’s stock-based awards was historically determined by management and approved by the board of directors. Because there was no public market for the Company’s common stock, the board of directors determined the fair value of the common stock at the time of grant of the option by considering a number of objective and subjective factors, including contemporaneous valuations performed by an unrelated third-party specialist, valuations of comparable public companies, operating and financial performance, the lack of liquidity of capital stock, and general and industry-specific economic outlook. Valuations performed by the third-party valuation specialist used methodologies, approaches, and assumptions consistent with the American Institute of Certified Public Accountants Accounting and Valuation Guide, Valuation of Privately-Held-Company Equity Securities Issued as Compensation (“AICPA” Accounting and Valuation Guide). In relation to options, the Board intends all options granted to be exercisable at a price per share not less than the per share fair value of the common stock underlying those options on the date of grant.</w:t>
      </w:r>
    </w:p>
    <w:p>
      <w:pPr>
        <w:spacing w:after="0" w:line="27" w:lineRule="exact"/>
        <w:rPr>
          <w:rFonts w:ascii="Times New Roman" w:cs="Times New Roman" w:eastAsia="Times New Roman" w:hAnsi="Times New Roman"/>
          <w:sz w:val="18"/>
          <w:szCs w:val="18"/>
          <w:color w:val="auto"/>
        </w:rPr>
      </w:pPr>
    </w:p>
    <w:p>
      <w:pPr>
        <w:ind w:left="1300" w:right="200" w:hanging="644"/>
        <w:spacing w:after="0" w:line="267"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Company’s stock-based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simplified method, which deems the term to be the average of the time to vesting and the contractual life of the options.</w:t>
      </w:r>
    </w:p>
    <w:p>
      <w:pPr>
        <w:spacing w:after="0" w:line="11" w:lineRule="exact"/>
        <w:rPr>
          <w:rFonts w:ascii="Times New Roman" w:cs="Times New Roman" w:eastAsia="Times New Roman" w:hAnsi="Times New Roman"/>
          <w:sz w:val="18"/>
          <w:szCs w:val="18"/>
          <w:color w:val="auto"/>
        </w:rPr>
      </w:pPr>
    </w:p>
    <w:p>
      <w:pPr>
        <w:ind w:left="1300" w:right="200" w:hanging="644"/>
        <w:spacing w:after="0" w:line="281" w:lineRule="auto"/>
        <w:tabs>
          <w:tab w:leader="none" w:pos="129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is based on the historical volatility for the period commensurate with the expected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awards for a peer group of comparable companies with publicly traded shares.</w:t>
      </w:r>
    </w:p>
    <w:p>
      <w:pPr>
        <w:spacing w:after="0" w:line="1" w:lineRule="exact"/>
        <w:rPr>
          <w:rFonts w:ascii="Times New Roman" w:cs="Times New Roman" w:eastAsia="Times New Roman" w:hAnsi="Times New Roman"/>
          <w:sz w:val="18"/>
          <w:szCs w:val="18"/>
          <w:b w:val="1"/>
          <w:bCs w:val="1"/>
          <w:color w:val="auto"/>
        </w:rPr>
      </w:pPr>
    </w:p>
    <w:p>
      <w:pPr>
        <w:ind w:left="1300" w:right="180" w:hanging="644"/>
        <w:spacing w:after="0" w:line="281"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 The Company does not currently pay cash dividends on its common stock and does not anticipate doing 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Accordingly, the expected dividend yield is 0%.</w:t>
      </w:r>
    </w:p>
    <w:p>
      <w:pPr>
        <w:spacing w:after="0" w:line="1" w:lineRule="exact"/>
        <w:rPr>
          <w:rFonts w:ascii="Times New Roman" w:cs="Times New Roman" w:eastAsia="Times New Roman" w:hAnsi="Times New Roman"/>
          <w:sz w:val="18"/>
          <w:szCs w:val="18"/>
          <w:color w:val="auto"/>
        </w:rPr>
      </w:pPr>
    </w:p>
    <w:p>
      <w:pPr>
        <w:ind w:left="1300" w:right="120" w:hanging="644"/>
        <w:spacing w:after="0" w:line="284"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for a term consistent with the expected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in effect at the time of grant.</w:t>
      </w:r>
    </w:p>
    <w:p>
      <w:pPr>
        <w:spacing w:after="0" w:line="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values of the restricted stock awards and restricted stock units were determined based on the fair value of the Company’s common stock on the grant date. The Company recognizes stock-based compensation expense over the requisite service period. Forfeitures are accounted for as they occur. The Company’s policy for issuing stock upon stock option exercise is to issue new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Deferred tax liabilities and assets are recognized for the expected future tax consequences of temporary differences between financial statement carrying amounts and the tax basis of assets and liabilities and net operating loss (NOL) and tax credit carryforwards. Valuation allowances are established when necessary to reduce deferred tax assets to the amount expected to be realized. Due to its history of operating losses, the Company has recorded a full valuation allowance against its deferred tax assets as of December 31, 2022 and 2021.</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uncertainty in income taxes using a two-step approach to recognize and measure uncertain tax positions. The first step is to evaluate the tax position for recognition by determining if the weight of available evidence indicates that it is more likely than not that the position will be sustained on audit, including resolution of the related appeals or litigation processes, if any. An uncertain tax position that meets a more likely than not standard based on its technical merit would then be evaluated under the measurement step to determine the largest tax benefit that the taxpayer more likely than not will realize. The Company classifies any liabilities for unrecognized tax benefits as current to the extent that the Company anticipates payment of cash within one year. Interest and penalties related to uncertain tax positions are recognized 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 software. The Company adopted this ASU as of January 1, 2021, which did not have a material impact on its consolidated financial statements and related disclosures.</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ASU 2019-12 simplifies the accounting for income taxes by removing certain exceptions to the general principles in Topic 740 and by improving consistent application of other areas of Topic 740. The Company adopted this ASU as of January 1, 2021, which did not have a material impact on its consolidated financial statements and related disclosures.</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which amends ASC 805 to add contract assets and contract liabilities to the list of exceptions to the recognition and measurement principles that apply to business combinations and to require that an entity (acquirer) recognize and measure contract assets and contract liabilities acquired in a business combination in accordance with Topic 606. The amendments in this ASU are effective for fiscal years beginning after December 15, 2022, including interim periods within those fiscal years and should be applied prospectively to business combinations occurring on or after the effective date of the amendments. Early adoption of the amendments is permitted, including adoption in an interim period. In the fourth quarter of 2022, Ouster adopted the amendments and recognized contract assets acquired and contract liabilities assumed in the mergers in accordance with ASC 606. Ouster has elected to apply the practical expedient under paragraph ASC 805-20-30-29(b) of the adopted amendments and allocated the transaction price based on the standalone selling price of each performance obligation in the contract with a customer for all contracts acquired in the mergers. As of December 31, 2022, the adoption of this new standard had no impact on the Company’s consolidated financial statements and related footnote disclosures.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ASUs not referenced below were assessed and determined to be either not applicable or are not expected to have a material impact on the Company’s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 and Related Transactions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22, 2021, the Company acquired Sense Photonics Inc. (“Sense”), a privately held lidar technology company for autonomous vehicles.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has been accounted for as a business combination. The Company purchased all of the outstanding shares of the capital stock of Sense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settled all Sense debt for total consideration of $72.8 million comprised of 9,163,982 shares of the Company’s common stock having a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fully vested replacement equity awards having a fair value of $1.1 million, and a cash payment of $11.7 million to settle Sense pre-existing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transaction costs incurred by Sense in connection with the acquisition. The Company retained 1,573,427 shares of common stock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fair value of $10.3 million to satisfy any necessary adjustments, including without limitation certain indemnification claims and net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shortfall (“Holdback Shares”). The Holdback Shares will be released, net of any shares necessary to satisfy all unsatisfied or disputed claims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and net working capital shortfall, and distributed to the Sense stockholders in 18 months from the acquisition date. The Holdback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considered issued and outstanding from legal perspective and have the same economic and voting rights as other issued and outstanding shares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incurred by the Company in connection with the acquisition, including professional fees, were $1.5 million.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Measurement period adjustments recognized during 2022 related primarily to updated estimated fair values for assumed employer withholding tax liabilities, royalty liability and a net working capital adjustment. A reconciliation of preliminary total consideration as of December 31, 2021, and total final consideration as of December 31, 2022, are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rFonts w:ascii="Times New Roman" w:cs="Times New Roman" w:eastAsia="Times New Roman" w:hAnsi="Times New Roman"/>
                <w:sz w:val="18"/>
                <w:szCs w:val="18"/>
                <w:b w:val="1"/>
                <w:bCs w:val="1"/>
                <w:color w:val="0000FF"/>
              </w:rPr>
            </w:pPr>
            <w:hyperlink r:id="rId95">
              <w:r>
                <w:rPr>
                  <w:rFonts w:ascii="Times New Roman" w:cs="Times New Roman" w:eastAsia="Times New Roman" w:hAnsi="Times New Roman"/>
                  <w:sz w:val="18"/>
                  <w:szCs w:val="18"/>
                  <w:b w:val="1"/>
                  <w:bCs w:val="1"/>
                  <w:color w:val="0000FF"/>
                </w:rPr>
                <w:t>Table of Contents</w:t>
              </w:r>
            </w:hyperlink>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360" w:type="dxa"/>
            <w:vAlign w:val="bottom"/>
            <w:tcBorders>
              <w:top w:val="single" w:sz="8" w:color="0000FF"/>
            </w:tcBorders>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Measurement</w:t>
            </w:r>
          </w:p>
        </w:tc>
        <w:tc>
          <w:tcPr>
            <w:tcW w:w="140" w:type="dxa"/>
            <w:vAlign w:val="bottom"/>
          </w:tcPr>
          <w:p>
            <w:pPr>
              <w:spacing w:after="0"/>
              <w:rPr>
                <w:sz w:val="14"/>
                <w:szCs w:val="14"/>
                <w:color w:val="auto"/>
              </w:rPr>
            </w:pPr>
          </w:p>
        </w:tc>
        <w:tc>
          <w:tcPr>
            <w:tcW w:w="130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As Adjusted</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21"/>
                <w:szCs w:val="21"/>
                <w:color w:val="auto"/>
              </w:rPr>
            </w:pPr>
          </w:p>
        </w:tc>
        <w:tc>
          <w:tcPr>
            <w:tcW w:w="13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 issued at closing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Fully vested replacement equity awards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at closing to settle Sense pre-existing debt and transaction costs incurred by Sense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0" w:type="dxa"/>
            <w:vAlign w:val="bottom"/>
          </w:tcPr>
          <w:p>
            <w:pPr>
              <w:spacing w:after="0"/>
              <w:rPr>
                <w:sz w:val="1"/>
                <w:szCs w:val="1"/>
                <w:color w:val="auto"/>
              </w:rPr>
            </w:pPr>
          </w:p>
        </w:tc>
      </w:tr>
      <w:tr>
        <w:trPr>
          <w:trHeight w:val="22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consideration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13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40" w:type="dxa"/>
            <w:vAlign w:val="bottom"/>
          </w:tcPr>
          <w:p>
            <w:pPr>
              <w:spacing w:after="0"/>
              <w:rPr>
                <w:sz w:val="24"/>
                <w:szCs w:val="24"/>
                <w:color w:val="auto"/>
              </w:rPr>
            </w:pPr>
          </w:p>
        </w:tc>
        <w:tc>
          <w:tcPr>
            <w:tcW w:w="130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As Adjusted Value</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23"/>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72,450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fair value assigned to developed technology was determined as of the acquisition date under the relief-from-royalty rate method using Level 3 inputs. Management applied significant judgment in estimating the fair value of the developed technology, which involved significant assumptions related to the revenue growth rates, the relief-from-royalty rate, the discount rate, and the economic life. The fair values assigned to the vendor relationship and customer relationships were determined using Level 3 inputs under the with-and-without method. These Level 3 inputs include revenue growth rates, discount rate and period to recreate the relationship.</w:t>
      </w:r>
    </w:p>
    <w:p>
      <w:pPr>
        <w:spacing w:after="0" w:line="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assumed liabilities acquired and is primarily attributable to the assembled workforce and expected synergies at the time of the acquisition. Goodwill is not deductible for tax purposes.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operating results of Sense are included in our consolidated statements of income from the respective dates of acquisition. Sense’s revenue and pretax loss for the period from the acquisition date of October 22, 2021 to December 31, 2021 was not material.</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unaudited supplemental pro forma information presents the combined historical results of operations of the Company and Sense as if the business combination had been completed on January 1, 2020. The pro forma financial information includes amortization of fair value adjustments in the appropriate pro forma periods as though the companies were combined as of the beginning of 2020. These adjustments include:</w:t>
      </w:r>
    </w:p>
    <w:p>
      <w:pPr>
        <w:spacing w:after="0" w:line="14" w:lineRule="exact"/>
        <w:rPr>
          <w:sz w:val="20"/>
          <w:szCs w:val="20"/>
          <w:color w:val="auto"/>
        </w:rPr>
      </w:pPr>
    </w:p>
    <w:p>
      <w:pPr>
        <w:ind w:left="660" w:right="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amortization expense of $4.5 million and $3.7 million related to the fair value of acquired identifiable intangible assets in 2021 and 2020, respectively;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expenses of $1.5 million related to acquisition transaction expenses in 2021;</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 based compensation expense of $10.8 million and $8.7 million in 2021 and 2020, respectively, related to the stock options and restricted stock units issued to Sense employees.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9"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unaudited pro forma results (in thousands,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8180" w:type="dxa"/>
            <w:vAlign w:val="bottom"/>
          </w:tcPr>
          <w:p>
            <w:pPr>
              <w:spacing w:after="0"/>
              <w:rPr>
                <w:sz w:val="19"/>
                <w:szCs w:val="19"/>
                <w:color w:val="auto"/>
              </w:rPr>
            </w:pPr>
          </w:p>
        </w:tc>
        <w:tc>
          <w:tcPr>
            <w:tcW w:w="210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33,578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(107,352)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(139,850)</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by level for the Company’s assets and liabilities that were measured at fair value on a recurring basis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are included within Level 1 of the fair value hierarchy because they are valued using quoted market prices.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 liabilities is based on significant unobservable inputs, which represent Level 3 measurements within the fair value hierarchy. In determining the fair value of the warrant liabilities, the Company used the Black-Scholes option pricing model to estimate the fair value using unobservable inputs including the expected term, expected volatility, risk-free interest rate and dividend yield (see Note 8).</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fair value of the Company’s Level 3 financial instruments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2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17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Convertible Preferred</w:t>
            </w:r>
          </w:p>
        </w:tc>
        <w:tc>
          <w:tcPr>
            <w:tcW w:w="18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Placement</w:t>
            </w:r>
          </w:p>
        </w:tc>
        <w:tc>
          <w:tcPr>
            <w:tcW w:w="16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220" w:type="dxa"/>
            <w:vAlign w:val="bottom"/>
          </w:tcPr>
          <w:p>
            <w:pPr>
              <w:spacing w:after="0"/>
              <w:rPr>
                <w:sz w:val="14"/>
                <w:szCs w:val="14"/>
                <w:color w:val="auto"/>
              </w:rPr>
            </w:pPr>
          </w:p>
        </w:tc>
        <w:tc>
          <w:tcPr>
            <w:tcW w:w="15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 Tranche</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Warrant</w:t>
            </w: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Warrant Liability</w:t>
            </w:r>
          </w:p>
        </w:tc>
        <w:tc>
          <w:tcPr>
            <w:tcW w:w="22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Liability</w:t>
            </w:r>
          </w:p>
        </w:tc>
        <w:tc>
          <w:tcPr>
            <w:tcW w:w="160" w:type="dxa"/>
            <w:vAlign w:val="bottom"/>
          </w:tcPr>
          <w:p>
            <w:pPr>
              <w:spacing w:after="0"/>
              <w:rPr>
                <w:sz w:val="18"/>
                <w:szCs w:val="18"/>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22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of January 1, 2020</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Initial recognition of preferred stock warrant liability upon</w:t>
            </w: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subsequent issuance of warrants</w:t>
            </w:r>
          </w:p>
        </w:tc>
        <w:tc>
          <w:tcPr>
            <w:tcW w:w="2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Change in the fair value included in other income (expense), net</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175"/>
        </w:trPr>
        <w:tc>
          <w:tcPr>
            <w:tcW w:w="49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Extinguishment of derivative liability upon conversion of</w:t>
            </w: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26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Settlement of redeemable convertible preferred stock tranche</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liability due to the issuance of Series B redeemable convertible</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included in other income (expense), net</w:t>
            </w:r>
          </w:p>
        </w:tc>
        <w:tc>
          <w:tcPr>
            <w:tcW w:w="2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Private placement warrant liability acquired as part of the</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Colonnade Merger</w:t>
            </w:r>
          </w:p>
        </w:tc>
        <w:tc>
          <w:tcPr>
            <w:tcW w:w="2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Change in the fair value included in other income (expense), net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preferred stock upon exercise of warrants</w:t>
            </w: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Change in the fair value included in other income (expense), net</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 of December 31, 2022</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certain assets, including goodwill and other intangible assets, which are measured at fair value on a non-recurring basis and are adjusted to fair value only if an impairment charge is recognized. The categorization of the framework used to measure fair value of the assets is considered to be within the Level 3 valuation hierarchy due to the subjective nature of the unobservable inputs used.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not re-measured at fair value include accounts receivable, accounts payable, accrued and other current liabilities and short-term debt. The carrying values of these financial instruments approximate their fair values.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and cash equivalents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182,644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540"/>
        <w:spacing w:after="0" w:line="230"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The Company maintains a cash sweep account, which is included in money market funds as of December 31, 2022 and 2021, respectively. Cash is invested in short-term money market funds that earn interest.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of the amounts reported in the consolidated statements of cash flows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consisting of material, direct and indirect labor, and manufacturing overhead, consists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inventory</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19,533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$1.3 million, $0.8 million and $0.8 million of inventory write downs were charged to cost of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contract manufacturer</w:t>
            </w:r>
          </w:p>
        </w:tc>
        <w:tc>
          <w:tcPr>
            <w:tcW w:w="3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9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83</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740" w:type="dxa"/>
            <w:vAlign w:val="bottom"/>
            <w:vMerge w:val="restart"/>
          </w:tcPr>
          <w:p>
            <w:pPr>
              <w:jc w:val="center"/>
              <w:ind w:left="183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740" w:type="dxa"/>
            <w:vAlign w:val="bottom"/>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44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tcPr>
          <w:p>
            <w:pPr>
              <w:jc w:val="center"/>
              <w:ind w:left="1834"/>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740" w:type="dxa"/>
            <w:vAlign w:val="bottom"/>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and vehicle hardware</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740" w:type="dxa"/>
            <w:vAlign w:val="bottom"/>
          </w:tcPr>
          <w:p>
            <w:pPr>
              <w:jc w:val="center"/>
              <w:ind w:left="181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740" w:type="dxa"/>
            <w:vAlign w:val="bottom"/>
            <w:shd w:val="clear" w:color="auto" w:fill="CCEEFF"/>
          </w:tcPr>
          <w:p>
            <w:pPr>
              <w:jc w:val="center"/>
              <w:ind w:left="1814"/>
              <w:spacing w:after="0"/>
              <w:rPr>
                <w:sz w:val="20"/>
                <w:szCs w:val="20"/>
                <w:color w:val="auto"/>
              </w:rPr>
            </w:pPr>
            <w:r>
              <w:rPr>
                <w:rFonts w:ascii="Times New Roman" w:cs="Times New Roman" w:eastAsia="Times New Roman" w:hAnsi="Times New Roman"/>
                <w:sz w:val="18"/>
                <w:szCs w:val="18"/>
                <w:color w:val="auto"/>
                <w:w w:val="88"/>
              </w:rPr>
              <w:t>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rPr>
                <w:sz w:val="15"/>
                <w:szCs w:val="15"/>
                <w:color w:val="auto"/>
              </w:rPr>
            </w:pPr>
          </w:p>
        </w:tc>
        <w:tc>
          <w:tcPr>
            <w:tcW w:w="3740" w:type="dxa"/>
            <w:vAlign w:val="bottom"/>
            <w:shd w:val="clear" w:color="auto" w:fill="CCEEFF"/>
          </w:tcPr>
          <w:p>
            <w:pPr>
              <w:jc w:val="center"/>
              <w:ind w:left="1814"/>
              <w:spacing w:after="0" w:line="176" w:lineRule="exact"/>
              <w:rPr>
                <w:sz w:val="20"/>
                <w:szCs w:val="20"/>
                <w:color w:val="auto"/>
              </w:rPr>
            </w:pPr>
            <w:r>
              <w:rPr>
                <w:rFonts w:ascii="Times New Roman" w:cs="Times New Roman" w:eastAsia="Times New Roman" w:hAnsi="Times New Roman"/>
                <w:sz w:val="18"/>
                <w:szCs w:val="18"/>
                <w:color w:val="auto"/>
                <w:w w:val="99"/>
              </w:rPr>
              <w:t>Shorter of useful life or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7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rPr>
              <w:t>lease term</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property and equipment was $5.0 million, $4.7 million and $3.7 million in the years ended December 31, 2022, 2021 and 2020,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and equipment, net by geography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4"/>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 Net</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completed the acquisition of Sense Photonics Inc. (“Sense”), a privately held lidar technology company for autonomous vehicles. The transaction has been accounted for as a business combination. The Company purchased all of the outstanding shares of the capital stock of Sense and settled all Sense debt for total consideration of $72.8 million. Goodwill represents the excess of the purchase price over the preliminary estimated fair values of the identifiable assets and assumed liabilities acquired and is primarily attributable to the assembled workforce and expected synergies at the time of the acquisition. Goodwill is not deductible for tax purposes.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goodwill activity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35"/>
        </w:trPr>
        <w:tc>
          <w:tcPr>
            <w:tcW w:w="9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3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51,076</w:t>
            </w:r>
          </w:p>
        </w:tc>
      </w:tr>
      <w:tr>
        <w:trPr>
          <w:trHeight w:val="22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51,076</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Goodwill and purchased intangible assets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The Company regularly monitors current business conditions and other factors including, but not limited to, adverse industry or economic trends and lower projections of profitability that may impact future operating results.</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with the assistance of third-party valuation specialist performed an interim and annual impairment test of its goodwill, as of September 30, 2022 and October 1, 2022, respectively, as a result of the decline in market conditions and updated outlook as a result of the impact of market uncertainties that prolonged sales cycle. The Company’s reporting unit fair value was determined based on a discounted future cash flow model (income approach) and a market approach. The Company’s estimate of fair value included significant judgments and assumptions relating to an implied control premium and comparable company market transactions. The estimated fair value of the reporting unit exceeded its carrying value by approximately 4%. Accordingly, the Company determined that goodwill was not impaired as of September 30, 2022 and October 1, 2022.</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with the assistance of third-party valuation specialist performed an interim impairment test of its goodwill in the fourth quarter of 2022 as a result of the continuing market volatility resulting in a decline in the Company’s stock price. The Company’s reporting unit fair value was determined based on a discounted future cash flow model (income approach) and a market approach. The Company’s estimate of fair value included significant judgments and assumptions relating to an implied control premium and comparable company market transactions. The estimated fair value of the reporting unit exceeded its carrying value by approximately 5% as of December 31, 2022. Accordingly, the Company determined that goodwill was not impaired as of December 31, 2022.</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this level headroom, in the event the financial performance of the Company does not meet management’s current expectations in the future or the Company experiences prolonged market downturns or persistent declines in the Company’s stock price, or there are other negative revisions to key assumptions, the Company may be required to perform additional impairment analyses and could be required to recognize a non-cash goodwill impairment charge.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acquired intangible assets, net as of December 31,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4"/>
        </w:trPr>
        <w:tc>
          <w:tcPr>
            <w:tcW w:w="3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360" w:type="dxa"/>
            <w:vAlign w:val="bottom"/>
            <w:vMerge w:val="restart"/>
          </w:tcPr>
          <w:p>
            <w:pPr>
              <w:jc w:val="center"/>
              <w:ind w:left="997"/>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33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4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3360" w:type="dxa"/>
            <w:vAlign w:val="bottom"/>
          </w:tcPr>
          <w:p>
            <w:pPr>
              <w:jc w:val="center"/>
              <w:ind w:left="977"/>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360" w:type="dxa"/>
            <w:vAlign w:val="bottom"/>
            <w:tcBorders>
              <w:top w:val="single" w:sz="8" w:color="CCEEFF"/>
            </w:tcBorders>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88"/>
              </w:rPr>
              <w:t>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relationship</w:t>
            </w:r>
          </w:p>
        </w:tc>
        <w:tc>
          <w:tcPr>
            <w:tcW w:w="3360" w:type="dxa"/>
            <w:vAlign w:val="bottom"/>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36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Amortization expense was $4.5 million and $0.7 million in the years ended December 31, 2022 and 2021, respectively. The Company did not have any intangible assets and amortization expense associated as of December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estimated future amortization expense of finite-lived intangible assets-net (in thousands):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6"/>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30"/>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Uninvoiced receipts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10,727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17,473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14,173</w:t>
            </w: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Convertible Notes Payable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Convertible Notes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period from August 2018 through April 2019, the Company issued convertible promissory notes to certain Investors (“2018 Investors”), with an aggregate principal amount of $40.3 million (“2018 Convertible Notes”). The Company received consideration of $40.0 million, net of debt issuance costs of $0.3 million. The 2018 Convertible Notes were payable anytime on or after two years from the respective issuance dates upon demand of the 2018 Investors holding at least 60% of the outstanding principal of the 2018 Convertible Notes or at the Company’s option with 10 days’ notice to the 2018 Investors, and carried paid in-kind interest of 5%. The notes and all accrued but unpaid interest were automatically convertible into shares of the Company’s common stock in the event of qualified financing (defined with respect to the 2018 Convertible Notes as a sale by the Company of shares of its capital stock for aggregate gross proceeds of at least $5 million) and convertible in the event of non-qualified financing (defined with respect to the 2018 Convertible Notes as a sale by the Company of shares of its capital stock for aggregate gross proceeds of less than $5 million) or change of control at the option of the majority of 2018 Investors at a conversion price equal to the lesser of (i) $400 million divided by the number of shares of the Company’s common stock outstanding immediately prior to the respective events, assuming conversion or exercise of all securities convertible into common stock and (ii) the price per share of its capital stock paid in the applicable transaction (qualified financing, non-qualified financing, or change of control).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2018 Convertible Notes were converted to common stock in April 2020 as part of Series B redeemable convertible preferred stock financing.</w:t>
      </w:r>
    </w:p>
    <w:p>
      <w:pPr>
        <w:spacing w:after="0" w:line="11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interest expense of $0.6 million and amortization of debt discount issuance costs, included in interest expense of $0.1 million related to the 2018 Convertible Notes.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April 3, 2020, $40.2 million of principal and $2.8 million of accrued interest of the 2018 Convertible Notes were converted to 3,005,762 shares of common stock at a conversion price of $14.33 per share. The Notes were converted to common stock outside of the original contract terms. The holders of 2018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spacing w:after="0" w:line="21"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challenges associated with the financing efforts of its operations at the time of the convertible notes exchange.</w:t>
      </w:r>
    </w:p>
    <w:p>
      <w:pPr>
        <w:spacing w:after="0" w:line="63"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convertible notes completed the exchange for a value lower than the face amount of the notes. As a result, the Company concluded a concession was granted to the Company.</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convertible notes exchange resulted in a gain of approximately $42.5 million, which resulted in a credit to additional paid-in capital as this transaction was with related parties.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Notes</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period from September through November, 2019, the Company issued convertible promissory notes to certain Investors (“2019 Investors”), with an aggregate principal amount of $29.3 million (“2019 Convertible Notes”).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received consideration of $29.2 million, net of debt issuance costs of $0.1 million. The 2019 Convertible Notes were to be payable anytime on or after September 18, 2021 upon demand by consent of the 2019 Investors holding at least 60% of the outstanding principal of the 2019 Convertible Notes or at the Company’s option with 10 days’ notice to the 2020 Investors, and carried interest at 5% per annum which in addition to the notes was payable at maturity. The 2019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Convertible Notes and all accrued but unpaid interest were automatically convertible into shares of the Company’s common stock in the event of qualified financing and convertible in the event of non-qualified financing (defined with respect to the 2019 Convertible Notes as a sale by the Company of shares of its capital stock for aggregate gross proceeds of less than $20 million) or change of control at the option of the majority of 2020 investors at a conversion price determined as the lesser of (i) a ratio of $300 million and the number of shares of the Company’s common stock outstanding immediately prior to the respective events, assuming conversion or exercise of all securities convertible into common stock and (ii) 85% of the price per share of its capital stock paid in the applicable transaction (qualified financing, non-qualified financing, or change of control).</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2019 Convertible Notes contain embedded features that provide the lenders with multiple settlement alternatives. Certain of these settlement features provided the lenders a right to a fixed number of the Company’s shares upon conversion of the notes (the “conversion option”). Other settlement features provided the lenders the right or the obligation to receive cash or a variable number of shares upon the completion of a capital raising transaction, change of control or default of the Company (the “redemption features”).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conversion options of the convertible notes did not meet the requirements to be separately accounted for as a derivative liability. However, certain redemption features of the 2019 Convertible Notes met the requirements for separate accounting and were accounted for as a single, compound derivative instrument. The derivative instrument was recorded at fair value at inception and was subject to remeasurement to fair value at each balance sheet date, with any changes in fair value recognized in the statements of operations and comprehensive loss (see Note 4).</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3, 2020, $29.3 million of principal and $0.7 million of accrued interest of the 2019 Convertible Notes were converted to 4,196,178 shares of common stock at a conversion price of $7.17 per share. All of the 2019 Convertible Notes were converted to common stock in April 2020 as part of Series B redeemable convertible preferred stock financing. The Notes were converted to common stock outside of the original contract terms. The holders of 2019 Convertible Notes issued consents to amend the terms of the notes to provide for conversion to common stock before maturity, including a newly negotiated issuance price to affect the conversion in order to raise additional financing. The Company accounted for the transaction as a troubled debt restructuring as a result of satisfying the below criteria:</w:t>
      </w:r>
    </w:p>
    <w:p>
      <w:pPr>
        <w:spacing w:after="0" w:line="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challenges associated with the financing efforts of its operations at the time of the convertible notes exchange.</w:t>
      </w:r>
    </w:p>
    <w:p>
      <w:pPr>
        <w:spacing w:after="0" w:line="63"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convertible notes completed the exchange for a value lower than the face amount of the notes. As a result, the Company concluded a concession was granted to the Company.</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convertible notes exchange resulted in a gain of approximately $29.3 million, which resulted in a credit to additional paid-in capital as this transaction was with related parties. The outstanding derivative liability in the amount of $5.3 million as of the conversion date of 2019 Notes was extinguished and accounted for as a capital contribution to equity.</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Company recognized interest expense of $0.4 million and amortization of debt discount issuance costs, included in interest expense of $0.1 million in relation with the 2019 Convertible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Runway Growth Loan Agreement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27, 2018, the Company entered into a Loan and Security Agreement with Runway Growth Credit Fund Inc. (“Runway Loan and Security Agreement”). The Runway Loan and Security Agreement provided for loans in an aggregate principal amount up to $10.0 million with a loan maturity date of November 15, 2021. The loan carried an interest rate equal to LIBOR plus 8.5%, unless LIBOR was no longer attainable or ceased to fairly reflect the costs of the lender, in which case the applicable interest rate would have been Prime Rate plus 6.0%. In an event of default, annual interest would have been increased by 5.0% above the otherwise applicable rate.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conjunction with the Runway Loan and Security Agreement, OTI issued a warrant to purchase 35,348 shares of Series A redeemable convertible preferred stock (the “Series A Preferred Stock”) of OTI (4.0% of original principal amount of $10.0 million, divided by the exercise price), with an exercise price of $11.3518 per share. The fair value of this warrant was estimated to be $0.1 million and accounted for as a debt discount. On August 5, 2019, in connection with the second amendment to the Runway Loan and Security Agreement, OTI amended the warrant issued to Runway Growth to increase the number of shares available to purchase to 53,023 shares of Series A Preferred Stock of OTI. The aggregate value of the warrants increased by $0.1 million after the warrant modification.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warrants were exercised on March 11, 2021 and the warrant liability was remeasured to fair value with the increase recognized as a loss of $0.6 million for the three months ended March 31, 2021 within other income (expense), net in the consolidated statements of operations and comprehensive loss. The warrant liability was remeasured to fair value as of March 31, 2021 and the reduction was recognized as a gain of $0.2 million.</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26, 2021, the Company terminated the Runway Loan and Security Agreement and repaid the $7.0 million principal amount outstanding as well as interest and fees amounting to $0.4 million. The Company incurred no prepayment fees in connection with the termination and all liens and security interests securing the loan made pursuant to the Runway Loan and Security Agreement were released upon termination. As of December 31, 2022 and 2021, the outstanding principal balance of the loan was nil,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2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Company issued a $5.0 million promissory note in January 2021 to certain current investors of the Company (or their respective affiliates) to help continue to fund the Company’s ongoing operations through the consummation of the Colonnade Merger. The note accrued interest at a rate equal to LIBOR plus 8.5% per annum and was repaid on March 11, 2021 in accordance with its terms in connection with the consummation of the Colonnade Merger.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29, 2022 (the “Closing Date”), the Company entered into the Loan Agreement with Hercules. The Loan Agreement provides the Company with a term loan facility of up to $50.0 million, subject to certain terms and conditions (the “Term Loan Facility”). The Company borrowed the initial tranche of $20.0 million on April 29, 2022. On October 17, 2022, the Company borrowed an additional $20.0 million. As of December 31, 2022, we did not achieve certain conditions relating to the achievement of trailing twelve month revenue and profit milestones under the Loan Agreement therefore an additional $10.0 million is no longer available to the Company.</w:t>
      </w:r>
    </w:p>
    <w:p>
      <w:pPr>
        <w:spacing w:after="0" w:line="7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Advances under the Loan Agreement bear interest at the rate of interest equal to greater of either (i) (x) the prime rate as reported in The Wall Street Journal plus (y) 6.15%, and (ii) 9.40%, subject to compliance with financial covenants and other conditions. The Loan Agreement includes covenants, limitations, and events of default customary for similar facilities. The Loan Agreement matures on May 1, 2026 (the “Maturity Date”).</w:t>
      </w:r>
    </w:p>
    <w:p>
      <w:pPr>
        <w:spacing w:after="0" w:line="6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Interest on amounts borrowed under the Loan Agreement is payable on a monthly basis until June 1, 2025 (the “Amortization Date”). On and as of the Amortization Date, payments consist of equal monthly installments of principal and interest payable until the secured obligations are repaid in full. However, if the Company achieves certain equity proceeds, revenue or profit targets for the twelve-month period ending December 31, 2023, then the Amortization Date will be extended to the Maturity Date. The entire principal balance and all accrued but unpaid interest shall be due and payable on the Maturity Date. On the earliest to occur of May 1, 2026, the date on which the obligations under the Loan Agreement are paid and the date on which such obligations become due and payable, the Company is also required to pay Hercules an end of term fee in an amount equal to 7.45% of the aggregated amount of all Advances made under the Loan Agreement.</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Loan Agreement, the Company paid the lender a cash facility and legal fees of $0.6 million and incurred debt issuance costs to third parties that were directly related to issuing debt in the amount of $0.3 million. The effective interest rate on this debt is 17.90% after giving effect to the debt discount, debt issuance costs and the end of term charge.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may prepay the principal of any advance made pursuant to the terms of the Term Loan Facility at any time subject to a prepayment charge equal to: 2.50%, if such advance is prepaid in any of the first 12 months following the Closing Date, 1.50%, if such advance is prepaid after 12 months but prior to 24 months following the Closing Date, and 1.0%, if such advance is prepaid anytime thereafter.</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Company failed to maintain an unrestricted cash balance of $60.0 million, it would then be subject to a financial covenant that requires the Company to achieve certain trailing twelve-month revenue targets tested quarterly as set forth in the Loan Agreement and commencing with the quarter ending on June 30, 2023. In contemplation of entry into the Velodyne Merger Agreement, on November 1, 2022, the Company entered into the Second Amendment. Pursuant to the terms of the Second Amendment, the financial covenant requiring the Company to achieve certain trailing twelve month revenue thresholds commencing with the quarter ending June 30, 2023 will be eliminated and replaced, contingent upon and effective as of the closing of the transaction under the Velodyne Merger Agreements, with a minimum liquidity financial covenant whereby the Company must maintain at least $60.0 million of cash in deposit accounts that are subject to an account control agreement in favor of Hercules. On February 10, 2023, the Company, entered into Third Amendment, which amends the Loan Agreement to (i) increase the existing debt baskets for (a) purchase money debt and capital leases,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(b) letter of credit obligations, (ii) provide for increased flexibility to maintain cash in non-US accounts, and (iii) provide for increased flexibility to relocate certain equipment.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we were in compliance with all financial covenants.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All obligations under the Loan Agreement are unconditionally guaranteed by certain of the Company’s subsidiaries, including Sense Photonics, Inc., a Delaware corporation. The Term Loan Facility is secured by substantially all of the Company’s and the guarantors’ existing and after-acquired assets, including all intellectual property, all securities in existing and future domestic subsidiaries and 65.0% of the securities in foreign subsidiaries, subject to certain exceptions and exclusions.</w:t>
      </w:r>
    </w:p>
    <w:p>
      <w:pPr>
        <w:spacing w:after="0" w:line="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for transactions of this type and other covenants agreed to by the parties, including, among others, (i) the provision of annual, quarterly and monthly financial statements, management rights and insurance policies and (ii) restrictions on incurring debt, granting liens, making acquisitions, making loans, paying dividends, dissolving, and entering into leases and asset sales. The Loan Agreement also provides for customary events of default, including, among others, payment, bankruptcy, covenant, representation and warranty, change of control, judgment and material adverse effect defaults.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outstanding is summarized below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98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term fee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48"/>
        </w:trPr>
        <w:tc>
          <w:tcPr>
            <w:tcW w:w="9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unamortized debt discount and debt issuance costs are amortized to interest expense over the life of the instrument using the effective interest rate method. Amortization expense included in the interest expense related to debt discount and debt issuance costs of the Loan Agreement was not material for the year ended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 and Tranche Liabilities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27, 2018, in connection with the execution of the Runway Loan and Security Agreement, the Company issued a warrant to purchase 35,348 shares of Series A Preferred Stock of the Company at an exercise price of $11.3518 per share (the “Runway warrant”). On August 5, 2019, in connection with the second amendment to the Runway Loan and Security Agreement, the Company amended the warrant issued to Runway Growth to increase the number of shares available to purchase to 53,023 shares of Series A Preferred Stock of the Company at an exercise price of $11.3518 per share.</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Runway warrant had a term expiring upon the earlier of 10-year anniversary from the issuance date and liquidation of the Company. The Runway warrant had a cashless exercise provision under which their holders may, in lieu of payment of the exercise price in cash, surrender the warrant and receive a net amount of shares based on the fair market value of the Company’s stock at the time of exercise of the warrants after deduction of the aggregate exercise price. The Runway warrant contained provisions for adjustment of the exercise price and number of shares issuable upon the exercise of warrants in the event of certain stock dividends, stock splits, reorganizations, reclassifications, and consolidations.</w:t>
      </w:r>
    </w:p>
    <w:p>
      <w:pPr>
        <w:spacing w:after="0" w:line="7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fair value of the Runway warrant issued was recorded as of the date of initial issuance in the amount of $0.1 million. The subsequent issuance of warrants pursuant to the August 5, 2019 amendment to the Runway Loan and Security Agreement was recorded in the amount of $0.1 million. The Runway warrant was exercised on March 11, 2021.</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April 3, 2020, in connection with the closing of the Series B redeemable convertible preferred stock, the Company issued a warrant to purchase 4,513,993 shares of Series B redeemable convertible preferred stock of the Company at an exercise price of $0.3323 per share (the “Series B warrants”). The Series B warrants could be exercised prior to the earliest to occur of (i) the 10-year anniversary of the date of issuance, (ii) the consummation of a liquidation transaction, or (iii) the consummation of an initial public offering. These Series B warrants included a cashless exercise provision under which their holders could, in lieu of payment of the exercise price in cash, surrender the warrant and receive a net amount of shares based on the fair market value of the Company’s stock at the time of exercise of the warrants after deduction of the aggregate exercise price. The Series B warrants contained provisions for adjustment of the exercise price and number of shares issuable upon the exercise of warrants in the event of certain stock dividends, stock splits, reorganizations, reclassifications, and consolidations.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Series B warrants were initially recognized as a liability at a fair value of $0.7 million. The Series B warrants were exercised on February 11, 2021 and the warrant liability was remeasured to fair value as of that date, resulting in a loss of $8.3 million for the year ended December 31, 2021, classified within other income (expense), net in the consolidated statements of operations and comprehensive loss.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Historically, value was assigned to each class of equity securities using an option pricing model method (“OPM”). In September 2020, the Company began allocating the equity value using a hybrid method that utilizes a combination of the OPM and the probability weighted expected return method (“PWERM”). The PWERM is a scenario-based methodology that estimates the fair value of equity securities based upon an analysis of future values for the Company, assuming various outcomes. As the probability of a transaction with a special purpose acquisition company (“SPAC”) increased, the fair value of the redeemable convertible preferred stock warrant liability increased as of the date of the exercise.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redeemable convertible preferred stock warrants were valued using the following assumptions under the Black-Scholes option-pricing model: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Initial Issuance Date</w:t>
            </w: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Subsequent Issuance</w:t>
            </w:r>
          </w:p>
        </w:tc>
        <w:tc>
          <w:tcPr>
            <w:tcW w:w="22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11,</w:t>
            </w:r>
          </w:p>
        </w:tc>
        <w:tc>
          <w:tcPr>
            <w:tcW w:w="280" w:type="dxa"/>
            <w:vAlign w:val="bottom"/>
          </w:tcPr>
          <w:p>
            <w:pPr>
              <w:spacing w:after="0"/>
              <w:rPr>
                <w:sz w:val="13"/>
                <w:szCs w:val="13"/>
                <w:color w:val="auto"/>
              </w:rPr>
            </w:pPr>
          </w:p>
        </w:tc>
        <w:tc>
          <w:tcPr>
            <w:tcW w:w="12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11,</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7"/>
                <w:szCs w:val="17"/>
                <w:color w:val="auto"/>
              </w:rPr>
            </w:pP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76.00 %</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Convertible Preferred Stock Tranche</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2020 and May 2020, the Company issued 62,505,102 shares of Series B redeemable convertible preferred stock at $0.3323 per share. For each share purchased, the purchaser had an option to purchase an additional share of Series B redeemable convertible preferred stock at $0.3323 per share, exercisable at any time prior to August 13, 2020 (the “Tranche Right”). The Company determined that the Tranche Right represented a freestanding obligation of the Company to issue additional shares of contingently redeemable shares if exercised by the holder. The freestanding redeemable convertible preferred stock tranche liability was initially recorded at fair value, with fair value changes recorded within other income (expense), net in the consolidated statements of operations and comprehensive loss.</w:t>
      </w:r>
    </w:p>
    <w:p>
      <w:pPr>
        <w:spacing w:after="0" w:line="7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In July 2020, the Company issued 37,970,846 shares of Series B redeemable convertible preferred stock at $0.3323 per share for net proceeds of $12.5 million, less $0.1 million of stock issuance costs.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2020, upon the expiration of the Tranche Right, 25,286,587 shares of Series B redeemable convertible preferred stock were issued in accordance with the Tranche Right. The remaining Tranche Right expired, unexercised, resulting in a $1.6 million gain recorded within other income (expense), net in the consolidated statements of operations and comprehensive loss.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Company’s initial public offering (the “IPO”) in August 2020, the sponsor of CLA, Colonnade Sponsor LLC, purchased an aggregate of 6,000,000 Private Placement warrants at a price of $1.00 per warrant, for an aggregate purchase price of $6,000,000. The Private Placement warrants became exercisable 12 months following the closing of the Company’s IPO, and will expire 5 years from the completion of the Colonnade Merger, or earlier upon redemption or liquidation. Each Private Placement warrant is exercisable for one Class A ordinary share at a price of $11.50 per share. On March 11, 2021, each outstanding Private Placement warrant automatically converted into a warrant to purchase one share of Ouster common stock pursuant to the Warrant Agreement.</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Private Placement warrants were initially recognized as a liability at a fair value of $19.4 million and the Private Placement warrant liability was remeasured to fair value as of December 31, 2022 and 2021, resulting in a gain of $7.4 million and $11.8 million in the years ended December 31, 2022 and 2021, respectively, classified within other income (expense), net in the condensed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warrants were valued using the following assumptions under the Black-Scholes option-pricing model: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11,</w:t>
            </w: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3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0.86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of warrant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(years)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70.01 %</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CLA, in its IPO in August 2020, issued 20,000,000 units that each consisted of one Class A ordinary share and one-half warrant to purchase a Class A ordinary share, which the Company refers to as CLA warrants before the Colonnade Merger and Public warrants after the Colonnade Merger. These warrants may only be exercised for a whole number of shares, and no fractional warrants were issued or issuable upon separation of the units and only whole warrants will trade. The warrants became exercisable 12 months following the closing of the Company’s IPO, and will expire five years from the completion of the Colonnade Merger, or earlier upon redemption or liquidation. Each Public warrant is exercisable at a price of $11.50 per share. On March 11, 2021, upon the closing of the Colonnade Merger pursuant to the Colonnade Merger Agreement (Note 1), each of the 9,999,996 outstanding warrants, as adjusted for any fractional warrants that were not issued upon separation, was converted automatically into a redeemable Public warrant to purchase one share of the Company’s common stock. The Public warrants were recognized as equity upon the Colonnade Merger in the amount of $17.9 million.</w:t>
      </w:r>
    </w:p>
    <w:p>
      <w:pPr>
        <w:spacing w:after="0" w:line="11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Prior to their expiration, the Company may redeem the Public warrants at a price of $0.01 per warrant, provided that the closing price of the Company’s common stock equals or exceeds $18.00 per share for any 20 trading days within a 30 trading-day period ending on the third trading day prior to the date on which the Company gives proper notice of such redemption to the warrants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Treat Building Lease</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“350 Treat Building Lease”) to lease approximately 26,125 square feet of office and warehouse space located in San Francisco, California for its corporate headquarters.</w:t>
      </w:r>
    </w:p>
    <w:p>
      <w:pPr>
        <w:spacing w:after="0" w:line="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In November 2021, the Company entered into an amendment to the 350 Treat Building Lease agreement, whereby the parties agreed to extend the term of the lease for an additional four years and seven months and provided for an additional tenant improvement allowance. The total base lease payments for the extended period of 4.6 years equals $7.6 million. The amendment resulted in an adjustment of $5.5 million to the right-of-use asset and right-of-</w:t>
      </w:r>
    </w:p>
    <w:p>
      <w:pPr>
        <w:spacing w:after="0" w:line="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use operating lease liability which was recorded in November 2021. As of December 31, 2022 the remaining lease term is 4.7 years that expires on August 31, 2027. In addition to minimum lease payments, the lease requires the Company to pay associated taxes and operating costs.</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350 Treat Building Lease is considered to be an operating lease as it does not meet the criteria of a finance lease. As of December 31, 2022, the operating lease right-of-use asset and operating lease liability were $5.6 million and $7.1 million, respectively. As of December 31, 2021, the operating lease right-of-use asset and operating lease liability were $6.6 million and $8.3 million, respectively. The discount rate used to determine the lease liability was 3.7%.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2741 16</w:t>
      </w:r>
      <w:r>
        <w:rPr>
          <w:rFonts w:ascii="Times New Roman" w:cs="Times New Roman" w:eastAsia="Times New Roman" w:hAnsi="Times New Roman"/>
          <w:sz w:val="9"/>
          <w:szCs w:val="9"/>
          <w:i w:val="1"/>
          <w:iCs w:val="1"/>
          <w:color w:val="auto"/>
        </w:rPr>
        <w:t>th</w:t>
      </w:r>
      <w:r>
        <w:rPr>
          <w:rFonts w:ascii="Times New Roman" w:cs="Times New Roman" w:eastAsia="Times New Roman" w:hAnsi="Times New Roman"/>
          <w:sz w:val="18"/>
          <w:szCs w:val="18"/>
          <w:i w:val="1"/>
          <w:iCs w:val="1"/>
          <w:color w:val="auto"/>
        </w:rPr>
        <w:t xml:space="preserve"> Street Lease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September 2017 the Company entered into a lease agreement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to lease approximately 20,032 square feet of office space and 25,000 of parking space located in San Francisco, California.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May 2020, the Company entered into an amendment to 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Street Lease agreement, whereby the parties agreed to extend the term of the lease for an additional four years, restructure the monthly rent payable under the lease and provide for an additional tenant improvement allowance. The total base lease payments for the extended period of 4.0 years equals $8.5 million and the increase in total base lease payments for the lease term provided for by the original agreement is $0.7 million. The amendment resulted in an adjustment of $6.2 million to the right-of-use asset and right-of-use operating lease liability which was recorded in May 2020. As of December 31, 2022 the remaining lease term is 4.7 years that expires on August 31, 2027. In addition to minimum lease payments, the lease requires the Company to pay associated taxes and operating costs.</w:t>
      </w:r>
    </w:p>
    <w:p>
      <w:pPr>
        <w:spacing w:after="0" w:line="79"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t>The 2741 16</w:t>
      </w:r>
      <w:r>
        <w:rPr>
          <w:rFonts w:ascii="Times New Roman" w:cs="Times New Roman" w:eastAsia="Times New Roman" w:hAnsi="Times New Roman"/>
          <w:sz w:val="9"/>
          <w:szCs w:val="9"/>
          <w:color w:val="auto"/>
        </w:rPr>
        <w:t>th</w:t>
      </w:r>
      <w:r>
        <w:rPr>
          <w:rFonts w:ascii="Times New Roman" w:cs="Times New Roman" w:eastAsia="Times New Roman" w:hAnsi="Times New Roman"/>
          <w:sz w:val="17"/>
          <w:szCs w:val="17"/>
          <w:color w:val="auto"/>
        </w:rPr>
        <w:t xml:space="preserve"> Street Lease is considered to be an operating lease as it does not meet the criteria of a finance lease. As of December 31, 2022, the operating lease right-of-use asset and lease liability were $6.5 million and $8.7 million, respectively. As of December 31, 2021, the operating lease right-of-use asset and operating lease liability were $7.7 million and $10.1 million, respectively. The discount rate used to determine the operating lease liability was 5.25%.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real estate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executed or assumed as lessee other five operating leases for rental of office space. The terms of those leases range from 1 to 3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obligated to make lease payments totaling approximately $0.9 million for those leases over the respective lease terms.</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Total operating lease cost for the years ended December 31, 2022, 2021 and 2020 was $3.9 million, $3.6 million and $2.9 million, which consisted of $3.8 million, $3.0 million and $2.6 million of fixed lease expense and $0.1 million, $0.6 million and $0.3 million of variable lease expense, respectively. Cash paid for amounts included in the measurement of lease liabilities was $4.0 million, $4.2 million and $3.5 million for the years ended December 31, 2022, 2021 and 2020,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discount rate for leases: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03"/>
        </w:trPr>
        <w:tc>
          <w:tcPr>
            <w:tcW w:w="894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4"/>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r>
      <w:tr>
        <w:trPr>
          <w:trHeight w:val="400"/>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the operating lease liabilities as of December 31, 2022 were as follows (in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3"/>
        </w:trPr>
        <w:tc>
          <w:tcPr>
            <w:tcW w:w="894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9"/>
                <w:szCs w:val="19"/>
                <w:color w:val="auto"/>
              </w:rPr>
            </w:pPr>
          </w:p>
        </w:tc>
        <w:tc>
          <w:tcPr>
            <w:tcW w:w="12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30"/>
        </w:trPr>
        <w:tc>
          <w:tcPr>
            <w:tcW w:w="8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w:t>
            </w:r>
          </w:p>
        </w:tc>
      </w:tr>
      <w:tr>
        <w:trPr>
          <w:trHeight w:val="230"/>
        </w:trPr>
        <w:tc>
          <w:tcPr>
            <w:tcW w:w="8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r>
      <w:tr>
        <w:trPr>
          <w:trHeight w:val="248"/>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tcBorders>
              <w:bottom w:val="single" w:sz="8" w:color="CCEEFF"/>
            </w:tcBorders>
            <w:gridSpan w:val="3"/>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certain office leasehold interests in real property located in San Francisco (350 Treat Ave and, 2741 16th Street) and in Paris (5, rue Coq Héron), the Company obtained letters of credit from certain banks as required by the lease agreements. If the Company defaults under the terms of the applicable lease, the lessor will be entitled to draw upon the letters of credit in the amount necessary to cure the default. The amounts covered by the letters of credit are collateralized by certificates of deposit, which are included in restricted cash on the consolidated balance sheets as of December 31, 2022 and 2021. The outstanding amount of the letters of credit was $1.3 million and $2.0 million as of December 31, 2022 and 2021,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commitments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non-cancelable purchase commitments to a third-party contract manufacturer for approximately $22.3 million and other vendors for approximately $6.3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involved in various legal proceedings arising in the ordinary course of business. The Company accrues a liability when a loss is considered probable and the amount can be reasonably estimated. Legal fees are expensed as incurred. The Company has identified certain claims as a result of which a loss may be incurred, but in the aggregate any loss is expected to be immaterial. This assessment is based on our current understanding of relevant facts and circumstances. As such, our view of these matters is subject to inherent uncertainties and may change in the future. Significant judgment is required in both the determination of probability and the determination as to whether an exposure is reasonably estimable. Actual outcomes of these legal and regulatory proceedings may materially differ from our current estimates.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no accruals with respect to the following:</w:t>
      </w:r>
    </w:p>
    <w:p>
      <w:pPr>
        <w:spacing w:after="0" w:line="1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December 1, 2022, December 20, 2022, December 29, 2022, and January 9, 2023, purported stockholders of Velodyne filed the following lawsuits against Velodyne and certain of its directors and officers in the Southern District of New York for violations of Sections 14(a) and 20(a) of the Securities Exchange Act of 1934 and U.S. Securities and Exchange Commission (“SEC”) Rule 14a-9: O’Dell v. Velodyne, et. al., Carlisle v. Velodyne, et. al., Wheeler v. Velodyne et. al., and Cristino v. Velodyne, et. al. The complaints allege that Velodyne’s disclosures in connection with the Merger with Ouster were materially incomplete and misleading. The plaintiff in O’Dell v. Velodyne et. al. voluntarily dismissed his complaint on January 17, 2023. Velodyne also received eleven demand letters from stockholders making similar allegations regarding Velodyne’s disclosures relating to the Merger. The Company does not believe the allegations in the complaints and demand letters are meritorious, and intends to defend against them vigorously.</w:t>
      </w:r>
    </w:p>
    <w:p>
      <w:pPr>
        <w:spacing w:after="0" w:line="8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June 14, 2022, Velodyne filed a lawsuit against the Company relating to two patents and requested an International Trade Commission proceeding with respect to the same two patents. On July 8, 2022, the Company filed a complaint against Velodyne, alleging multiple claims including intellectual property misappropriation and false advertising. In connection with the Velodyne Merger, the matters were dismissed.</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10, 2021, the Company received a letter from the SEC notifying us of an investigation and document subpoena. The subpoena seeks documents regarding projected financial information in CLA’s Form S-4 registration statement filed on December 22, 2020. The Company has complied with the SEC’s requests to date; however, the SEC may request additional documents or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agreements in the ordinary course of business that include indemnification provisions. Generally, in these provisions the Company agrees to defend, indemnify, and hold harmless the indemnified parties for claims and losses suffered or incurred by such indemnified parties for which the Company is responsible under the applicable indemnification provisions. The terms of the indemnification provisions vary depending upon negotiations between the Company and its counterpart; however, typically, these indemnification obligations survive the term of the contract and the maximum potential amount of future payments the Company could be required to make pursuant to these provisions are uncapped. To date, the Company has never incurred costs to defend lawsuits or settle claims related to these indemnification provisions.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also entered into indemnity agreements pursuant to which it has indemnified its directors and officers, to the extent legally permissible, against all liabilities reasonably incurred in connection with any action in which such individual may be involved by reason of such individual being or having been a director or executive officer, other than liabilities arising from willful misconduct of the individual. To date, the Company has never incurred costs to defend lawsuits or settle claims related to these indemnity agreements. The consolidated financial statements do not include a liability for any potential obligations under the indemnification agreements at December 31, 2022 and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Redeemable Convertible Preferred and Common Stock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common stock trades on the New York Stock Exchange under the symbol “OUST” and the Company’s warrants trade on the New York Stock Exchange and NYSE American under the symbols “OUST WS” and “OUST WTA,” respectively. Pursuant to the terms of the Second Amended and Restated Certificate of Incorporation, the Company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is authorized to issue the following shares and classes of capital stock, each with a par value of $0.0001 per share: (i) 1,000,000,000 shares of common stock; (ii) 100,000,000 shares of preferred stock. Immediately following the Colonnade Merger, there were 161,449,205 shares of common stock with a par value of $0.0001, and 15,999,996 warrants outstanding. The holder of each share of common stock is entitled to one vote.</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retroactively adjusted the shares issued and outstanding prior to March 11, 2021 to give effect to the exchange ratio established in the Colonnade Merger Agreement to determine the number of shares of common stock into which they were converted.</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Immediately prior to the Colonnade Merger, OTI’s certificate of incorporation, as amended, authorized it to issue 342,367,887 shares of $0.00001 par value, with 210,956,516 shares designated as common stock and 131,411,372 shares of redeemable convertible preferred stock.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11, 2021, upon the closing of the Colonnade Merger Agreement (Note 1), all of OTI’s outstanding redeemable convertible preferred stock was converted to the Company’s common stock pursuant to the conversion rate effective immediately prior to the Colonnade Merger and the remaining amount was reclassified to additional paid-in capital. As of December 31, 2022 and 2021, the Company does not have any redeemable convertible preferred stock outstanding.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Agreement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29, 2022, the Company entered into the ATM Agreement pursuant to which the Company may, subject to the terms and conditions set forth in the agreement offer and sell, from time to time, through or to the agents, acting as agent or principal, shares of the Company’s common stock, par value $0.0001 per share, having an aggregate offering price of up to $150.0 million.</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the date of the ATM Agreement through December 31, 2022, the Company sold 7,833,709 shares at a weighted-average sales price of $2.08 per share, resulting in cumulative gross proceeds to the Company totaling approximately $16.8 million before deducting offering costs, sales commissions and fees. Cumulative net proceeds to the Company totaled approximately $15.8 million after deducting offering costs, sales commissions and fees. The Company plans to use the net proceeds from this offering for working capital and general corporate purposes.</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2022, the Company suspended sales of common stock through its ATM Agreement. The remaining availability under the ATM Agreement as of December 31, 2022 is approximately $133.2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Seed Financing and conversion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2016, the Company issued 1,887,253 shares of Series Seed redeemable convertible preferred stock at $1.02 per share for net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million, net of $0.1 million stock issuance costs. In April 2016, the Company issued 44,256 shares to an investor upon conversion of a note having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of principal and interest of $45,000. In May 2016, the Company issued 563,725 shares of Series Seed redeemable convertible preferred stock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per share for net proceeds of $0.6 million. In July 2016, the Company issued 445,942 shares of Series Seed redeemable convertible preferred stock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 per share for net proceeds of $0.5 million.</w:t>
      </w:r>
    </w:p>
    <w:p>
      <w:pPr>
        <w:spacing w:after="0" w:line="9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April 2020, in order to induce the closing of the Series B Financing, the holders exercised the embedded conversion feature and all the outstanding Series Seed redeemable convertible preferred stock shares were converted to 2,941,176 shares of the Company’s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Financing and conversion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2017, the Company issued 1,324,511 shares of Series A Preferred Stock at $11.3158 per share for net proceeds of $14.8 million, net of</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$0.2 million of stock issuance costs. In October 2017, the Company issued 1,253,556 shares of Series A Preferred Stock upon conversion of multiple notes having a principal and interest balance of $4.6 million. In December, 2018, the Company issued 715,712 shares of Series A Preferred Stock at $11.3158 per share for net proceeds of $8.1 million.</w:t>
      </w:r>
    </w:p>
    <w:p>
      <w:pPr>
        <w:spacing w:after="0" w:line="7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April 2020, in order to induce the closing of the Series B Financing, the holders exercised the embedded conversion feature and all of the outstanding Series A redeemable convertible preferred stock shares were converted to 3,293,779 shares of the Company’s common stock.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8" w:right="3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Financing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2020, the Company issued 45,185,071 shares of Series B redeemable convertible preferred stock at $0.3323 per share for gross proceeds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$15.1 million, less $0.1 million of stock issuance costs. In May 2020, the Company issued 17,320,031 shares of Series B redeemable convertible preferred stock at $0.3323 per share for gross proceeds of $5.8 million, less $0.1 million of stock issuance costs. In July 2020, the Company issued 37,970,846 shares of Series B redeemable convertible preferred stock at $0.3323 per share for gross proceeds of $12.5 million, less $0.1 million of stock issuance costs. In August 2020, the Company issued 25,286,587 shares of Series B redeemable convertible preferred stock at $0.3323 per share for gross proceeds of $8.4 million, less $0.1 million of stock issuance costs.</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11, 2021, upon the closing of the Transaction pursuant to the Colonnade Merger Agreement (Note 1), all of the outstanding redeemable convertible preferred stock was converted to the Company’s common stock pursuant to the conversion rate effective immediately prior to the Transaction and the remaining amount was reclassified to additional paid-in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convertible preferred stock as of December 31, 2020, consisted of the following (in thousands, except share and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8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480" w:type="dxa"/>
            <w:vAlign w:val="bottom"/>
          </w:tcPr>
          <w:p>
            <w:pPr>
              <w:spacing w:after="0"/>
              <w:rPr>
                <w:sz w:val="11"/>
                <w:szCs w:val="11"/>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80" w:type="dxa"/>
            <w:vAlign w:val="bottom"/>
          </w:tcPr>
          <w:p>
            <w:pPr>
              <w:spacing w:after="0"/>
              <w:rPr>
                <w:sz w:val="11"/>
                <w:szCs w:val="11"/>
                <w:color w:val="auto"/>
              </w:rPr>
            </w:pPr>
          </w:p>
        </w:tc>
        <w:tc>
          <w:tcPr>
            <w:tcW w:w="1200" w:type="dxa"/>
            <w:vAlign w:val="bottom"/>
            <w:vMerge w:val="restart"/>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1080" w:type="dxa"/>
            <w:vAlign w:val="bottom"/>
          </w:tcPr>
          <w:p>
            <w:pPr>
              <w:jc w:val="center"/>
              <w:ind w:left="302"/>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480" w:type="dxa"/>
            <w:vAlign w:val="bottom"/>
          </w:tcPr>
          <w:p>
            <w:pPr>
              <w:spacing w:after="0"/>
              <w:rPr>
                <w:sz w:val="12"/>
                <w:szCs w:val="12"/>
                <w:color w:val="auto"/>
              </w:rPr>
            </w:pPr>
          </w:p>
        </w:tc>
        <w:tc>
          <w:tcPr>
            <w:tcW w:w="158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20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0.33</w:t>
            </w:r>
          </w:p>
        </w:tc>
        <w:tc>
          <w:tcPr>
            <w:tcW w:w="14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131,411,372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88,434,754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41,791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features of the Company’s redeemable convertible preferred stock were as follows: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provisions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Series Seed, Series A and Series B preferred stockholders were entitled to receive dividends prior and in preference to any dividends on the common stock, at a rate of $0.0612, $0.6789 and $0.019938 per share, respectively, per annum on a non-cumulative basis, when and if declared by the board of directors, subject to the prior rights of the preferred stockholders. After payment of such dividend, any additional dividends were to be distributed among the holders of the preferred stock and common stock pro rata based on the number of shares of common stock then held by each holder (assuming conversion of all shares of preferred stock into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liquidation, dissolution or winding up of the Company, merger or a reduction of capital through the sale or lease of all or substantial part of the business of the Company, before any distribution or payment could be made to the holders of common stock, the holders of Series Seed, Series A and Series B redeemable convertible preferred stock were entitled to receive $1.02, $11.3518 and $0.3323 per share (subject to adjustment in the event of any share dividend, share split, combination, or other recapitalization), respectively, plus any declared but unpaid dividends on such shares. If the assets and funds were insufficient for such distribution, they were to receive a pro rata distribution, based on the relative preferred stock ownership and in proportion to the preferential amount each such holder is otherwise entitled. If the assets and funds were in excess of amounts distributed to the preferred stockholders, the remaining assets and funds were to be distributed pro rata to the holders of the common stock. If the holders of the redeemable convertible preferred stock would receive a greater distribution if they converted to common stock, then such conversion would have been assumed prior to distribution.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holders of Series Seed, Series A and Series B redeemable convertible preferred stock had a right to convert their stock into not assessable shares of common stock at a conversion rate equal to their respective liquidation preferences divided by a conversion price of $1.02, $11.3518 and $0.3323, respectively, which would be adjusted for any stock splits, stock dividends, combination, subdivisions, recapitalization or similar transactions.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of Series B redeemable convertible preferred stock were automatically be converted into shares of common stock upon the earlier of (a) the closing of the sale of shares of common stock to the public at a minimum price of $1.41 per share, subject to appropriate adjustment in the event of any stock splits, stock dividends, combinations, subdivisions, recapitalization or similar transactions with respect to common stock, in a firm-commitment underwritten public offering pursuant to an effective registration statement under the Securities Act of 1933, as amended, resulting in at least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$75.0 million of gross cash proceeds to the Company or (b)(i) upon vote or written consent of a majority of the then outstanding shares of the Series Seed redeemable convertible preferred stock, voting as a separate series on an as-converted basis or (ii) upon vote or written consent of the majority of the then outstanding shares of the Series B redeemable convertible preferred stock, voting as a separate series on an as-converted basis,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redeemable convertible preferred stock is recorded in mezzanine equity because while it is not currently redeemable, it may become redeemable at the option of the preferred stockholders upon the occurrence of certain deemed liquidation events that are considered not solely within the Company’s control for an amount equal to the shares respective liquidation preference plus declared and unpaid dividends.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Each holder of redeemable convertible preferred stock shall be entitled to the number of votes equal to the number of shares of common stock into which such redeemable convertible preferred stock could then be converted and, with respect to such vote, holders of redeemable convertible preferred stock are entitled to vote together with the holders of common stock as a single class on all matters.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four equity incentive plans, the 2015 Stock Plan (the “2015 Plan”), the Sense 2017 Equity Incentive Plan (the “Sense Plan”), the 2021 Incentive Award Plan (the “2021 Plan”) and 2022 Employee Stock Purchase Plan (the “2022 ESPP” and, collectively with the 2015 Plan, the Sense Plan and the 2021 Plan, together the “Plans”).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Plans provide for the grant of stock options, stock appreciation rights, restricted stock awards (“RSA”), restricted stock units (“RSUs”), performance stock unit awards and other forms of equity compensation (collectively, “equity awards”). In addition, the 2021 Plan provides for the grant of performance bonus awards. All awards under the Plans may be granted to employees, including officers, and awards under the 2015 Plan, Sense Plan and 2021 Plan also may be granted to directors and consultants, in each case, within the limits defined in the Plans.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Options under the Plans will be exercisable at such times and as specified in the Award Agreement (as defined in the Plans) provided that the term of an option or stock appreciation will not exceed ten years. Options granted under the Plans may be Incentive Stock Options (ISOs) or Non-statutory Stock Options, as determined by the Administrator (as defined in the Plans) at the time of grant of an option and subject to the applicable provisions of Section 422 of the Internal Revenue Code and the regulations promulgated thereunder. The exercise price of an option will be no less than 100% of the fair market value of the shares of common stock on the date of grant. The exercise price of an ISO granted to a 10% shareholder will be no less than 110% of the fair market value of the shares on the date of grant and the term of the ISO will not exceed five years. Options granted generally vest over four years and vest at a rate of 25% upon the first anniversary of the issuance date and 1/36th per month thereafter. The Company accounts for forfeitures as they occur.</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and restricted stock units granted to employees generally vest as to 25% of the shares on the first anniversary service date of the grant, and quarterly thereafter so as to be 100% vested on the fourth anniversary of the vesting commencement date. All participants holding shares of restricted stock will be entitled to all the rights of a stockholder with respect to such shares and have voting power and other rights with respect to such shares, provided, however, that such shares are held in escrow and subject to forfeiture until the shares vested.</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exercise price of stock options granted before the Colonnade Merger were determined based on the fair value of stock at the date of grant obtained by the Company on a contemporaneous basis from an independent valuation firm. The valuation firm used a PWERM to estimate the aggregate enterprise value of the Company at each valuation date. The PWERM involves applying appropriate risk adjusted discount rates to future values for the enterprise assuming various possible scenarios. The projections used in connection with these valuations were based on the Company’s expected operating performance over the forecast period. Share value is based on the probability-weighted present value of expected future returns to the equity investor considering each of the likely future scenarios available to the enterprise, and the rights and preferences of each share class.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have the right to early exercise unvested stock options, subject to rights held by the Company to repurchase unvested shares in the event of voluntary or involuntary termination. The Company accounts for cash received in consideration for the early exercise of unvested stock options as a non-current liability, included as a component of other liabilities in the Company’s consolidated balance sheets.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11, 2021, the board of directors approved the 2021 Plan. 18,558,576 shares of the Company’s common stock were initially reserved for issuance under the 2021 Plan. The 2021 Plan includes an evergreen provision that provides for an annual increase in the number of shares of common stock available for issuance thereunder beginning on January 1, 2022 and ending on January 1, 2031, equal to 5% of the shares of Company common stock outstanding on the last day of the immediately preceding fiscal year and such smaller number of shares as determined by the board of directors or a committee thereof.</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2021, the Company granted an option to purchase 1,614,492 shares of Company common stock, 807,246 restricted stock units and 807,246 performance stock units to a senior advisor serving on the Company’s board of directors as chair. The option would vest over five years starting from the first anniversary from the senior advisor’s employment start date and at a rate of 20% per annum, subject to his continued employment with the Company and provided that option grant will only be exercisable in the event that the closing trading price per share of the Company stock equals or exceeds 130% of the exercise price per share of the option for 30 consecutive trading days. The restricted stock units would vest over five years starting from the first anniversary from the senior advisor’s employment start date and at a rate of 20% per annum, subject to his continued employment with the Company. The performance stock units would vest over four years based on achieving increases in the Company’s stock price from the date of grant ranging from 150%, to earn 25% of the performance stock units, to 300% to earn the entire award of performance stock units. Each performance stock unit constituted the right to receive one share of Company common stock upon vesting. The senior advisor resigned in June 2021 and the option to purchase 1,614,492 shares of Company common stock, all restricted stock unit awards granted and all performance stock unit awards granted were forfeited.</w:t>
      </w:r>
    </w:p>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March 2021, the Company also granted 152,628 restricted stock units to several members of the board of directors subject to standard terms of these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 Stock Plan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2015, the Company established its 2015 Stock Plan. As of March 11, 2021, the effective time of the Colonnade Merger, the Company no longer grants equity awards pursuant to the 2015 Plan, but it continues to govern the terms of outstanding stock options that were granted prior to that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Employee Stock Purchase Plan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2022 ESPP has been offered to all eligible employees since August 2022 and generally permits certain employees to purchase shares of our common stock through payroll deductions of up to 15% of their compensation of each offering period, subject to certain limitations. The 2022 ESPP has overlapping offering periods, with each offering period lasting 24 months. Under the 2022 ESPP, the purchase price of a share under the ESPP equals 85% of the lesser of the fair market value of a share of common stock on either the first or last day of each offering period, but no less than the par value per share of common stock. As of December 31, 2022, 6.6 million shares of our common stock were available for issuance under the 2022 ESPP. The maximum amount that an employee can contribute during a purchase right period is $7,500. The stock-based compensation expense is calculated as of the beginning of the offering period as the fair value of the 2022 ESPP shares utilizing the Black-Scholes option valuation model and is recognized over the offering period. The first offering period under the 2022 ESPP commenced on September 6, 2022. During fiscal 2022 employees purchased approximately 0.3 million shares of common stock under the 2022 ESPP at a purchase price of $1.1730, with proceeds of $0.4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Assumed from Acquisition</w:t>
      </w:r>
    </w:p>
    <w:p>
      <w:pPr>
        <w:spacing w:after="0" w:line="11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On October 22, 2021 (“Effective Time”), the Company closed the acquisition of Sense pursuant to the Agreement and Plan of Merger and Plan of Reorganization (“Sense Agreement”). Pursuant to the Sense Agreement, upon the completion of the transaction, the Company assumed the Sense 2017 Equity Incentive Plan (the “Sense Plan”). In addition, pursuant to the Sense Agreement, at the Effective Time, each outstanding option to purchase Sense common stock and each award of time-based RSUs in respect of shares of Sense common stock held by Sense employees, in each case, that was outstanding as of immediately prior to the Effective Time was automatically adjusted by the Exchange Ratio (as defined in the Sense Agreement) and converted into an equity award of the same type covering shares of the Company’s common stock, on the same terms and conditions, (including, if applicable, any continuing vesting requirements) under the applicable Sense plan and award agreement in effect immediately prior to the Effective Time (the “Assumed Awards”).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closing of the acquisition, 823,114 stock options and 4,490,980 RSUs were assumed.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October 12, 2020, the Company issued $1.1 million partial recourse promissory notes to certain executives and employees. The promissory notes carried 0.38% annual cash interest and were due on earliest of 9th anniversary of the date of issuance of the notes, or termination of employment of the executive/employee, or filing by the Company of a registration statement under the Securities Act of 1933, or promissory notes being prohibited under Section 13(k) of the Securities Exchange Act of 1934 or closing of change a in control of the Company. At issuance, the promissory notes were used to settle certain executives’ and employees’ obligations for 2,883,672 vested and 4,603,833 unvested ISOs that were exercised and no cash was exchanged. In March 2021, in connection with the close of the Colonnade Merger, the Company forgave half of the respective obligations under the promissory notes for certain executives and required such noteholders to repay the remaining balance of $0.5 million under each of their respective notes. Additional compensation expense of $0.5 million was recognized in general and administrative expenses in the year ended December 31, 2021.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for all stock options in the statements of operations and comprehensive loss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2022, 2021 and 2020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0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5"/>
                <w:szCs w:val="15"/>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204"/>
        </w:trPr>
        <w:tc>
          <w:tcPr>
            <w:tcW w:w="50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Pr>
          <w:p>
            <w:pPr>
              <w:spacing w:after="0"/>
              <w:rPr>
                <w:sz w:val="17"/>
                <w:szCs w:val="17"/>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Outstanding—January 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37,663,242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363,941</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121,106</w:t>
            </w: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25,732,503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245,746</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assumed through acquisition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Outstanding—December 31,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24,129,096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100,992</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r>
      <w:tr>
        <w:trPr>
          <w:trHeight w:val="22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21,017,162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 and expected to vest—December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21,017,162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12,398,966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r>
    </w:tbl>
    <w:p>
      <w:pPr>
        <w:spacing w:after="0" w:line="200" w:lineRule="exact"/>
        <w:rPr>
          <w:sz w:val="20"/>
          <w:szCs w:val="20"/>
          <w:color w:val="auto"/>
        </w:rPr>
      </w:pP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
        </w:trPr>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58"/>
        </w:trPr>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left="208"/>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5"/>
        </w:trPr>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6"/>
        </w:trPr>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2"/>
        </w:trPr>
        <w:tc>
          <w:tcPr>
            <w:tcW w:w="280" w:type="dxa"/>
            <w:vAlign w:val="bottom"/>
          </w:tcPr>
          <w:p>
            <w:pPr>
              <w:spacing w:after="0"/>
              <w:rPr>
                <w:sz w:val="14"/>
                <w:szCs w:val="14"/>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11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Options</w:t>
            </w:r>
          </w:p>
        </w:tc>
      </w:tr>
      <w:tr>
        <w:trPr>
          <w:trHeight w:val="204"/>
        </w:trPr>
        <w:tc>
          <w:tcPr>
            <w:tcW w:w="280" w:type="dxa"/>
            <w:vAlign w:val="bottom"/>
          </w:tcPr>
          <w:p>
            <w:pPr>
              <w:spacing w:after="0"/>
              <w:rPr>
                <w:sz w:val="17"/>
                <w:szCs w:val="17"/>
                <w:color w:val="auto"/>
              </w:rPr>
            </w:pPr>
          </w:p>
        </w:tc>
        <w:tc>
          <w:tcPr>
            <w:tcW w:w="11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1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Exercisable</w:t>
            </w:r>
          </w:p>
        </w:tc>
      </w:tr>
      <w:tr>
        <w:trPr>
          <w:trHeight w:val="37"/>
        </w:trPr>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3"/>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3,773,175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2,933,506</w:t>
            </w: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8,814,619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4,908,617</w:t>
            </w:r>
          </w:p>
        </w:tc>
      </w:tr>
      <w:tr>
        <w:trPr>
          <w:trHeight w:val="230"/>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7,524,114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4,075,561</w:t>
            </w: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212,201</w:t>
            </w:r>
          </w:p>
        </w:tc>
      </w:tr>
      <w:tr>
        <w:trPr>
          <w:trHeight w:val="230"/>
        </w:trPr>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645,797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269,081</w:t>
            </w:r>
          </w:p>
        </w:tc>
      </w:tr>
      <w:tr>
        <w:trPr>
          <w:trHeight w:val="223"/>
        </w:trPr>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21,017,162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12,398,966</w:t>
            </w:r>
          </w:p>
        </w:tc>
      </w:tr>
      <w:tr>
        <w:trPr>
          <w:trHeight w:val="21"/>
        </w:trPr>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granted during the year ended December 31, 2022. The weighted average grant date fair value of options granted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 was $5.90 and $1.10, respectively. The weighted average grant date fair value of options assumed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was $3.11.</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approximately $13.6 million of unamortized stock-based compensation expense related to unvested stock options that is expected to be recognized over a weighted average period of 1.7 years.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received from option exercises and purchases of shares was $0.8 million, $0.5 million and $1.3 million for years ended December 31, 2022, 2021 and 2020, respectively.</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in the Black-Scholes option-pricing models used to determine the fair value of stock options granted during the years ended December 31, 2021 and 2020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- 1.5%</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63.2%</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- 63.3%</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0"/>
                <w:szCs w:val="20"/>
                <w:color w:val="auto"/>
              </w:rPr>
            </w:pPr>
          </w:p>
        </w:tc>
        <w:tc>
          <w:tcPr>
            <w:tcW w:w="16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weighted-average assumptions in the Black-Scholes option-pricing models used to determine the fair value of stock options assumed during the year ended December 31, 2021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3660" w:type="dxa"/>
            <w:vAlign w:val="bottom"/>
          </w:tcPr>
          <w:p>
            <w:pPr>
              <w:spacing w:after="0"/>
              <w:rPr>
                <w:sz w:val="2"/>
                <w:szCs w:val="2"/>
                <w:color w:val="auto"/>
              </w:rPr>
            </w:pPr>
          </w:p>
        </w:tc>
        <w:tc>
          <w:tcPr>
            <w:tcW w:w="7580" w:type="dxa"/>
            <w:vAlign w:val="bottom"/>
            <w:gridSpan w:val="3"/>
          </w:tcPr>
          <w:p>
            <w:pPr>
              <w:spacing w:after="0"/>
              <w:rPr>
                <w:sz w:val="2"/>
                <w:szCs w:val="2"/>
                <w:color w:val="auto"/>
              </w:rPr>
            </w:pPr>
          </w:p>
        </w:tc>
      </w:tr>
      <w:tr>
        <w:trPr>
          <w:trHeight w:val="190"/>
        </w:trPr>
        <w:tc>
          <w:tcPr>
            <w:tcW w:w="3660" w:type="dxa"/>
            <w:vAlign w:val="bottom"/>
            <w:tcBorders>
              <w:bottom w:val="single" w:sz="8" w:color="CCEEFF"/>
            </w:tcBorders>
          </w:tcPr>
          <w:p>
            <w:pPr>
              <w:spacing w:after="0"/>
              <w:rPr>
                <w:sz w:val="16"/>
                <w:szCs w:val="16"/>
                <w:color w:val="auto"/>
              </w:rPr>
            </w:pPr>
          </w:p>
        </w:tc>
        <w:tc>
          <w:tcPr>
            <w:tcW w:w="5280" w:type="dxa"/>
            <w:vAlign w:val="bottom"/>
            <w:tcBorders>
              <w:bottom w:val="single" w:sz="8" w:color="CCEEFF"/>
            </w:tcBorders>
          </w:tcPr>
          <w:p>
            <w:pPr>
              <w:spacing w:after="0"/>
              <w:rPr>
                <w:sz w:val="16"/>
                <w:szCs w:val="16"/>
                <w:color w:val="auto"/>
              </w:rPr>
            </w:pPr>
          </w:p>
        </w:tc>
        <w:tc>
          <w:tcPr>
            <w:tcW w:w="2300" w:type="dxa"/>
            <w:vAlign w:val="bottom"/>
            <w:tcBorders>
              <w:top w:val="single" w:sz="8" w:color="auto"/>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- 5.6</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- 48.6%</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758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0%</w:t>
            </w:r>
          </w:p>
        </w:tc>
      </w:tr>
      <w:tr>
        <w:trPr>
          <w:trHeight w:val="900"/>
        </w:trPr>
        <w:tc>
          <w:tcPr>
            <w:tcW w:w="3660" w:type="dxa"/>
            <w:vAlign w:val="bottom"/>
          </w:tcPr>
          <w:p>
            <w:pPr>
              <w:spacing w:after="0"/>
              <w:rPr>
                <w:sz w:val="24"/>
                <w:szCs w:val="24"/>
                <w:color w:val="auto"/>
              </w:rPr>
            </w:pPr>
          </w:p>
        </w:tc>
        <w:tc>
          <w:tcPr>
            <w:tcW w:w="528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RSUs activity under the Plan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81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4"/>
                <w:szCs w:val="14"/>
                <w:color w:val="auto"/>
              </w:rPr>
            </w:pPr>
          </w:p>
        </w:tc>
        <w:tc>
          <w:tcPr>
            <w:tcW w:w="14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204"/>
        </w:trPr>
        <w:tc>
          <w:tcPr>
            <w:tcW w:w="8180" w:type="dxa"/>
            <w:vAlign w:val="bottom"/>
          </w:tcPr>
          <w:p>
            <w:pPr>
              <w:spacing w:after="0"/>
              <w:rPr>
                <w:sz w:val="17"/>
                <w:szCs w:val="17"/>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7"/>
                <w:szCs w:val="17"/>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37"/>
        </w:trPr>
        <w:tc>
          <w:tcPr>
            <w:tcW w:w="81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Unvested—January 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Assumed through acquisition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4,490,980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during the year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during the year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Unvested—December 31, 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9,326,572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Granted during the year</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15,710,791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Canceled during the year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(4,071,027)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during the year</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(4,456,143)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16,510,193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6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2022, total compensation expense related to unvested RSUs granted to employees, but not yet recognized, was $61.9 million, with a weighted-average remaining vesting period of 2.7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Employee benefit plan</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 2018, the Company adopted a defined contribution retirement savings plan under Section 401(k) of the Internal Revenue Code. This plan covers substantially all employees who meet minimum age and service requirements and allows participants to defer a portion of their annual compensation on</w:t>
      </w:r>
    </w:p>
    <w:p>
      <w:pPr>
        <w:spacing w:after="0" w:line="1"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a pre-tax basis. The Company at its discretion offers matching contributions of up to 4% of each employee’s annual compensation. The Company provided matching contributions of $1.5 million, $1.0 million and $0.7 million to the plan during the years ended December 31, 2022, 2021 and 2020, respectively.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Common Share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common stockholders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(138,560)</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(106,780)</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1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w:t>
            </w: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loss per share</w:t>
            </w:r>
          </w:p>
        </w:tc>
        <w:tc>
          <w:tcPr>
            <w:tcW w:w="14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177,923,156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133,917,571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17,858,976</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88,434,754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21,017,162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22,675,729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25,732,503</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and private common stock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15,999,900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15,999,900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4,443,862</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16,510,193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10,106,993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early exercised common stock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6,212,254</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 shares pending issuance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2,511,432</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RSAs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146,675</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early exercised options subject to nonrecourse notes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2,151,100</w:t>
            </w:r>
          </w:p>
        </w:tc>
      </w:tr>
      <w:tr>
        <w:trPr>
          <w:trHeight w:val="248"/>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56,788,963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50,843,376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127,121,148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 for the years ended December 31, 2022, 2021 and 2020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(106,508)</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(106,405)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tc>
        <w:tc>
          <w:tcPr>
            <w:tcW w:w="1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2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expense</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(benefit) expense</w:t>
            </w:r>
          </w:p>
        </w:tc>
        <w:tc>
          <w:tcPr>
            <w:tcW w:w="13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the statutory U.S. federal rate and the Company’s effective tax rate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 - warrants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 cancellation of indebtedness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48"/>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tax provision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for federal and state income taxes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42,721</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56,101</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(47,420)</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property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r>
      <w:tr>
        <w:trPr>
          <w:trHeight w:val="230"/>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r>
      <w:tr>
        <w:trPr>
          <w:trHeight w:val="22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r>
      <w:tr>
        <w:trPr>
          <w:trHeight w:val="223"/>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established a full valuation allowance of $69.6 million and $47.4 million for the years ended December 31, 2022 and 2021, respectively, against its net deferred tax assets. 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Due to the history of losses the Company has generated in the past, the Company believes that it is not more likely than not that all of the deferred tax assets can be realized as of December 31, 2022. Accordingly, the Company has recorded a full valuation allowance on its deferred tax assets.</w:t>
      </w:r>
    </w:p>
    <w:p>
      <w:pPr>
        <w:spacing w:after="0" w:line="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valuation allowance on the Company’s net deferred taxes increased by $22.2 million and $28.1 million during the years ended December 31, 2022 and 2021, respectively. The increase in valuation allowance is primarily attributable to the generation of net operating losses and capitalization of research and development expenditures, which became enacted for tax year beginning after December 31, 2021, during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and state net operating loss carryforwards of approximately $246.2 million and $124.9 million, respectively. As of December 31, 2022, federal net operating loss carryforwards generated after December 31, 2017 will be carried forward indefinitely and the state net operating loss carryforward begins expiring in 2031 through 2042. As of December 31, 2022, the amount of federal net operating loss that does not expire is $237.7 million.</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federal net operating loss carryforwards and state net operating loss carryforwards of approximately $224.4 million and $146.8 million, respectively. As of December 31, 2021, federal net operating loss carryforwards generated after December 31, 2017 will be carried forward indefinitely and the state net operating loss carryforward begins expiring in 2035. As of December 31, 2021, the amount of federal net operating loss that does not expire is $215.9 million.</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and state research and development credit carryforwards of approximately $4.7 million and $2.9 million, respectively. As of December 31, 2021, the Company had federal and state research and development credit carryforwards of approximately $4.0 million and $2.3 million, respectively. As of December 31, 2022 the federal credits will expire starting in 2035, if not utilized and state credits carryforward indefinitely.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Tax Reform Act of 1986 and similar state legislation impose substantial restrictions on the utilization of the net operating losses and tax credit carryforwards in the event there is a change in ownership as provided by Section 382 and Section 383 of the Internal Revenue Code and similar state provisions. Such ownership change could result in the limitation and /or expiration of the net operating loss and tax credit carryforwards before utilization, which could result in increased future tax liabilities. While the Company has experienced ownership shifts, there has been no limitation or loss of tax attributes as of December 31, 2022.</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Beginning January 1, 2022, the Tax Cuts and Jobs Act (the "Tax Act”) eliminated the option to deduct research and development expenditures in the current year and requires taxpayers to capitalize such expenditures pursuant to Internal Revenue Code (“IRC”) Section 174. The capitalized research and development expenditures are amortized over a 5-year period for domestic expenses and a 15-year period for foreign expenses. As a result of this provision of the Tax Act, deferred tax assets related to capitalized research expenditures increased by $15.9 million.</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Income Taxes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As of December 31, 2022 and 2021 the Company has reviewed the positive and negative evidence relating to the realizability of the deferred tax assets and has concluded that the deferred tax assets are more likely than not to not be realized.</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balance of gross unrecognized tax benefits as of December 31, 2022, and 2021 was $18.8 million and $18.5 million, respectively. Out of the total unrecognized tax benefits, $0.1 million at December 31, 2022, if recognized, would impact our effective tax rate in the period of recognition. The Company does not expect its unrecognized tax benefits to change significantly over the next 12 months. The Company recognizes interest and penalties accrued on any unrecognized tax benefits as a component of income tax expense. As of December 31, 2022 and 2021, the Company has not accrued interest and penalties related to uncertain tax positions. The following table sets forth the change in the uncertain tax positions for the years ended December 31, 2022, 2021 and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For current year’s tax positions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prior years’ tax positions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For current year’s tax positions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For prior years’ tax positions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18,812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California, and other US states, as well as miscellaneous foreign jurisdictions. In the normal course of business, the Company is subject to examination by taxing authorities. The Company has not been audited by the Internal Revenue Service or any state income or franchise tax agency. As of December 31, 2022, its federal returns for the years ended December 31, 2016 through the current period and the state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returns for the years ended December 31, 2016 through the current period are still open to examination. In addition, all of the net operating losses and research and development credit carry-forwards that may be used in future years are still subject to inquiry given that the statute of limitation for these items would begin in the year of the utilization.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Debt for details of promissory notes issued by the Company to certain investors of the Company (or an affiliate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Stock-based compensation for details of partial recourse promissory notes issued by the Company to certain executives and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Revenue</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from the sale of lidar sensor kits, which is recognized at a point in time, was $41.0 million, $33.6 million and $16.9 million for the years ended December 31, 2022, 2021 and 2020, respectively. Service revenue from non-recurring engineering work in relation to the Company’s new product release in early 2020 for the year ended December 31, 2020 was $2.0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area based on the location products were shipped to and services provided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and Pacific</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41,029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w:t>
            </w:r>
          </w:p>
        </w:tc>
      </w:tr>
      <w:tr>
        <w:trPr>
          <w:trHeight w:val="21"/>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noted above, on February 10, 2023, the Company completed the Velodyne Merger with Velodyne pursuant to the terms of the Velodyne Agreement with Velodyne, Velodyne Merger Sub I and Velodyne Merger Sub II. In connection with the closing of the Velodyne Merger, the Company and Velodyne now operate as a single combined company. Velodyne shares ceased trading on the Nasdaq after market close on February 10, 2023, and each Velodyne share was exchanged for 0.8204 shares of Ouster common stock. The combined company will keep the name Ouster and continue to trade on New York Stock Exchange under the ticker “OUST.”</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Velodyne Merger the Company undertook actions to reduce operating expenses by initiating a reduction in force that is expected to impact approximately 180-200 employees and consolidating some of its facilities, including Velodyne’s facility in India (collectively, the “Restructuring Initiatives”). The Restructuring Initiatives are expected to result in a range of approximately $27.0 million - $30.0 million of aggregate charges, which we anticipate to include $12.0 million - $13.0 million of one-time cash termination benefits, $0.5 million of termination costs related to the facility in India, and approximately $14.5 million - $16.5 million of non-cash stock-based compensation charge related to the vesting of share-based awards for employees who are terminated. These actions are consistent with the Company’s previously stated intention to derive operational synergies from the combined enterprise resulting from the Mergers. Through these initiatives, the Company seeks to streamline the organization and re-balance resources to better align with the Company’s priorities following the Mergers. The Company anticipates that most of these charges will be recognized in the Company’s first fiscal quarter of 2023.</w:t>
      </w:r>
    </w:p>
    <w:p>
      <w:pPr>
        <w:spacing w:after="0" w:line="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January 20, 2023, Oban Merger Sub, Inc. (“Merger Sub”) and Oban Merger Sub II LLC (“Merger Sub II”, together with Merger Sub, collectively, the “Subsidiary Guarantors”) entered into the Joinder Agreement by and between the Subsidiary Guarantors and Hercules, pursuant to which the Subsidiary Guarantors became guarantors under the Loan Agreement.</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February 10, 2023, the Company entered into the Third Amendment to Loan and Security Agreement (the “Third Amendment”), which amends certain provisions of the Loan Agreement to (i) increase the existing debt baskets for (a) purchase money debt and capital leases, and (b) letter of credit obligations; (ii) provide for increased flexibility to maintain cash in non-US accounts; and (iii) provide for increased flexibility to relocate certain equipment.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9 was previously reported in the Company’s Current Report on Form 8-K/A that was filed with the SEC March 15,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Disclosure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that term is defined in Rules 13a-15(e) and 15d-15(e) under the Exchange Act) as of December 31, 2022. Based on that evaluation, our principal executive officer and principal financial officer concluded that our disclosure controls and procedures were not effective as of December 31, 2022 due to the material weaknesses in our internal control over financial reporting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conducted an assessment as of December 31, 2022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this assessment, our management concluded that, as of December 31, 2022, our internal control over financial reporting was not effective due to the material weaknesses described below.</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68"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7"/>
          <w:szCs w:val="17"/>
          <w:color w:val="auto"/>
        </w:rPr>
        <w:t>We did not design and maintain an effective control environment commensurate with our financial reporting requirements. Specifically, we did not maintain a sufficient complement of personnel with an appropriate degree of internal controls and accounting knowledge, experience, and training commensurate with our accounting and reporting requirements. This material weakness contributed to the following additional material weaknesses:</w:t>
      </w:r>
    </w:p>
    <w:p>
      <w:pPr>
        <w:spacing w:after="0" w:line="50" w:lineRule="exact"/>
        <w:rPr>
          <w:sz w:val="20"/>
          <w:szCs w:val="20"/>
          <w:color w:val="auto"/>
        </w:rPr>
      </w:pPr>
    </w:p>
    <w:p>
      <w:pPr>
        <w:ind w:left="580" w:right="20" w:hanging="167"/>
        <w:spacing w:after="0" w:line="256"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to achieve complete, accurate and timely financial accounting, reporting and disclosures, including segregation of duties and adequate controls related to journal entries and certain other business processes, and verifying transactions are properly classified in the financial statements. This material weakness resulted in adjustments to several account balances and disclosures in the consolidated financial statements for the years ended December 31, 2019 and 2018, and adjustments to the equity and warrant liabilities accounts and related disclosures in the condensed consolidated financial statements for the three months ended March 31, 2021.</w:t>
      </w:r>
    </w:p>
    <w:p>
      <w:pPr>
        <w:spacing w:after="0" w:line="79" w:lineRule="exact"/>
        <w:rPr>
          <w:rFonts w:ascii="Times New Roman" w:cs="Times New Roman" w:eastAsia="Times New Roman" w:hAnsi="Times New Roman"/>
          <w:sz w:val="18"/>
          <w:szCs w:val="18"/>
          <w:color w:val="auto"/>
        </w:rPr>
      </w:pPr>
    </w:p>
    <w:p>
      <w:pPr>
        <w:ind w:left="580" w:hanging="167"/>
        <w:spacing w:after="0" w:line="253" w:lineRule="auto"/>
        <w:tabs>
          <w:tab w:leader="none" w:pos="5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information systems that are relevant to the preparation of our consolidated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and (ii) user access controls to ensure appropriate segregation of duties and that adequately restrict user and privileged access to our financial applications, programs and data to appropriate personnel. This material weakness did not result in a material misstatement to the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Additionally, each of these material weaknesses could result in a misstatement of account balances or disclosures that would result in a material misstatement to the annual or interim consolidated financial statements that would not be prevented or detected.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Measures Taken</w:t>
      </w:r>
    </w:p>
    <w:p>
      <w:pPr>
        <w:spacing w:after="0" w:line="12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have taken several measures to design and implement controls to improve our internal control over financial reporting and continue to make progress towards establishing an effective internal control framework to remediate the foregoing material weaknesses. Our efforts included the following:</w:t>
      </w:r>
    </w:p>
    <w:p>
      <w:pPr>
        <w:spacing w:after="0" w:line="32" w:lineRule="exact"/>
        <w:rPr>
          <w:sz w:val="20"/>
          <w:szCs w:val="20"/>
          <w:color w:val="auto"/>
        </w:rPr>
      </w:pPr>
    </w:p>
    <w:p>
      <w:pPr>
        <w:ind w:left="580" w:right="140" w:hanging="167"/>
        <w:spacing w:after="0" w:line="282"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additional personnel with appropriate internal controls, accounting knowledge and experience commensurate with our accounting and reporting requirements, in addition to engaging and utilizing third party consultants and specialists.</w:t>
      </w:r>
    </w:p>
    <w:p>
      <w:pPr>
        <w:spacing w:after="0" w:line="53" w:lineRule="exact"/>
        <w:rPr>
          <w:rFonts w:ascii="Times New Roman" w:cs="Times New Roman" w:eastAsia="Times New Roman" w:hAnsi="Times New Roman"/>
          <w:sz w:val="18"/>
          <w:szCs w:val="18"/>
          <w:color w:val="auto"/>
        </w:rPr>
      </w:pPr>
    </w:p>
    <w:p>
      <w:pPr>
        <w:jc w:val="both"/>
        <w:ind w:left="580" w:right="420" w:hanging="167"/>
        <w:spacing w:after="0" w:line="266"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entity level controls (ELCs) including increasing Board and Audit Committee oversight, expanding senior management review of financial and business performance, creating an internal audit function and charter, and providing code of conduct and compliance training to company employees.</w:t>
      </w:r>
    </w:p>
    <w:p>
      <w:pPr>
        <w:spacing w:after="0" w:line="67" w:lineRule="exact"/>
        <w:rPr>
          <w:rFonts w:ascii="Times New Roman" w:cs="Times New Roman" w:eastAsia="Times New Roman" w:hAnsi="Times New Roman"/>
          <w:sz w:val="18"/>
          <w:szCs w:val="18"/>
          <w:color w:val="auto"/>
        </w:rPr>
      </w:pPr>
    </w:p>
    <w:p>
      <w:pPr>
        <w:ind w:left="580" w:right="80" w:hanging="167"/>
        <w:spacing w:after="0" w:line="282"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IT governance and designing IT general controls including restricted user access to our internal systems for financial reporting, and IT change management</w:t>
      </w:r>
    </w:p>
    <w:p>
      <w:pPr>
        <w:spacing w:after="0" w:line="53" w:lineRule="exact"/>
        <w:rPr>
          <w:rFonts w:ascii="Times New Roman" w:cs="Times New Roman" w:eastAsia="Times New Roman" w:hAnsi="Times New Roman"/>
          <w:sz w:val="18"/>
          <w:szCs w:val="18"/>
          <w:color w:val="auto"/>
        </w:rPr>
      </w:pPr>
    </w:p>
    <w:p>
      <w:pPr>
        <w:ind w:left="580" w:hanging="167"/>
        <w:spacing w:after="0" w:line="258" w:lineRule="auto"/>
        <w:tabs>
          <w:tab w:leader="none" w:pos="5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additional controls for financial close and reporting including review of accounting policies, journal entry review controls, review of significant or non-routine transactions, period end close procedures, financial statement preparation, review, and reporting, and controls within various business processes as they relate to financial reporting. This included design and implementation of controls around classification of balances in our financial statements and strengthening processes for management oversight over financial reporting and disclosure controls.</w:t>
      </w:r>
    </w:p>
    <w:p>
      <w:pPr>
        <w:spacing w:after="0" w:line="75" w:lineRule="exact"/>
        <w:rPr>
          <w:rFonts w:ascii="Times New Roman" w:cs="Times New Roman" w:eastAsia="Times New Roman" w:hAnsi="Times New Roman"/>
          <w:sz w:val="18"/>
          <w:szCs w:val="18"/>
          <w:color w:val="auto"/>
        </w:rPr>
      </w:pPr>
    </w:p>
    <w:p>
      <w:pPr>
        <w:ind w:left="580" w:hanging="167"/>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internal control trainings for personnel responsible for implementing internal controls for the Company.</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While these actions and planned actions are subject to ongoing management evaluation and will require validation and testing of the design and operating effectiveness of internal controls over a sustained period, we are committed to continuous improvement and will continue to diligently review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Registered Public Accounting Firm</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2022 was not required to be audited by our auditors under Section 404(b) of the Sarbanes Oxley Act, 2022 due to Ouster being deemed a Non-accelerated filer and smaller reporting company (SRC) within the definition of Rule 12b-2 as the company’s public float was below the specified thresholds as of June 30, 2022. Accordingly, this Annual Report on Form 10-K does not include an attestation report of our independent registered accounting firm.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quarter ended December 31, 2022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52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8" w:right="4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all of our directors, officers and employees, including our principal executive officer, principal financial officer, principal accounting officer and/or controller, and persons performing similar functions. A copy of the Code of Conduct is available on our Investors website at investors.ouster.com in the “Governance” section. We expect that any amendments to the Code of Conduct, or any waivers of its requirements, that are required to be disclosed by SEC or NYSE rules will be disclosed on our website. We did not grant any waivers to the Code of Conduct in fiscal 2022.</w:t>
      </w:r>
    </w:p>
    <w:p>
      <w:pPr>
        <w:spacing w:after="0" w:line="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Items 401, 405, 406 and 407(c)(3), (d)(4) and (d)(5) of Regulation S-K will be included under the headings “Election of Directors,” “Executive Officers” “Corporate Governance,” and “Delinquent Section 16(a) Reports” (if applicable) in our definitive proxy statement for our 2023 Annual Meeting of Stockholders, and such required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Our Executive Officers &amp;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members of our board of directors (ages are calculated of the date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Borders>
              <w:bottom w:val="single" w:sz="8" w:color="CCEEFF"/>
            </w:tcBorders>
          </w:tcPr>
          <w:p>
            <w:pPr>
              <w:spacing w:after="0"/>
              <w:rPr>
                <w:sz w:val="22"/>
                <w:szCs w:val="22"/>
                <w:color w:val="auto"/>
              </w:rPr>
            </w:pPr>
          </w:p>
        </w:tc>
        <w:tc>
          <w:tcPr>
            <w:tcW w:w="43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Position at Ouster</w:t>
            </w:r>
          </w:p>
        </w:tc>
        <w:tc>
          <w:tcPr>
            <w:tcW w:w="100" w:type="dxa"/>
            <w:vAlign w:val="bottom"/>
            <w:tcBorders>
              <w:bottom w:val="single" w:sz="8" w:color="CCEEFF"/>
            </w:tcBorders>
          </w:tcPr>
          <w:p>
            <w:pPr>
              <w:spacing w:after="0"/>
              <w:rPr>
                <w:sz w:val="22"/>
                <w:szCs w:val="22"/>
                <w:color w:val="auto"/>
              </w:rPr>
            </w:pPr>
          </w:p>
        </w:tc>
        <w:tc>
          <w:tcPr>
            <w:tcW w:w="2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Principal Employment</w:t>
            </w:r>
          </w:p>
        </w:tc>
        <w:tc>
          <w:tcPr>
            <w:tcW w:w="0" w:type="dxa"/>
            <w:vAlign w:val="bottom"/>
          </w:tcPr>
          <w:p>
            <w:pPr>
              <w:spacing w:after="0"/>
              <w:rPr>
                <w:sz w:val="1"/>
                <w:szCs w:val="1"/>
                <w:color w:val="auto"/>
              </w:rPr>
            </w:pPr>
          </w:p>
        </w:tc>
      </w:tr>
      <w:tr>
        <w:trPr>
          <w:trHeight w:val="240"/>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Angus Pacala</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 Co-Founder and Chief Executive Officer</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 Frichtl</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Co-Founder and Chief Technology Officer</w:t>
            </w:r>
          </w:p>
        </w:tc>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246"/>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 Weinswig</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shd w:val="clear" w:color="auto" w:fill="CCEEFF"/>
          </w:tcPr>
          <w:p>
            <w:pPr>
              <w:spacing w:after="0"/>
              <w:rPr>
                <w:sz w:val="21"/>
                <w:szCs w:val="21"/>
                <w:color w:val="auto"/>
              </w:rPr>
            </w:pP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23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Darien Spencer</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00" w:type="dxa"/>
            <w:vAlign w:val="bottom"/>
          </w:tcPr>
          <w:p>
            <w:pPr>
              <w:spacing w:after="0"/>
              <w:rPr>
                <w:sz w:val="20"/>
                <w:szCs w:val="20"/>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Operating Officer</w:t>
            </w:r>
          </w:p>
        </w:tc>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253"/>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Megan Chung</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shd w:val="clear" w:color="auto" w:fill="CCEEFF"/>
          </w:tcPr>
          <w:p>
            <w:pPr>
              <w:spacing w:after="0"/>
              <w:rPr>
                <w:sz w:val="21"/>
                <w:szCs w:val="21"/>
                <w:color w:val="auto"/>
              </w:rPr>
            </w:pP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Nathan Dickerman</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President of Field Operations</w:t>
            </w:r>
          </w:p>
        </w:tc>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w:t>
            </w:r>
          </w:p>
        </w:tc>
        <w:tc>
          <w:tcPr>
            <w:tcW w:w="0" w:type="dxa"/>
            <w:vAlign w:val="bottom"/>
          </w:tcPr>
          <w:p>
            <w:pPr>
              <w:spacing w:after="0"/>
              <w:rPr>
                <w:sz w:val="1"/>
                <w:szCs w:val="1"/>
                <w:color w:val="auto"/>
              </w:rPr>
            </w:pPr>
          </w:p>
        </w:tc>
      </w:tr>
      <w:tr>
        <w:trPr>
          <w:trHeight w:val="165"/>
        </w:trPr>
        <w:tc>
          <w:tcPr>
            <w:tcW w:w="2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Theodore L. Tewksbury, Ph.D.</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shd w:val="clear" w:color="auto" w:fill="CCEEFF"/>
          </w:tcPr>
          <w:p>
            <w:pPr>
              <w:spacing w:after="0"/>
              <w:rPr>
                <w:sz w:val="14"/>
                <w:szCs w:val="14"/>
                <w:color w:val="auto"/>
              </w:rPr>
            </w:pPr>
          </w:p>
        </w:tc>
        <w:tc>
          <w:tcPr>
            <w:tcW w:w="4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w:t>
            </w:r>
          </w:p>
        </w:tc>
        <w:tc>
          <w:tcPr>
            <w:tcW w:w="2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Former Chief Executive Officer of</w:t>
            </w:r>
          </w:p>
        </w:tc>
        <w:tc>
          <w:tcPr>
            <w:tcW w:w="0" w:type="dxa"/>
            <w:vAlign w:val="bottom"/>
          </w:tcPr>
          <w:p>
            <w:pPr>
              <w:spacing w:after="0"/>
              <w:rPr>
                <w:sz w:val="1"/>
                <w:szCs w:val="1"/>
                <w:color w:val="auto"/>
              </w:rPr>
            </w:pPr>
          </w:p>
        </w:tc>
      </w:tr>
      <w:tr>
        <w:trPr>
          <w:trHeight w:val="129"/>
        </w:trPr>
        <w:tc>
          <w:tcPr>
            <w:tcW w:w="2880" w:type="dxa"/>
            <w:vAlign w:val="bottom"/>
            <w:gridSpan w:val="2"/>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20" w:type="dxa"/>
            <w:vAlign w:val="bottom"/>
            <w:gridSpan w:val="2"/>
            <w:vMerge w:val="continue"/>
            <w:shd w:val="clear" w:color="auto" w:fill="CCEEFF"/>
          </w:tcPr>
          <w:p>
            <w:pPr>
              <w:spacing w:after="0"/>
              <w:rPr>
                <w:sz w:val="11"/>
                <w:szCs w:val="11"/>
                <w:color w:val="auto"/>
              </w:rPr>
            </w:pPr>
          </w:p>
        </w:tc>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Velodyne Lidar, Inc.</w:t>
            </w:r>
          </w:p>
        </w:tc>
        <w:tc>
          <w:tcPr>
            <w:tcW w:w="0" w:type="dxa"/>
            <w:vAlign w:val="bottom"/>
          </w:tcPr>
          <w:p>
            <w:pPr>
              <w:spacing w:after="0"/>
              <w:rPr>
                <w:sz w:val="1"/>
                <w:szCs w:val="1"/>
                <w:color w:val="auto"/>
              </w:rPr>
            </w:pPr>
          </w:p>
        </w:tc>
      </w:tr>
      <w:tr>
        <w:trPr>
          <w:trHeight w:val="87"/>
        </w:trPr>
        <w:tc>
          <w:tcPr>
            <w:tcW w:w="2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Virginia Boulet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tcPr>
          <w:p>
            <w:pPr>
              <w:spacing w:after="0"/>
              <w:rPr>
                <w:sz w:val="14"/>
                <w:szCs w:val="14"/>
                <w:color w:val="auto"/>
              </w:rPr>
            </w:pPr>
          </w:p>
        </w:tc>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2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Former Managing Director of Legacy</w:t>
            </w:r>
          </w:p>
        </w:tc>
        <w:tc>
          <w:tcPr>
            <w:tcW w:w="0" w:type="dxa"/>
            <w:vAlign w:val="bottom"/>
          </w:tcPr>
          <w:p>
            <w:pPr>
              <w:spacing w:after="0"/>
              <w:rPr>
                <w:sz w:val="1"/>
                <w:szCs w:val="1"/>
                <w:color w:val="auto"/>
              </w:rPr>
            </w:pPr>
          </w:p>
        </w:tc>
      </w:tr>
      <w:tr>
        <w:trPr>
          <w:trHeight w:val="129"/>
        </w:trPr>
        <w:tc>
          <w:tcPr>
            <w:tcW w:w="2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420" w:type="dxa"/>
            <w:vAlign w:val="bottom"/>
            <w:gridSpan w:val="2"/>
            <w:vMerge w:val="continue"/>
          </w:tcPr>
          <w:p>
            <w:pPr>
              <w:spacing w:after="0"/>
              <w:rPr>
                <w:sz w:val="11"/>
                <w:szCs w:val="11"/>
                <w:color w:val="auto"/>
              </w:rPr>
            </w:pPr>
          </w:p>
        </w:tc>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Capital, LLC</w:t>
            </w:r>
          </w:p>
        </w:tc>
        <w:tc>
          <w:tcPr>
            <w:tcW w:w="0" w:type="dxa"/>
            <w:vAlign w:val="bottom"/>
          </w:tcPr>
          <w:p>
            <w:pPr>
              <w:spacing w:after="0"/>
              <w:rPr>
                <w:sz w:val="1"/>
                <w:szCs w:val="1"/>
                <w:color w:val="auto"/>
              </w:rPr>
            </w:pPr>
          </w:p>
        </w:tc>
      </w:tr>
      <w:tr>
        <w:trPr>
          <w:trHeight w:val="84"/>
        </w:trPr>
        <w:tc>
          <w:tcPr>
            <w:tcW w:w="2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Susan Heystee</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Director</w:t>
            </w:r>
          </w:p>
        </w:tc>
        <w:tc>
          <w:tcPr>
            <w:tcW w:w="2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Former Senior Vice President of Global</w:t>
            </w:r>
          </w:p>
        </w:tc>
        <w:tc>
          <w:tcPr>
            <w:tcW w:w="0" w:type="dxa"/>
            <w:vAlign w:val="bottom"/>
          </w:tcPr>
          <w:p>
            <w:pPr>
              <w:spacing w:after="0"/>
              <w:rPr>
                <w:sz w:val="1"/>
                <w:szCs w:val="1"/>
                <w:color w:val="auto"/>
              </w:rPr>
            </w:pPr>
          </w:p>
        </w:tc>
      </w:tr>
      <w:tr>
        <w:trPr>
          <w:trHeight w:val="162"/>
        </w:trPr>
        <w:tc>
          <w:tcPr>
            <w:tcW w:w="2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Automotive Business at Verizon</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w:t>
            </w:r>
          </w:p>
        </w:tc>
        <w:tc>
          <w:tcPr>
            <w:tcW w:w="0" w:type="dxa"/>
            <w:vAlign w:val="bottom"/>
          </w:tcPr>
          <w:p>
            <w:pPr>
              <w:spacing w:after="0"/>
              <w:rPr>
                <w:sz w:val="1"/>
                <w:szCs w:val="1"/>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Ernest Maddock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tcPr>
          <w:p>
            <w:pPr>
              <w:spacing w:after="0"/>
              <w:rPr>
                <w:sz w:val="14"/>
                <w:szCs w:val="14"/>
                <w:color w:val="auto"/>
              </w:rPr>
            </w:pPr>
          </w:p>
        </w:tc>
        <w:tc>
          <w:tcPr>
            <w:tcW w:w="4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Director</w:t>
            </w:r>
          </w:p>
        </w:tc>
        <w:tc>
          <w:tcPr>
            <w:tcW w:w="2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Former Chief Financial Officer of</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Micron Technology, Inc.</w:t>
            </w:r>
          </w:p>
        </w:tc>
        <w:tc>
          <w:tcPr>
            <w:tcW w:w="0" w:type="dxa"/>
            <w:vAlign w:val="bottom"/>
          </w:tcPr>
          <w:p>
            <w:pPr>
              <w:spacing w:after="0"/>
              <w:rPr>
                <w:sz w:val="1"/>
                <w:szCs w:val="1"/>
                <w:color w:val="auto"/>
              </w:rPr>
            </w:pPr>
          </w:p>
        </w:tc>
      </w:tr>
      <w:tr>
        <w:trPr>
          <w:trHeight w:val="84"/>
        </w:trPr>
        <w:tc>
          <w:tcPr>
            <w:tcW w:w="2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Karin Rådström</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Director</w:t>
            </w:r>
          </w:p>
        </w:tc>
        <w:tc>
          <w:tcPr>
            <w:tcW w:w="2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Chief Executive Officer of Mercedes-</w:t>
            </w: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Benz Trucks</w:t>
            </w:r>
          </w:p>
        </w:tc>
        <w:tc>
          <w:tcPr>
            <w:tcW w:w="0" w:type="dxa"/>
            <w:vAlign w:val="bottom"/>
          </w:tcPr>
          <w:p>
            <w:pPr>
              <w:spacing w:after="0"/>
              <w:rPr>
                <w:sz w:val="1"/>
                <w:szCs w:val="1"/>
                <w:color w:val="auto"/>
              </w:rPr>
            </w:pPr>
          </w:p>
        </w:tc>
      </w:tr>
      <w:tr>
        <w:trPr>
          <w:trHeight w:val="87"/>
        </w:trPr>
        <w:tc>
          <w:tcPr>
            <w:tcW w:w="2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Kristin Slanina</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Pr>
          <w:p>
            <w:pPr>
              <w:spacing w:after="0"/>
              <w:rPr>
                <w:sz w:val="14"/>
                <w:szCs w:val="14"/>
                <w:color w:val="auto"/>
              </w:rPr>
            </w:pPr>
          </w:p>
        </w:tc>
        <w:tc>
          <w:tcPr>
            <w:tcW w:w="4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Director</w:t>
            </w:r>
          </w:p>
        </w:tc>
        <w:tc>
          <w:tcPr>
            <w:tcW w:w="2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Chief Innovation Officer at</w:t>
            </w: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ParkMyFleet</w:t>
            </w:r>
          </w:p>
        </w:tc>
        <w:tc>
          <w:tcPr>
            <w:tcW w:w="0" w:type="dxa"/>
            <w:vAlign w:val="bottom"/>
          </w:tcPr>
          <w:p>
            <w:pPr>
              <w:spacing w:after="0"/>
              <w:rPr>
                <w:sz w:val="1"/>
                <w:szCs w:val="1"/>
                <w:color w:val="auto"/>
              </w:rPr>
            </w:pPr>
          </w:p>
        </w:tc>
      </w:tr>
      <w:tr>
        <w:trPr>
          <w:trHeight w:val="84"/>
        </w:trPr>
        <w:tc>
          <w:tcPr>
            <w:tcW w:w="2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88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Riaz Valani</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Director</w:t>
            </w:r>
          </w:p>
        </w:tc>
        <w:tc>
          <w:tcPr>
            <w:tcW w:w="2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General Partner and Founder of Global</w:t>
            </w: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Capital</w:t>
            </w:r>
          </w:p>
        </w:tc>
        <w:tc>
          <w:tcPr>
            <w:tcW w:w="0" w:type="dxa"/>
            <w:vAlign w:val="bottom"/>
          </w:tcPr>
          <w:p>
            <w:pPr>
              <w:spacing w:after="0"/>
              <w:rPr>
                <w:sz w:val="1"/>
                <w:szCs w:val="1"/>
                <w:color w:val="auto"/>
              </w:rPr>
            </w:pPr>
          </w:p>
        </w:tc>
      </w:tr>
      <w:tr>
        <w:trPr>
          <w:trHeight w:val="87"/>
        </w:trPr>
        <w:tc>
          <w:tcPr>
            <w:tcW w:w="2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402, 407(e)(4), and (e)(5) of Regulation S-K will be included under the headings “Executive Compensation” and “Compensation Committee Interlocks and Insider Participation” (if applicable) in our definitive proxy statement for our 2023 Annual Meeting of Stockholders, and such information is incorporated herein by reference.</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7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color w:val="auto"/>
        </w:rPr>
        <w:t>Securities Authorized For Issuance under Equity Compensation Plans (As of December 31, 2022):</w:t>
      </w:r>
    </w:p>
    <w:p>
      <w:pPr>
        <w:sectPr>
          <w:pgSz w:w="11900" w:h="16838" w:orient="portrait"/>
          <w:cols w:equalWidth="0" w:num="1">
            <w:col w:w="11240"/>
          </w:cols>
          <w:pgMar w:left="320" w:top="198"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0" w:lineRule="exact"/>
        <w:rPr>
          <w:sz w:val="20"/>
          <w:szCs w:val="20"/>
          <w:color w:val="auto"/>
        </w:rPr>
      </w:pPr>
    </w:p>
    <w:p>
      <w:pPr>
        <w:spacing w:after="0" w:line="380" w:lineRule="exact"/>
        <w:rPr>
          <w:sz w:val="20"/>
          <w:szCs w:val="20"/>
          <w:color w:val="auto"/>
        </w:rPr>
      </w:pPr>
    </w:p>
    <w:p>
      <w:pPr>
        <w:ind w:left="20" w:right="280"/>
        <w:spacing w:after="0" w:line="250"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34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r>
        <w:rPr>
          <w:rFonts w:ascii="Times New Roman" w:cs="Times New Roman" w:eastAsia="Times New Roman" w:hAnsi="Times New Roman"/>
          <w:sz w:val="23"/>
          <w:szCs w:val="23"/>
          <w:color w:val="auto"/>
          <w:vertAlign w:val="superscript"/>
        </w:rPr>
        <w:t>(6)</w:t>
      </w:r>
    </w:p>
    <w:p>
      <w:pPr>
        <w:spacing w:after="0" w:line="29" w:lineRule="exact"/>
        <w:rPr>
          <w:sz w:val="20"/>
          <w:szCs w:val="20"/>
          <w:color w:val="auto"/>
        </w:rPr>
      </w:pPr>
    </w:p>
    <w:p>
      <w:pPr>
        <w:ind w:left="20"/>
        <w:spacing w:after="0" w:line="243"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03"/>
        </w:trPr>
        <w:tc>
          <w:tcPr>
            <w:tcW w:w="224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Available for Future</w:t>
            </w:r>
          </w:p>
        </w:tc>
      </w:tr>
      <w:tr>
        <w:trPr>
          <w:trHeight w:val="189"/>
        </w:trPr>
        <w:tc>
          <w:tcPr>
            <w:tcW w:w="224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Issuance Under Equity</w:t>
            </w:r>
          </w:p>
        </w:tc>
      </w:tr>
      <w:tr>
        <w:trPr>
          <w:trHeight w:val="203"/>
        </w:trPr>
        <w:tc>
          <w:tcPr>
            <w:tcW w:w="224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rPr>
              <w:t>of Outstanding Options,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03"/>
        </w:trPr>
        <w:tc>
          <w:tcPr>
            <w:tcW w:w="2240" w:type="dxa"/>
            <w:vAlign w:val="bottom"/>
          </w:tcPr>
          <w:p>
            <w:pPr>
              <w:jc w:val="center"/>
              <w:ind w:left="1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(excludes securities</w:t>
            </w:r>
          </w:p>
        </w:tc>
      </w:tr>
      <w:tr>
        <w:trPr>
          <w:trHeight w:val="238"/>
        </w:trPr>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Reflected in first column)</w:t>
            </w:r>
          </w:p>
        </w:tc>
      </w:tr>
      <w:tr>
        <w:trPr>
          <w:trHeight w:val="41"/>
        </w:trPr>
        <w:tc>
          <w:tcPr>
            <w:tcW w:w="2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r>
      <w:tr>
        <w:trPr>
          <w:trHeight w:val="453"/>
        </w:trPr>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37,527,355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15,051,217</w:t>
            </w:r>
          </w:p>
        </w:tc>
      </w:tr>
      <w:tr>
        <w:trPr>
          <w:trHeight w:val="245"/>
        </w:trPr>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16,510,193</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60" w:type="dxa"/>
            <w:vAlign w:val="bottom"/>
          </w:tcPr>
          <w:p>
            <w:pPr>
              <w:spacing w:after="0"/>
              <w:rPr>
                <w:sz w:val="21"/>
                <w:szCs w:val="21"/>
                <w:color w:val="auto"/>
              </w:rPr>
            </w:pPr>
          </w:p>
        </w:tc>
      </w:tr>
      <w:tr>
        <w:trPr>
          <w:trHeight w:val="257"/>
        </w:trPr>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21,017,162</w:t>
            </w: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highlight w:val="white"/>
              </w:rPr>
              <w:t>(4)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61"/>
        </w:trPr>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6,627,990</w:t>
            </w:r>
          </w:p>
        </w:tc>
      </w:tr>
      <w:tr>
        <w:trPr>
          <w:trHeight w:val="453"/>
        </w:trPr>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-625475</wp:posOffset>
            </wp:positionV>
            <wp:extent cx="713232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-299720</wp:posOffset>
            </wp:positionV>
            <wp:extent cx="7132320" cy="300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-1096645</wp:posOffset>
            </wp:positionV>
            <wp:extent cx="7132320" cy="3003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40"/>
            <w:col w:w="7300"/>
          </w:cols>
          <w:pgMar w:left="320" w:top="198" w:right="339" w:bottom="1440" w:gutter="0" w:footer="0" w:header="0"/>
          <w:type w:val="continuous"/>
        </w:sectPr>
      </w:pPr>
    </w:p>
    <w:p>
      <w:pPr>
        <w:spacing w:after="0" w:line="79" w:lineRule="exact"/>
        <w:rPr>
          <w:sz w:val="20"/>
          <w:szCs w:val="20"/>
          <w:color w:val="auto"/>
        </w:rPr>
      </w:pPr>
    </w:p>
    <w:p>
      <w:pPr>
        <w:ind w:left="660" w:right="42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the Ouster, Inc. 2021 Incentive Award Plan (“2021 Plan”), Ouster Inc. Amended and Restated 2015 Stock Plan (“2015 Plan”) and Sense Photonics, Inc. 2017 Equity Incentive Plan and (“Sense Plan”).</w:t>
      </w:r>
    </w:p>
    <w:p>
      <w:pPr>
        <w:spacing w:after="0" w:line="36" w:lineRule="exact"/>
        <w:rPr>
          <w:rFonts w:ascii="Times New Roman" w:cs="Times New Roman" w:eastAsia="Times New Roman" w:hAnsi="Times New Roman"/>
          <w:sz w:val="23"/>
          <w:szCs w:val="23"/>
          <w:color w:val="auto"/>
          <w:vertAlign w:val="superscript"/>
        </w:rPr>
      </w:pPr>
    </w:p>
    <w:p>
      <w:pPr>
        <w:ind w:left="660" w:right="20" w:hanging="328"/>
        <w:spacing w:after="0" w:line="23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shares authorized under our 2021 Plan will increase on the first day of each calendar year beginning on January 1, 2022 and ending on and including January 1, 2031, equal to the lesser of (A) 5% of the shares of Common Stock outstanding as of the last day of the immediately preceding fiscal year and (B) such lesser number of shares as determined by our board of directors. No additional awards will be granted under the 2015 Plan or the Sense Plan and, as a result, no shares remain available for issuance for new awards under the 2015 Plan or the Sense Plan.</w:t>
      </w:r>
    </w:p>
    <w:p>
      <w:pPr>
        <w:spacing w:after="0" w:line="36" w:lineRule="exact"/>
        <w:rPr>
          <w:rFonts w:ascii="Times New Roman" w:cs="Times New Roman" w:eastAsia="Times New Roman" w:hAnsi="Times New Roman"/>
          <w:sz w:val="23"/>
          <w:szCs w:val="23"/>
          <w:color w:val="auto"/>
          <w:vertAlign w:val="superscript"/>
        </w:rPr>
      </w:pPr>
    </w:p>
    <w:p>
      <w:pPr>
        <w:ind w:left="660" w:right="36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15,065,926 outstanding restricted stock units under the 2021 Plan and 1,444,267 outstanding restricted stock units under the Sense Plan.</w:t>
      </w:r>
    </w:p>
    <w:p>
      <w:pPr>
        <w:spacing w:after="0" w:line="36" w:lineRule="exact"/>
        <w:rPr>
          <w:rFonts w:ascii="Times New Roman" w:cs="Times New Roman" w:eastAsia="Times New Roman" w:hAnsi="Times New Roman"/>
          <w:sz w:val="23"/>
          <w:szCs w:val="23"/>
          <w:color w:val="auto"/>
          <w:vertAlign w:val="superscript"/>
        </w:rPr>
      </w:pPr>
    </w:p>
    <w:p>
      <w:pPr>
        <w:ind w:left="660" w:right="16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20,111,908 outstanding options to purchase stock under the 2015 Plan, 645,797 outstanding options to purchase stock under the 2021 Plan and 259,457 outstanding options to purchase stock under the Sense Plan.</w:t>
      </w:r>
    </w:p>
    <w:p>
      <w:pPr>
        <w:spacing w:after="0" w:line="36" w:lineRule="exact"/>
        <w:rPr>
          <w:rFonts w:ascii="Times New Roman" w:cs="Times New Roman" w:eastAsia="Times New Roman" w:hAnsi="Times New Roman"/>
          <w:sz w:val="23"/>
          <w:szCs w:val="23"/>
          <w:color w:val="auto"/>
          <w:vertAlign w:val="superscript"/>
        </w:rPr>
      </w:pPr>
    </w:p>
    <w:p>
      <w:pPr>
        <w:ind w:left="660" w:right="280" w:hanging="328"/>
        <w:spacing w:after="0" w:line="235"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2022, the weighted-average exercise price of outstanding options under the 2015 Plan was $0.66, the weighted-average exercise price of outstanding options under the 2021 Plan was $10.26 and the weighted-average exercise price of outstanding options under the Sense Plan was $5.24.</w:t>
      </w:r>
    </w:p>
    <w:p>
      <w:pPr>
        <w:spacing w:after="0" w:line="7"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Ouster, Inc. 2022 Employee Stock Purchase Plan and total number of shares remaining available under the plan.</w:t>
      </w:r>
    </w:p>
    <w:p>
      <w:pPr>
        <w:spacing w:after="0" w:line="14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Item 403 of Regulation S-K will be included under the heading “Security Ownership of Certain Beneficial Owners and Management” in our definitive proxy statement for our 2023 Annual Meeting of Stockholders, and such required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407(a) of Regulation S-K will be included under the headings “Certain Relationships and Related Person Transactions,” “Corporate Governance” and “Director Independence” in our definitive proxy statement for our 2023 Annual Meeting of Stockholders, and such information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9(e) of Schedule 14A of the Exchange Act will be included under the heading “Independent Registered Public Accounting Firm Fees and Other Matters” in our definitive proxy statement for our 2023 Annual Meeting of Stockholders, and such information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98" w:right="1440"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consolidated financial statements of the Company are listed in the index under Part II, Item 8, of this Annual Report on Form 10-K.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500" w:right="1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for the Company have been included in the consolidated financial statements or the related footnotes, or are either inapplicable or not required.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5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80" w:type="dxa"/>
            <w:vAlign w:val="bottom"/>
          </w:tcPr>
          <w:p>
            <w:pPr>
              <w:spacing w:after="0"/>
              <w:rPr>
                <w:sz w:val="17"/>
                <w:szCs w:val="17"/>
                <w:color w:val="auto"/>
              </w:rPr>
            </w:pPr>
          </w:p>
        </w:tc>
      </w:tr>
      <w:tr>
        <w:trPr>
          <w:trHeight w:val="241"/>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54"/>
        </w:trPr>
        <w:tc>
          <w:tcPr>
            <w:tcW w:w="176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Filed/</w:t>
            </w:r>
          </w:p>
        </w:tc>
      </w:tr>
    </w:tbl>
    <w:p>
      <w:pPr>
        <w:ind w:left="10280"/>
        <w:spacing w:after="0" w:line="234" w:lineRule="auto"/>
        <w:rPr>
          <w:sz w:val="20"/>
          <w:szCs w:val="20"/>
          <w:color w:val="auto"/>
        </w:rPr>
      </w:pPr>
      <w:r>
        <w:rPr>
          <w:rFonts w:ascii="Times New Roman" w:cs="Times New Roman" w:eastAsia="Times New Roman" w:hAnsi="Times New Roman"/>
          <w:sz w:val="18"/>
          <w:szCs w:val="18"/>
          <w:b w:val="1"/>
          <w:bCs w:val="1"/>
          <w:color w:val="auto"/>
        </w:rPr>
        <w:t>Furnished</w:t>
      </w:r>
    </w:p>
    <w:p>
      <w:pPr>
        <w:spacing w:after="0" w:line="1"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8"/>
          <w:szCs w:val="18"/>
          <w:b w:val="1"/>
          <w:bCs w:val="1"/>
          <w:color w:val="auto"/>
        </w:rPr>
        <w:t>herewith</w:t>
      </w:r>
    </w:p>
    <w:p>
      <w:pPr>
        <w:sectPr>
          <w:pgSz w:w="11900" w:h="16838" w:orient="portrait"/>
          <w:cols w:equalWidth="0" w:num="1">
            <w:col w:w="11240"/>
          </w:cols>
          <w:pgMar w:left="320" w:top="198" w:right="339" w:bottom="1440" w:gutter="0" w:footer="0" w:header="0"/>
        </w:sectPr>
      </w:pPr>
    </w:p>
    <w:p>
      <w:pPr>
        <w:spacing w:after="0" w:line="3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3.1</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3.2</w:t>
        </w:r>
      </w:hyperlink>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4.1</w:t>
        </w:r>
      </w:hyperlink>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Certificate of Incorporation of Ouster, Inc.</w:t>
              </w:r>
            </w:hyperlink>
          </w:p>
        </w:tc>
        <w:tc>
          <w:tcPr>
            <w:tcW w:w="1520" w:type="dxa"/>
            <w:vAlign w:val="bottom"/>
            <w:gridSpan w:val="3"/>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 POS</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333-251611</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3/10/2021</w:t>
            </w:r>
          </w:p>
        </w:tc>
      </w:tr>
      <w:tr>
        <w:trPr>
          <w:trHeight w:val="250"/>
        </w:trPr>
        <w:tc>
          <w:tcPr>
            <w:tcW w:w="162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Bylaws of Ouster, Inc.</w:t>
              </w:r>
            </w:hyperlink>
          </w:p>
        </w:tc>
        <w:tc>
          <w:tcPr>
            <w:tcW w:w="2960" w:type="dxa"/>
            <w:vAlign w:val="bottom"/>
            <w:gridSpan w:val="5"/>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S-4 POS</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333-251611</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3.2</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3/10/2021</w:t>
            </w:r>
          </w:p>
        </w:tc>
      </w:tr>
      <w:tr>
        <w:trPr>
          <w:trHeight w:val="250"/>
        </w:trPr>
        <w:tc>
          <w:tcPr>
            <w:tcW w:w="4580" w:type="dxa"/>
            <w:vAlign w:val="bottom"/>
            <w:gridSpan w:val="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Warrant Agreement, dated August 20, 2020, between</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3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4.1</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8/25/2020</w:t>
            </w: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580" w:type="dxa"/>
            <w:vAlign w:val="bottom"/>
            <w:gridSpan w:val="6"/>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Colonnade Acquisition Corp. and Continental Stock Transfer</w:t>
              </w:r>
            </w:hyperlink>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25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&amp; Trust Company, as warrant agent</w:t>
              </w:r>
            </w:hyperlink>
          </w:p>
        </w:tc>
        <w:tc>
          <w:tcPr>
            <w:tcW w:w="1840" w:type="dxa"/>
            <w:vAlign w:val="bottom"/>
            <w:tcBorders>
              <w:top w:val="single" w:sz="8" w:color="0000FF"/>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49" w:lineRule="exact"/>
        <w:rPr>
          <w:sz w:val="20"/>
          <w:szCs w:val="20"/>
          <w:color w:val="auto"/>
        </w:rPr>
      </w:pPr>
    </w:p>
    <w:p>
      <w:pPr>
        <w:sectPr>
          <w:pgSz w:w="11900" w:h="16838" w:orient="portrait"/>
          <w:cols w:equalWidth="0" w:num="2">
            <w:col w:w="360" w:space="720"/>
            <w:col w:w="10160"/>
          </w:cols>
          <w:pgMar w:left="320" w:top="198" w:right="33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4.2</w:t>
        </w:r>
      </w:hyperlink>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63"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4.4</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Specimen Warrant Certificate of the Registrant</w:t>
              </w:r>
            </w:hyperlink>
          </w:p>
        </w:tc>
        <w:tc>
          <w:tcPr>
            <w:tcW w:w="1260" w:type="dxa"/>
            <w:vAlign w:val="bottom"/>
            <w:gridSpan w:val="4"/>
          </w:tcPr>
          <w:p>
            <w:pPr>
              <w:spacing w:after="0"/>
              <w:rPr>
                <w:sz w:val="17"/>
                <w:szCs w:val="17"/>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S-1</w:t>
            </w:r>
          </w:p>
        </w:tc>
        <w:tc>
          <w:tcPr>
            <w:tcW w:w="1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333-240378</w:t>
            </w: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4.2</w:t>
            </w:r>
          </w:p>
        </w:tc>
        <w:tc>
          <w:tcPr>
            <w:tcW w:w="17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8/4/2020</w:t>
            </w:r>
          </w:p>
        </w:tc>
      </w:tr>
      <w:tr>
        <w:trPr>
          <w:trHeight w:val="250"/>
        </w:trPr>
        <w:tc>
          <w:tcPr>
            <w:tcW w:w="2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Description of Our Securities</w:t>
            </w:r>
          </w:p>
        </w:tc>
        <w:tc>
          <w:tcPr>
            <w:tcW w:w="2520" w:type="dxa"/>
            <w:vAlign w:val="bottom"/>
            <w:gridSpan w:val="5"/>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43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Warrant to Purchase Common Stock of Velodyne Lidar, Inc.,</w:t>
              </w:r>
            </w:hyperlink>
          </w:p>
        </w:tc>
        <w:tc>
          <w:tcPr>
            <w:tcW w:w="260" w:type="dxa"/>
            <w:vAlign w:val="bottom"/>
          </w:tcPr>
          <w:p>
            <w:pPr>
              <w:spacing w:after="0"/>
              <w:rPr>
                <w:sz w:val="21"/>
                <w:szCs w:val="21"/>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8-K</w:t>
            </w:r>
          </w:p>
        </w:tc>
        <w:tc>
          <w:tcPr>
            <w:tcW w:w="14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001-38703</w:t>
            </w: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4.1</w:t>
            </w:r>
          </w:p>
        </w:tc>
        <w:tc>
          <w:tcPr>
            <w:tcW w:w="178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rPr>
              <w:t>2/7/2022</w:t>
            </w:r>
          </w:p>
        </w:tc>
      </w:tr>
      <w:tr>
        <w:trPr>
          <w:trHeight w:val="196"/>
        </w:trPr>
        <w:tc>
          <w:tcPr>
            <w:tcW w:w="4640" w:type="dxa"/>
            <w:vAlign w:val="bottom"/>
            <w:gridSpan w:val="6"/>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by and between Velodyne Lidar, Inc. and Amazon.com NV</w:t>
              </w:r>
            </w:hyperlink>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96"/>
        </w:trPr>
        <w:tc>
          <w:tcPr>
            <w:tcW w:w="404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Investment Holdings LLC, dated as of February 4, 2022</w:t>
              </w:r>
            </w:hyperlink>
          </w:p>
        </w:tc>
        <w:tc>
          <w:tcPr>
            <w:tcW w:w="220" w:type="dxa"/>
            <w:vAlign w:val="bottom"/>
            <w:tcBorders>
              <w:top w:val="single" w:sz="8" w:color="0000FF"/>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16" w:lineRule="exact"/>
        <w:rPr>
          <w:sz w:val="20"/>
          <w:szCs w:val="20"/>
          <w:color w:val="auto"/>
        </w:rPr>
      </w:pPr>
    </w:p>
    <w:p>
      <w:pPr>
        <w:sectPr>
          <w:pgSz w:w="11900" w:h="16838" w:orient="portrait"/>
          <w:cols w:equalWidth="0" w:num="2">
            <w:col w:w="360" w:space="720"/>
            <w:col w:w="10160"/>
          </w:cols>
          <w:pgMar w:left="320" w:top="198"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5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Warrant Agreement, dated October 14, 2018, by and between</w:t>
              </w:r>
            </w:hyperlink>
          </w:p>
        </w:tc>
        <w:tc>
          <w:tcPr>
            <w:tcW w:w="340" w:type="dxa"/>
            <w:vAlign w:val="bottom"/>
          </w:tcPr>
          <w:p>
            <w:pPr>
              <w:spacing w:after="0"/>
              <w:rPr>
                <w:sz w:val="20"/>
                <w:szCs w:val="20"/>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4.1</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10/18/2018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2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Continental Stock Transfer &amp; Trust Company and Velodyne</w:t>
              </w:r>
            </w:hyperlink>
          </w:p>
        </w:tc>
        <w:tc>
          <w:tcPr>
            <w:tcW w:w="44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60" w:type="dxa"/>
            <w:vAlign w:val="bottom"/>
            <w:gridSpan w:val="2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Lidar, Inc.</w:t>
              </w:r>
            </w:hyperlink>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rPr>
                <w:rFonts w:ascii="Times New Roman" w:cs="Times New Roman" w:eastAsia="Times New Roman" w:hAnsi="Times New Roman"/>
                <w:sz w:val="18"/>
                <w:szCs w:val="18"/>
                <w:color w:val="0000FF"/>
                <w:w w:val="95"/>
              </w:rPr>
            </w:pPr>
            <w:hyperlink r:id="rId1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continue"/>
          </w:tcPr>
          <w:p>
            <w:pPr>
              <w:spacing w:after="0"/>
              <w:rPr>
                <w:sz w:val="20"/>
                <w:szCs w:val="20"/>
                <w:color w:val="auto"/>
              </w:rPr>
            </w:pPr>
          </w:p>
        </w:tc>
        <w:tc>
          <w:tcPr>
            <w:tcW w:w="420" w:type="dxa"/>
            <w:vAlign w:val="bottom"/>
            <w:tcBorders>
              <w:bottom w:val="single" w:sz="8" w:color="0000FF"/>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60" w:type="dxa"/>
            <w:vAlign w:val="bottom"/>
            <w:gridSpan w:val="20"/>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Indemnification Agreement</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10.1</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2/28/2022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gridSpan w:val="3"/>
            <w:vMerge w:val="restart"/>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60" w:type="dxa"/>
            <w:vAlign w:val="bottom"/>
            <w:gridSpan w:val="2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Amended and Restated Registration Rights Agreement, by</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10.2</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9"/>
          </w:tcPr>
          <w:p>
            <w:pPr>
              <w:spacing w:after="0" w:line="202"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and among Ouster, Inc. and the holders party thereto</w:t>
              </w:r>
            </w:hyperlink>
          </w:p>
        </w:tc>
        <w:tc>
          <w:tcPr>
            <w:tcW w:w="440" w:type="dxa"/>
            <w:vAlign w:val="bottom"/>
            <w:tcBorders>
              <w:top w:val="single" w:sz="8" w:color="0000FF"/>
            </w:tcBorders>
            <w:gridSpan w:val="3"/>
          </w:tcPr>
          <w:p>
            <w:pPr>
              <w:spacing w:after="0"/>
              <w:rPr>
                <w:sz w:val="17"/>
                <w:szCs w:val="17"/>
                <w:color w:val="auto"/>
              </w:rPr>
            </w:pPr>
          </w:p>
        </w:tc>
        <w:tc>
          <w:tcPr>
            <w:tcW w:w="54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55">
              <w:r>
                <w:rPr>
                  <w:rFonts w:ascii="Times New Roman" w:cs="Times New Roman" w:eastAsia="Times New Roman" w:hAnsi="Times New Roman"/>
                  <w:sz w:val="18"/>
                  <w:szCs w:val="18"/>
                  <w:color w:val="0000FF"/>
                  <w:w w:val="98"/>
                </w:rPr>
                <w:t>2021 Incentive Award Plan</w:t>
              </w:r>
            </w:hyperlink>
          </w:p>
        </w:tc>
        <w:tc>
          <w:tcPr>
            <w:tcW w:w="2800" w:type="dxa"/>
            <w:vAlign w:val="bottom"/>
            <w:gridSpan w:val="15"/>
          </w:tcPr>
          <w:p>
            <w:pPr>
              <w:spacing w:after="0"/>
              <w:rPr>
                <w:sz w:val="22"/>
                <w:szCs w:val="22"/>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10.3</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gridSpan w:val="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3(a)+</w:t>
              </w:r>
            </w:hyperlink>
          </w:p>
        </w:tc>
        <w:tc>
          <w:tcPr>
            <w:tcW w:w="4760" w:type="dxa"/>
            <w:vAlign w:val="bottom"/>
            <w:gridSpan w:val="2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Stock Option Agreement under the 2021 Incentive</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10.5(a)</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Borders>
              <w:top w:val="single" w:sz="8" w:color="0000FF"/>
              <w:bottom w:val="single" w:sz="8" w:color="0000FF"/>
            </w:tcBorders>
            <w:gridSpan w:val="2"/>
          </w:tcPr>
          <w:p>
            <w:pPr>
              <w:spacing w:after="0" w:line="202" w:lineRule="exact"/>
              <w:rPr>
                <w:rFonts w:ascii="Times New Roman" w:cs="Times New Roman" w:eastAsia="Times New Roman" w:hAnsi="Times New Roman"/>
                <w:sz w:val="18"/>
                <w:szCs w:val="18"/>
                <w:color w:val="0000FF"/>
                <w:w w:val="95"/>
              </w:rPr>
            </w:pPr>
            <w:hyperlink r:id="rId156">
              <w:r>
                <w:rPr>
                  <w:rFonts w:ascii="Times New Roman" w:cs="Times New Roman" w:eastAsia="Times New Roman" w:hAnsi="Times New Roman"/>
                  <w:sz w:val="18"/>
                  <w:szCs w:val="18"/>
                  <w:color w:val="0000FF"/>
                  <w:w w:val="95"/>
                </w:rPr>
                <w:t>Award Plan</w:t>
              </w:r>
            </w:hyperlink>
          </w:p>
        </w:tc>
        <w:tc>
          <w:tcPr>
            <w:tcW w:w="3420" w:type="dxa"/>
            <w:vAlign w:val="bottom"/>
            <w:tcBorders>
              <w:top w:val="single" w:sz="8" w:color="0000FF"/>
            </w:tcBorders>
            <w:gridSpan w:val="12"/>
          </w:tcPr>
          <w:p>
            <w:pPr>
              <w:spacing w:after="0"/>
              <w:rPr>
                <w:sz w:val="17"/>
                <w:szCs w:val="17"/>
                <w:color w:val="auto"/>
              </w:rPr>
            </w:pPr>
          </w:p>
        </w:tc>
        <w:tc>
          <w:tcPr>
            <w:tcW w:w="50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3(b)+</w:t>
              </w:r>
            </w:hyperlink>
          </w:p>
        </w:tc>
        <w:tc>
          <w:tcPr>
            <w:tcW w:w="420" w:type="dxa"/>
            <w:vAlign w:val="bottom"/>
          </w:tcPr>
          <w:p>
            <w:pPr>
              <w:spacing w:after="0"/>
              <w:rPr>
                <w:sz w:val="21"/>
                <w:szCs w:val="21"/>
                <w:color w:val="auto"/>
              </w:rPr>
            </w:pPr>
          </w:p>
        </w:tc>
        <w:tc>
          <w:tcPr>
            <w:tcW w:w="4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Form of Restricted Stock Unit Agreement under the 2021</w:t>
              </w:r>
            </w:hyperlink>
          </w:p>
        </w:tc>
        <w:tc>
          <w:tcPr>
            <w:tcW w:w="600" w:type="dxa"/>
            <w:vAlign w:val="bottom"/>
            <w:gridSpan w:val="9"/>
          </w:tcPr>
          <w:p>
            <w:pPr>
              <w:spacing w:after="0"/>
              <w:rPr>
                <w:sz w:val="21"/>
                <w:szCs w:val="21"/>
                <w:color w:val="auto"/>
              </w:rPr>
            </w:pPr>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6"/>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10.3(b)</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3/15/2021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Borders>
              <w:bottom w:val="single" w:sz="8" w:color="0000FF"/>
            </w:tcBorders>
            <w:gridSpan w:val="4"/>
          </w:tcPr>
          <w:p>
            <w:pPr>
              <w:spacing w:after="0" w:line="202" w:lineRule="exact"/>
              <w:rPr>
                <w:rFonts w:ascii="Times New Roman" w:cs="Times New Roman" w:eastAsia="Times New Roman" w:hAnsi="Times New Roman"/>
                <w:sz w:val="18"/>
                <w:szCs w:val="18"/>
                <w:color w:val="0000FF"/>
                <w:w w:val="98"/>
              </w:rPr>
            </w:pPr>
            <w:hyperlink r:id="rId157">
              <w:r>
                <w:rPr>
                  <w:rFonts w:ascii="Times New Roman" w:cs="Times New Roman" w:eastAsia="Times New Roman" w:hAnsi="Times New Roman"/>
                  <w:sz w:val="18"/>
                  <w:szCs w:val="18"/>
                  <w:color w:val="0000FF"/>
                  <w:w w:val="98"/>
                </w:rPr>
                <w:t>Incentive Award Plan</w:t>
              </w:r>
            </w:hyperlink>
          </w:p>
        </w:tc>
        <w:tc>
          <w:tcPr>
            <w:tcW w:w="3200" w:type="dxa"/>
            <w:vAlign w:val="bottom"/>
            <w:gridSpan w:val="16"/>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4#</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Manufacturing Services Agreement, dated as of March 5,</w:t>
              </w:r>
            </w:hyperlink>
          </w:p>
        </w:tc>
        <w:tc>
          <w:tcPr>
            <w:tcW w:w="620" w:type="dxa"/>
            <w:vAlign w:val="bottom"/>
            <w:gridSpan w:val="10"/>
          </w:tcPr>
          <w:p>
            <w:pPr>
              <w:spacing w:after="0"/>
              <w:rPr>
                <w:sz w:val="21"/>
                <w:szCs w:val="21"/>
                <w:color w:val="auto"/>
              </w:rPr>
            </w:pPr>
          </w:p>
        </w:tc>
        <w:tc>
          <w:tcPr>
            <w:tcW w:w="7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8"/>
              </w:rPr>
              <w:t>S-4</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10.6</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12/22/2020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40" w:type="dxa"/>
            <w:vAlign w:val="bottom"/>
            <w:tcBorders>
              <w:bottom w:val="single" w:sz="8" w:color="0000FF"/>
            </w:tcBorders>
            <w:gridSpan w:val="8"/>
          </w:tcPr>
          <w:p>
            <w:pPr>
              <w:spacing w:after="0" w:line="202"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2018, by and between Ouster, Inc. and Benchmark</w:t>
              </w:r>
            </w:hyperlink>
          </w:p>
        </w:tc>
        <w:tc>
          <w:tcPr>
            <w:tcW w:w="1120" w:type="dxa"/>
            <w:vAlign w:val="bottom"/>
            <w:gridSpan w:val="12"/>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Electronics, Inc.</w:t>
              </w:r>
            </w:hyperlink>
          </w:p>
        </w:tc>
        <w:tc>
          <w:tcPr>
            <w:tcW w:w="3580" w:type="dxa"/>
            <w:vAlign w:val="bottom"/>
            <w:gridSpan w:val="17"/>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0" w:type="dxa"/>
            <w:vAlign w:val="bottom"/>
            <w:gridSpan w:val="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760" w:type="dxa"/>
            <w:vAlign w:val="bottom"/>
            <w:gridSpan w:val="2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Lease, dated September 5, 2017, by and between Ouster, Inc.</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S-4/A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10.13</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1/28/2021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Borders>
              <w:top w:val="single" w:sz="8" w:color="0000FF"/>
            </w:tcBorders>
            <w:gridSpan w:val="18"/>
          </w:tcPr>
          <w:p>
            <w:pPr>
              <w:spacing w:after="0" w:line="20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and Mission Creative Ownership, LLC</w:t>
              </w:r>
              <w:r>
                <w:rPr>
                  <w:rFonts w:ascii="Times New Roman" w:cs="Times New Roman" w:eastAsia="Times New Roman" w:hAnsi="Times New Roman"/>
                  <w:sz w:val="18"/>
                  <w:szCs w:val="18"/>
                  <w:color w:val="000000"/>
                </w:rPr>
                <w:t>.</w:t>
              </w:r>
            </w:hyperlink>
          </w:p>
        </w:tc>
        <w:tc>
          <w:tcPr>
            <w:tcW w:w="3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800" w:type="dxa"/>
            <w:vAlign w:val="bottom"/>
            <w:gridSpan w:val="7"/>
            <w:shd w:val="clear" w:color="auto" w:fill="0000FF"/>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60" w:type="dxa"/>
            <w:vAlign w:val="bottom"/>
            <w:gridSpan w:val="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5(a)</w:t>
              </w:r>
            </w:hyperlink>
          </w:p>
        </w:tc>
        <w:tc>
          <w:tcPr>
            <w:tcW w:w="4760" w:type="dxa"/>
            <w:vAlign w:val="bottom"/>
            <w:gridSpan w:val="2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First Amendment to Lease, dated January 21, 2018, by and</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S-4/A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10.13(a)</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1/28/2021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gridSpan w:val="1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between Ouster, Inc. and Mission Creative Ownership, LLC.</w:t>
              </w:r>
            </w:hyperlink>
          </w:p>
        </w:tc>
        <w:tc>
          <w:tcPr>
            <w:tcW w:w="3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gridSpan w:val="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5(b)</w:t>
              </w:r>
            </w:hyperlink>
          </w:p>
        </w:tc>
        <w:tc>
          <w:tcPr>
            <w:tcW w:w="4760" w:type="dxa"/>
            <w:vAlign w:val="bottom"/>
            <w:gridSpan w:val="2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Second Amendment to Lease, dated March 27, 2018, by and</w:t>
              </w:r>
            </w:hyperlink>
          </w:p>
        </w:tc>
        <w:tc>
          <w:tcPr>
            <w:tcW w:w="74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S-4/A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10.13(b)</w:t>
            </w:r>
          </w:p>
        </w:tc>
        <w:tc>
          <w:tcPr>
            <w:tcW w:w="2300" w:type="dxa"/>
            <w:vAlign w:val="bottom"/>
          </w:tcPr>
          <w:p>
            <w:pPr>
              <w:jc w:val="right"/>
              <w:ind w:right="1159"/>
              <w:spacing w:after="0"/>
              <w:rPr>
                <w:sz w:val="20"/>
                <w:szCs w:val="20"/>
                <w:color w:val="auto"/>
              </w:rPr>
            </w:pPr>
            <w:r>
              <w:rPr>
                <w:rFonts w:ascii="Times New Roman" w:cs="Times New Roman" w:eastAsia="Times New Roman" w:hAnsi="Times New Roman"/>
                <w:sz w:val="16"/>
                <w:szCs w:val="16"/>
                <w:color w:val="auto"/>
              </w:rPr>
              <w:t>1/28/2021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w w:val="98"/>
              </w:rPr>
            </w:pPr>
            <w:hyperlink r:id="rId161">
              <w:r>
                <w:rPr>
                  <w:rFonts w:ascii="Times New Roman" w:cs="Times New Roman" w:eastAsia="Times New Roman" w:hAnsi="Times New Roman"/>
                  <w:sz w:val="18"/>
                  <w:szCs w:val="18"/>
                  <w:color w:val="0000FF"/>
                  <w:w w:val="98"/>
                </w:rPr>
                <w:t>between Ouster, Inc. and Mission Creative Ownership, LLC.</w:t>
              </w:r>
            </w:hyperlink>
          </w:p>
        </w:tc>
        <w:tc>
          <w:tcPr>
            <w:tcW w:w="20" w:type="dxa"/>
            <w:vAlign w:val="bottom"/>
            <w:tcBorders>
              <w:bottom w:val="single" w:sz="8" w:color="0000FF"/>
            </w:tcBorders>
          </w:tcPr>
          <w:p>
            <w:pPr>
              <w:spacing w:after="0"/>
              <w:rPr>
                <w:sz w:val="15"/>
                <w:szCs w:val="15"/>
                <w:color w:val="auto"/>
              </w:rPr>
            </w:pPr>
          </w:p>
        </w:tc>
        <w:tc>
          <w:tcPr>
            <w:tcW w:w="3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60" w:type="dxa"/>
            <w:vAlign w:val="bottom"/>
            <w:gridSpan w:val="20"/>
          </w:tcPr>
          <w:p>
            <w:pPr>
              <w:ind w:left="4420"/>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type w:val="continuous"/>
        </w:sectPr>
      </w:pPr>
    </w:p>
    <w:bookmarkStart w:id="113" w:name="page114"/>
    <w:bookmarkEnd w:id="113"/>
    <w:p>
      <w:pPr>
        <w:spacing w:after="0"/>
        <w:rPr>
          <w:rFonts w:ascii="Times New Roman" w:cs="Times New Roman" w:eastAsia="Times New Roman" w:hAnsi="Times New Roman"/>
          <w:sz w:val="17"/>
          <w:szCs w:val="17"/>
          <w:b w:val="1"/>
          <w:bCs w:val="1"/>
          <w:u w:val="single" w:color="auto"/>
          <w:color w:val="0000FF"/>
        </w:rPr>
      </w:pPr>
      <w:hyperlink r:id="rId95">
        <w:r>
          <w:rPr>
            <w:rFonts w:ascii="Times New Roman" w:cs="Times New Roman" w:eastAsia="Times New Roman" w:hAnsi="Times New Roman"/>
            <w:sz w:val="17"/>
            <w:szCs w:val="17"/>
            <w:b w:val="1"/>
            <w:bCs w:val="1"/>
            <w:u w:val="single" w:color="auto"/>
            <w:color w:val="0000FF"/>
          </w:rPr>
          <w:t>Table of Contents</w:t>
        </w:r>
      </w:hyperlink>
    </w:p>
    <w:p>
      <w:pPr>
        <w:sectPr>
          <w:pgSz w:w="11900" w:h="16838" w:orient="portrait"/>
          <w:cols w:equalWidth="0" w:num="1">
            <w:col w:w="10720"/>
          </w:cols>
          <w:pgMar w:left="320" w:top="198"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5(c)</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Third Amendment to Lease, dated August 14, 2018, by and</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tcBorders>
              <w:bottom w:val="single" w:sz="8" w:color="0000FF"/>
            </w:tcBorders>
            <w:gridSpan w:val="28"/>
          </w:tcPr>
          <w:p>
            <w:pPr>
              <w:spacing w:after="0" w:line="182"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between Ouster, Inc. and Mission Creative Ownership, LLC.</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0" w:type="dxa"/>
            <w:vAlign w:val="bottom"/>
            <w:gridSpan w:val="3"/>
          </w:tcPr>
          <w:p>
            <w:pPr>
              <w:spacing w:after="0"/>
              <w:rPr>
                <w:rFonts w:ascii="Times New Roman" w:cs="Times New Roman" w:eastAsia="Times New Roman" w:hAnsi="Times New Roman"/>
                <w:sz w:val="18"/>
                <w:szCs w:val="18"/>
                <w:color w:val="0000FF"/>
                <w:w w:val="87"/>
              </w:rPr>
            </w:pPr>
            <w:hyperlink r:id="rId165">
              <w:r>
                <w:rPr>
                  <w:rFonts w:ascii="Times New Roman" w:cs="Times New Roman" w:eastAsia="Times New Roman" w:hAnsi="Times New Roman"/>
                  <w:sz w:val="18"/>
                  <w:szCs w:val="18"/>
                  <w:color w:val="0000FF"/>
                  <w:w w:val="87"/>
                </w:rPr>
                <w:t>10.</w:t>
              </w:r>
              <w:r>
                <w:rPr>
                  <w:rFonts w:ascii="Times New Roman" w:cs="Times New Roman" w:eastAsia="Times New Roman" w:hAnsi="Times New Roman"/>
                  <w:sz w:val="18"/>
                  <w:szCs w:val="18"/>
                  <w:u w:val="single" w:color="auto"/>
                  <w:color w:val="0000FF"/>
                  <w:w w:val="87"/>
                </w:rPr>
                <w:t>5(d)</w:t>
              </w:r>
            </w:hyperlink>
          </w:p>
        </w:tc>
        <w:tc>
          <w:tcPr>
            <w:tcW w:w="560" w:type="dxa"/>
            <w:vAlign w:val="bottom"/>
            <w:gridSpan w:val="3"/>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Fourth Amendment to Lease, dated April 4, 2019, by and</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tcBorders>
              <w:bottom w:val="single" w:sz="8" w:color="0000FF"/>
            </w:tcBorders>
            <w:gridSpan w:val="28"/>
          </w:tcPr>
          <w:p>
            <w:pPr>
              <w:spacing w:after="0" w:line="182"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between Ouster, Inc. and Mission Creative Ownership, LLC.</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gridSpan w:val="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5(e)</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Fifth Amendment to Lease, dated July 21, 2019, by and</w:t>
              </w:r>
            </w:hyperlink>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Ouster, Inc. and Mission Creative Ownership,</w:t>
              </w:r>
            </w:hyperlink>
          </w:p>
        </w:tc>
        <w:tc>
          <w:tcPr>
            <w:tcW w:w="3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88"/>
              </w:rPr>
            </w:pPr>
            <w:hyperlink r:id="rId166">
              <w:r>
                <w:rPr>
                  <w:rFonts w:ascii="Times New Roman" w:cs="Times New Roman" w:eastAsia="Times New Roman" w:hAnsi="Times New Roman"/>
                  <w:sz w:val="18"/>
                  <w:szCs w:val="18"/>
                  <w:color w:val="0000FF"/>
                  <w:w w:val="88"/>
                </w:rPr>
                <w:t>LLC.</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gridSpan w:val="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5(f)</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Sixth Amendment to Lease, dated December 20, 2019, by</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7"/>
              </w:rPr>
            </w:pPr>
            <w:hyperlink r:id="rId167">
              <w:r>
                <w:rPr>
                  <w:rFonts w:ascii="Times New Roman" w:cs="Times New Roman" w:eastAsia="Times New Roman" w:hAnsi="Times New Roman"/>
                  <w:sz w:val="18"/>
                  <w:szCs w:val="18"/>
                  <w:color w:val="0000FF"/>
                  <w:w w:val="97"/>
                </w:rPr>
                <w:t>and between Ouster, Inc. and Mission Creative Ownership,</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gridSpan w:val="24"/>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LLC.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87"/>
              </w:rPr>
            </w:pPr>
            <w:hyperlink r:id="rId168">
              <w:r>
                <w:rPr>
                  <w:rFonts w:ascii="Times New Roman" w:cs="Times New Roman" w:eastAsia="Times New Roman" w:hAnsi="Times New Roman"/>
                  <w:sz w:val="18"/>
                  <w:szCs w:val="18"/>
                  <w:color w:val="0000FF"/>
                  <w:w w:val="87"/>
                </w:rPr>
                <w:t>10.</w:t>
              </w:r>
              <w:r>
                <w:rPr>
                  <w:rFonts w:ascii="Times New Roman" w:cs="Times New Roman" w:eastAsia="Times New Roman" w:hAnsi="Times New Roman"/>
                  <w:sz w:val="18"/>
                  <w:szCs w:val="18"/>
                  <w:u w:val="single" w:color="auto"/>
                  <w:color w:val="0000FF"/>
                  <w:w w:val="87"/>
                </w:rPr>
                <w:t>5(g)</w:t>
              </w:r>
            </w:hyperlink>
          </w:p>
        </w:tc>
        <w:tc>
          <w:tcPr>
            <w:tcW w:w="560" w:type="dxa"/>
            <w:vAlign w:val="bottom"/>
            <w:gridSpan w:val="3"/>
          </w:tcPr>
          <w:p>
            <w:pPr>
              <w:spacing w:after="0"/>
              <w:rPr>
                <w:sz w:val="20"/>
                <w:szCs w:val="20"/>
                <w:color w:val="auto"/>
              </w:rPr>
            </w:pPr>
          </w:p>
        </w:tc>
        <w:tc>
          <w:tcPr>
            <w:tcW w:w="4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Seventh Amendment to Lease, dated May 18, 2020, by and</w:t>
              </w:r>
            </w:hyperlink>
          </w:p>
        </w:tc>
        <w:tc>
          <w:tcPr>
            <w:tcW w:w="16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80" w:type="dxa"/>
            <w:vAlign w:val="bottom"/>
            <w:tcBorders>
              <w:bottom w:val="single" w:sz="8" w:color="0000FF"/>
            </w:tcBorders>
            <w:gridSpan w:val="28"/>
          </w:tcPr>
          <w:p>
            <w:pPr>
              <w:spacing w:after="0" w:line="182"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between Ouster, Inc. and Mission Creative Ownership, LLC.</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gridSpan w:val="2"/>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NNN Lease, dated September 1, 2017, by and between</w:t>
              </w:r>
            </w:hyperlink>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9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Ouster, Inc. and SIC-350 Treat, LLC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6"/>
            <w:vMerge w:val="restart"/>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6(a)</w:t>
              </w:r>
            </w:hyperlink>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60" w:type="dxa"/>
            <w:vAlign w:val="bottom"/>
            <w:gridSpan w:val="6"/>
            <w:vMerge w:val="continue"/>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First Amendment to NNN Lease, dated January 1, 2018, by</w:t>
              </w:r>
            </w:hyperlink>
          </w:p>
        </w:tc>
        <w:tc>
          <w:tcPr>
            <w:tcW w:w="0" w:type="dxa"/>
            <w:vAlign w:val="bottom"/>
          </w:tcPr>
          <w:p>
            <w:pPr>
              <w:spacing w:after="0"/>
              <w:rPr>
                <w:sz w:val="1"/>
                <w:szCs w:val="1"/>
                <w:color w:val="auto"/>
              </w:rPr>
            </w:pPr>
          </w:p>
        </w:tc>
      </w:tr>
      <w:tr>
        <w:trPr>
          <w:trHeight w:val="203"/>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0" w:type="dxa"/>
            <w:vAlign w:val="bottom"/>
            <w:tcBorders>
              <w:top w:val="single" w:sz="8" w:color="0000FF"/>
              <w:bottom w:val="single" w:sz="8" w:color="0000FF"/>
            </w:tcBorders>
            <w:gridSpan w:val="11"/>
          </w:tcPr>
          <w:p>
            <w:pPr>
              <w:spacing w:after="0" w:line="202"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and between Ouster, Inc. and SIC-350 Treat, LLC</w:t>
              </w:r>
            </w:hyperlink>
          </w:p>
        </w:tc>
        <w:tc>
          <w:tcPr>
            <w:tcW w:w="700" w:type="dxa"/>
            <w:vAlign w:val="bottom"/>
            <w:tcBorders>
              <w:top w:val="single" w:sz="8" w:color="0000FF"/>
            </w:tcBorders>
            <w:gridSpan w:val="14"/>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87"/>
              </w:rPr>
            </w:pPr>
            <w:hyperlink r:id="rId171">
              <w:r>
                <w:rPr>
                  <w:rFonts w:ascii="Times New Roman" w:cs="Times New Roman" w:eastAsia="Times New Roman" w:hAnsi="Times New Roman"/>
                  <w:sz w:val="18"/>
                  <w:szCs w:val="18"/>
                  <w:color w:val="0000FF"/>
                  <w:w w:val="87"/>
                </w:rPr>
                <w:t>10.</w:t>
              </w:r>
              <w:r>
                <w:rPr>
                  <w:rFonts w:ascii="Times New Roman" w:cs="Times New Roman" w:eastAsia="Times New Roman" w:hAnsi="Times New Roman"/>
                  <w:sz w:val="18"/>
                  <w:szCs w:val="18"/>
                  <w:u w:val="single" w:color="auto"/>
                  <w:color w:val="0000FF"/>
                  <w:w w:val="87"/>
                </w:rPr>
                <w:t>6(b)</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Second Amendment to NNN Lease, dated March 27, 2018,</w:t>
              </w:r>
            </w:hyperlink>
          </w:p>
        </w:tc>
        <w:tc>
          <w:tcPr>
            <w:tcW w:w="1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2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by and between Ouster, Inc. and SIC-350 Treat, LLC</w:t>
              </w:r>
            </w:hyperlink>
          </w:p>
        </w:tc>
        <w:tc>
          <w:tcPr>
            <w:tcW w:w="6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060" w:type="dxa"/>
            <w:vAlign w:val="bottom"/>
            <w:gridSpan w:val="6"/>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6(c)</w:t>
              </w:r>
            </w:hyperlink>
          </w:p>
        </w:tc>
        <w:tc>
          <w:tcPr>
            <w:tcW w:w="4440" w:type="dxa"/>
            <w:vAlign w:val="bottom"/>
            <w:gridSpan w:val="30"/>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Third Amendment to NNN Lease, dated November 15, 2021,</w:t>
              </w:r>
            </w:hyperlink>
          </w:p>
        </w:tc>
        <w:tc>
          <w:tcPr>
            <w:tcW w:w="0" w:type="dxa"/>
            <w:vAlign w:val="bottom"/>
          </w:tcPr>
          <w:p>
            <w:pPr>
              <w:spacing w:after="0"/>
              <w:rPr>
                <w:sz w:val="1"/>
                <w:szCs w:val="1"/>
                <w:color w:val="auto"/>
              </w:rPr>
            </w:pPr>
          </w:p>
        </w:tc>
      </w:tr>
      <w:tr>
        <w:trPr>
          <w:trHeight w:val="203"/>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15"/>
          </w:tcPr>
          <w:p>
            <w:pPr>
              <w:spacing w:after="0" w:line="202"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by and between Ouster, Inc. and SIC-350 Treat, LLC</w:t>
              </w:r>
            </w:hyperlink>
          </w:p>
        </w:tc>
        <w:tc>
          <w:tcPr>
            <w:tcW w:w="620" w:type="dxa"/>
            <w:vAlign w:val="bottom"/>
            <w:tcBorders>
              <w:top w:val="single" w:sz="8" w:color="0000FF"/>
            </w:tcBorders>
            <w:gridSpan w:val="15"/>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Second Amended and Restated Non-Employee Director</w:t>
            </w:r>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4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Compensation Program</w:t>
            </w: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gridSpan w:val="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 and Plan of Merger and Plan of Reorganization,</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dated as of October 5, 2021, by and among Ouster, Inc.,</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20" w:type="dxa"/>
            <w:vAlign w:val="bottom"/>
            <w:tcBorders>
              <w:bottom w:val="single" w:sz="8" w:color="0000FF"/>
            </w:tcBorders>
            <w:gridSpan w:val="22"/>
          </w:tcPr>
          <w:p>
            <w:pPr>
              <w:spacing w:after="0" w:line="182"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Sparrow Acquisition Sub., Inc., Sense Photonics, Inc., and</w:t>
              </w:r>
            </w:hyperlink>
          </w:p>
        </w:tc>
        <w:tc>
          <w:tcPr>
            <w:tcW w:w="22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4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Fortis Advisors LLC, solely in its capacity as Holders’ Agent</w:t>
              </w:r>
            </w:hyperlink>
          </w:p>
        </w:tc>
        <w:tc>
          <w:tcPr>
            <w:tcW w:w="0" w:type="dxa"/>
            <w:vAlign w:val="bottom"/>
          </w:tcPr>
          <w:p>
            <w:pPr>
              <w:spacing w:after="0"/>
              <w:rPr>
                <w:sz w:val="1"/>
                <w:szCs w:val="1"/>
                <w:color w:val="auto"/>
              </w:rPr>
            </w:pPr>
          </w:p>
        </w:tc>
      </w:tr>
      <w:tr>
        <w:trPr>
          <w:trHeight w:val="250"/>
        </w:trPr>
        <w:tc>
          <w:tcPr>
            <w:tcW w:w="500" w:type="dxa"/>
            <w:vAlign w:val="bottom"/>
            <w:gridSpan w:val="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Sense Photonics, Inc. 2017 Equity Incentive Plan, as</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amended</w:t>
              </w:r>
            </w:hyperlink>
          </w:p>
        </w:tc>
        <w:tc>
          <w:tcPr>
            <w:tcW w:w="220" w:type="dxa"/>
            <w:vAlign w:val="bottom"/>
            <w:gridSpan w:val="3"/>
          </w:tcPr>
          <w:p>
            <w:pPr>
              <w:spacing w:after="0"/>
              <w:rPr>
                <w:sz w:val="15"/>
                <w:szCs w:val="15"/>
                <w:color w:val="auto"/>
              </w:rPr>
            </w:pPr>
          </w:p>
        </w:tc>
        <w:tc>
          <w:tcPr>
            <w:tcW w:w="1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gridSpan w:val="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9(a)+</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Stock Option Agreement under the Sense Photonics,</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442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 2017 Equity Incentive Plan, as amended.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0"/>
              </w:rPr>
            </w:pPr>
            <w:hyperlink r:id="rId176">
              <w:r>
                <w:rPr>
                  <w:rFonts w:ascii="Times New Roman" w:cs="Times New Roman" w:eastAsia="Times New Roman" w:hAnsi="Times New Roman"/>
                  <w:sz w:val="18"/>
                  <w:szCs w:val="18"/>
                  <w:color w:val="0000FF"/>
                  <w:w w:val="90"/>
                </w:rPr>
                <w:t>10.</w:t>
              </w:r>
              <w:r>
                <w:rPr>
                  <w:rFonts w:ascii="Times New Roman" w:cs="Times New Roman" w:eastAsia="Times New Roman" w:hAnsi="Times New Roman"/>
                  <w:sz w:val="18"/>
                  <w:szCs w:val="18"/>
                  <w:u w:val="single" w:color="auto"/>
                  <w:color w:val="0000FF"/>
                  <w:w w:val="90"/>
                </w:rPr>
                <w:t>10+</w:t>
              </w:r>
            </w:hyperlink>
          </w:p>
        </w:tc>
        <w:tc>
          <w:tcPr>
            <w:tcW w:w="120" w:type="dxa"/>
            <w:vAlign w:val="bottom"/>
            <w:tcBorders>
              <w:bottom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Ouster, Inc. Amended and Restated 2015 Stock Plan</w:t>
              </w:r>
            </w:hyperlink>
          </w:p>
        </w:tc>
        <w:tc>
          <w:tcPr>
            <w:tcW w:w="6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gridSpan w:val="6"/>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10(a)</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Stock Option Agreement under the Amended and</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Restated 2015 Stock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gridSpan w:val="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10(b)</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Early Exercise Stock Option Agreement under the</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Amended and Restated 2015 Stock Plan.</w:t>
              </w:r>
            </w:hyperlink>
          </w:p>
        </w:tc>
        <w:tc>
          <w:tcPr>
            <w:tcW w:w="1300" w:type="dxa"/>
            <w:vAlign w:val="bottom"/>
            <w:tcBorders>
              <w:top w:val="single" w:sz="8" w:color="0000FF"/>
            </w:tcBorders>
            <w:gridSpan w:val="15"/>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gridSpan w:val="6"/>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10(c)</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Form of Restricted Stock Unit Agreement under the</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Amended and Restated 2015 Stock Plan</w:t>
              </w:r>
            </w:hyperlink>
          </w:p>
        </w:tc>
        <w:tc>
          <w:tcPr>
            <w:tcW w:w="840" w:type="dxa"/>
            <w:vAlign w:val="bottom"/>
            <w:tcBorders>
              <w:top w:val="single" w:sz="8" w:color="0000FF"/>
            </w:tcBorders>
            <w:gridSpan w:val="5"/>
          </w:tcPr>
          <w:p>
            <w:pPr>
              <w:spacing w:after="0"/>
              <w:rPr>
                <w:sz w:val="15"/>
                <w:szCs w:val="15"/>
                <w:color w:val="auto"/>
              </w:rPr>
            </w:pPr>
          </w:p>
        </w:tc>
        <w:tc>
          <w:tcPr>
            <w:tcW w:w="280" w:type="dxa"/>
            <w:vAlign w:val="bottom"/>
            <w:gridSpan w:val="5"/>
          </w:tcPr>
          <w:p>
            <w:pPr>
              <w:spacing w:after="0"/>
              <w:rPr>
                <w:sz w:val="15"/>
                <w:szCs w:val="15"/>
                <w:color w:val="auto"/>
              </w:rPr>
            </w:pPr>
          </w:p>
        </w:tc>
        <w:tc>
          <w:tcPr>
            <w:tcW w:w="200" w:type="dxa"/>
            <w:vAlign w:val="bottom"/>
            <w:gridSpan w:val="5"/>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0" w:type="dxa"/>
            <w:vAlign w:val="bottom"/>
            <w:gridSpan w:val="3"/>
          </w:tcPr>
          <w:p>
            <w:pPr>
              <w:spacing w:after="0"/>
              <w:rPr>
                <w:rFonts w:ascii="Times New Roman" w:cs="Times New Roman" w:eastAsia="Times New Roman" w:hAnsi="Times New Roman"/>
                <w:sz w:val="18"/>
                <w:szCs w:val="18"/>
                <w:color w:val="0000FF"/>
                <w:w w:val="90"/>
              </w:rPr>
            </w:pPr>
            <w:hyperlink r:id="rId180">
              <w:r>
                <w:rPr>
                  <w:rFonts w:ascii="Times New Roman" w:cs="Times New Roman" w:eastAsia="Times New Roman" w:hAnsi="Times New Roman"/>
                  <w:sz w:val="18"/>
                  <w:szCs w:val="18"/>
                  <w:color w:val="0000FF"/>
                  <w:w w:val="90"/>
                </w:rPr>
                <w:t>10.</w:t>
              </w:r>
              <w:r>
                <w:rPr>
                  <w:rFonts w:ascii="Times New Roman" w:cs="Times New Roman" w:eastAsia="Times New Roman" w:hAnsi="Times New Roman"/>
                  <w:sz w:val="18"/>
                  <w:szCs w:val="18"/>
                  <w:u w:val="single" w:color="auto"/>
                  <w:color w:val="0000FF"/>
                  <w:w w:val="90"/>
                </w:rPr>
                <w:t>11+</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Ouster, Inc. 2022 Employee Stock Purchase Plan</w:t>
              </w:r>
            </w:hyperlink>
          </w:p>
        </w:tc>
        <w:tc>
          <w:tcPr>
            <w:tcW w:w="0" w:type="dxa"/>
            <w:vAlign w:val="bottom"/>
          </w:tcPr>
          <w:p>
            <w:pPr>
              <w:spacing w:after="0"/>
              <w:rPr>
                <w:sz w:val="1"/>
                <w:szCs w:val="1"/>
                <w:color w:val="auto"/>
              </w:rPr>
            </w:pPr>
          </w:p>
        </w:tc>
      </w:tr>
      <w:tr>
        <w:trPr>
          <w:trHeight w:val="20"/>
        </w:trPr>
        <w:tc>
          <w:tcPr>
            <w:tcW w:w="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gridSpan w:val="3"/>
          </w:tcPr>
          <w:p>
            <w:pPr>
              <w:spacing w:after="0"/>
              <w:rPr>
                <w:rFonts w:ascii="Times New Roman" w:cs="Times New Roman" w:eastAsia="Times New Roman" w:hAnsi="Times New Roman"/>
                <w:sz w:val="18"/>
                <w:szCs w:val="18"/>
                <w:color w:val="0000FF"/>
                <w:w w:val="92"/>
              </w:rPr>
            </w:pPr>
            <w:hyperlink r:id="rId181">
              <w:r>
                <w:rPr>
                  <w:rFonts w:ascii="Times New Roman" w:cs="Times New Roman" w:eastAsia="Times New Roman" w:hAnsi="Times New Roman"/>
                  <w:sz w:val="18"/>
                  <w:szCs w:val="18"/>
                  <w:color w:val="0000FF"/>
                  <w:w w:val="92"/>
                </w:rPr>
                <w:t>10.</w:t>
              </w:r>
              <w:r>
                <w:rPr>
                  <w:rFonts w:ascii="Times New Roman" w:cs="Times New Roman" w:eastAsia="Times New Roman" w:hAnsi="Times New Roman"/>
                  <w:sz w:val="18"/>
                  <w:szCs w:val="18"/>
                  <w:u w:val="single" w:color="auto"/>
                  <w:color w:val="0000FF"/>
                  <w:w w:val="92"/>
                </w:rPr>
                <w:t>12#</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40" w:type="dxa"/>
            <w:vAlign w:val="bottom"/>
            <w:gridSpan w:val="30"/>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Loan and Security Agreement, dated April 29, 2022, by and</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2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between the Company, Sense Photonics, Inc. and Hercules</w:t>
              </w:r>
            </w:hyperlink>
          </w:p>
        </w:tc>
        <w:tc>
          <w:tcPr>
            <w:tcW w:w="2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2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Capital, Inc.</w:t>
              </w:r>
            </w:hyperlink>
          </w:p>
        </w:tc>
        <w:tc>
          <w:tcPr>
            <w:tcW w:w="120" w:type="dxa"/>
            <w:vAlign w:val="bottom"/>
            <w:gridSpan w:val="5"/>
          </w:tcPr>
          <w:p>
            <w:pPr>
              <w:spacing w:after="0"/>
              <w:rPr>
                <w:sz w:val="15"/>
                <w:szCs w:val="15"/>
                <w:color w:val="auto"/>
              </w:rPr>
            </w:pPr>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6"/>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140" w:type="dxa"/>
            <w:vAlign w:val="bottom"/>
            <w:gridSpan w:val="14"/>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gridSpan w:val="6"/>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12(a)</w:t>
              </w:r>
            </w:hyperlink>
          </w:p>
        </w:tc>
        <w:tc>
          <w:tcPr>
            <w:tcW w:w="4440" w:type="dxa"/>
            <w:vAlign w:val="bottom"/>
            <w:gridSpan w:val="3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First Amendment to Loan and Security Agreement, dated as</w:t>
              </w:r>
            </w:hyperlink>
          </w:p>
        </w:tc>
        <w:tc>
          <w:tcPr>
            <w:tcW w:w="0" w:type="dxa"/>
            <w:vAlign w:val="bottom"/>
          </w:tcPr>
          <w:p>
            <w:pPr>
              <w:spacing w:after="0"/>
              <w:rPr>
                <w:sz w:val="1"/>
                <w:szCs w:val="1"/>
                <w:color w:val="auto"/>
              </w:rPr>
            </w:pP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40" w:type="dxa"/>
            <w:vAlign w:val="bottom"/>
            <w:tcBorders>
              <w:top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of August 5, 2022, by and between the Company, Sense</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8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Photonics, Inc. and Hercules Capital, Inc.</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10.13(c)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10.13(d)</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10.13(e)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18"/>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10.13(f)</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662"/>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10.13(g)</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59"/>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10.14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18"/>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10.14(a)</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S-4/A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333-251611</w:t>
            </w: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10.14(b)</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1/28/2021</w:t>
            </w:r>
          </w:p>
        </w:tc>
      </w:tr>
      <w:tr>
        <w:trPr>
          <w:trHeight w:val="486"/>
        </w:trPr>
        <w:tc>
          <w:tcPr>
            <w:tcW w:w="6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7"/>
              </w:rPr>
              <w:t>10-K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11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10.6(c)</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2/28/2022</w:t>
            </w:r>
          </w:p>
        </w:tc>
      </w:tr>
    </w:tbl>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10/5/2021</w:t>
            </w:r>
          </w:p>
        </w:tc>
      </w:tr>
      <w:tr>
        <w:trPr>
          <w:trHeight w:val="864"/>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333-260576</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10/29/2021</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10.9(a)</w:t>
            </w:r>
          </w:p>
        </w:tc>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2/28/2022</w:t>
            </w:r>
          </w:p>
        </w:tc>
      </w:tr>
      <w:tr>
        <w:trPr>
          <w:trHeight w:val="459"/>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8"/>
              </w:rPr>
              <w:t>4/2/2021</w:t>
            </w:r>
          </w:p>
        </w:tc>
      </w:tr>
      <w:tr>
        <w:trPr>
          <w:trHeight w:val="256"/>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10.9(a)</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8"/>
              </w:rPr>
              <w:t>4/2/2021</w:t>
            </w:r>
          </w:p>
        </w:tc>
      </w:tr>
      <w:tr>
        <w:trPr>
          <w:trHeight w:val="459"/>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10.9(b)</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8"/>
              </w:rPr>
              <w:t>4/2/2021</w:t>
            </w:r>
          </w:p>
        </w:tc>
      </w:tr>
      <w:tr>
        <w:trPr>
          <w:trHeight w:val="459"/>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333-254987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10.9(c)</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8"/>
              </w:rPr>
              <w:t>4/2/2021</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88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6/14/2022</w:t>
            </w:r>
          </w:p>
        </w:tc>
      </w:tr>
      <w:tr>
        <w:trPr>
          <w:trHeight w:val="257"/>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8"/>
              </w:rPr>
              <w:t>5/6/2022</w:t>
            </w:r>
          </w:p>
        </w:tc>
      </w:tr>
      <w:tr>
        <w:trPr>
          <w:trHeight w:val="661"/>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880" w:type="dxa"/>
            <w:vAlign w:val="bottom"/>
          </w:tcPr>
          <w:p>
            <w:pPr>
              <w:jc w:val="center"/>
              <w:ind w:right="559"/>
              <w:spacing w:after="0"/>
              <w:rPr>
                <w:sz w:val="20"/>
                <w:szCs w:val="20"/>
                <w:color w:val="auto"/>
              </w:rPr>
            </w:pPr>
            <w:r>
              <w:rPr>
                <w:rFonts w:ascii="Times New Roman" w:cs="Times New Roman" w:eastAsia="Times New Roman" w:hAnsi="Times New Roman"/>
                <w:sz w:val="16"/>
                <w:szCs w:val="16"/>
                <w:color w:val="auto"/>
                <w:w w:val="99"/>
              </w:rPr>
              <w:t>44873</w:t>
            </w:r>
          </w:p>
        </w:tc>
      </w:tr>
    </w:tbl>
    <w:p>
      <w:pPr>
        <w:sectPr>
          <w:pgSz w:w="11900" w:h="16838" w:orient="portrait"/>
          <w:cols w:equalWidth="0" w:num="2">
            <w:col w:w="5760" w:space="160"/>
            <w:col w:w="4800"/>
          </w:cols>
          <w:pgMar w:left="320" w:top="198" w:right="859" w:bottom="1440" w:gutter="0" w:footer="0" w:header="0"/>
          <w:type w:val="continuous"/>
        </w:sectPr>
      </w:pPr>
    </w:p>
    <w:bookmarkStart w:id="114" w:name="page115"/>
    <w:bookmarkEnd w:id="114"/>
    <w:p>
      <w:pPr>
        <w:spacing w:after="0"/>
        <w:rPr>
          <w:rFonts w:ascii="Times New Roman" w:cs="Times New Roman" w:eastAsia="Times New Roman" w:hAnsi="Times New Roman"/>
          <w:sz w:val="17"/>
          <w:szCs w:val="17"/>
          <w:b w:val="1"/>
          <w:bCs w:val="1"/>
          <w:u w:val="single" w:color="auto"/>
          <w:color w:val="0000FF"/>
        </w:rPr>
      </w:pPr>
      <w:hyperlink r:id="rId95">
        <w:r>
          <w:rPr>
            <w:rFonts w:ascii="Times New Roman" w:cs="Times New Roman" w:eastAsia="Times New Roman" w:hAnsi="Times New Roman"/>
            <w:sz w:val="17"/>
            <w:szCs w:val="17"/>
            <w:b w:val="1"/>
            <w:bCs w:val="1"/>
            <w:u w:val="single" w:color="auto"/>
            <w:color w:val="0000FF"/>
          </w:rPr>
          <w:t>Table of Contents</w:t>
        </w:r>
      </w:hyperlink>
    </w:p>
    <w:p>
      <w:pPr>
        <w:sectPr>
          <w:pgSz w:w="11900" w:h="16838" w:orient="portrait"/>
          <w:cols w:equalWidth="0" w:num="1">
            <w:col w:w="10760"/>
          </w:cols>
          <w:pgMar w:left="320" w:top="19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12(b)</w:t>
              </w:r>
            </w:hyperlink>
          </w:p>
        </w:tc>
        <w:tc>
          <w:tcPr>
            <w:tcW w:w="4500" w:type="dxa"/>
            <w:vAlign w:val="bottom"/>
            <w:gridSpan w:val="3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Consent and Second Amendment to Loan and Security</w:t>
              </w:r>
            </w:hyperlink>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gridSpan w:val="36"/>
          </w:tcPr>
          <w:p>
            <w:pPr>
              <w:spacing w:after="0" w:line="182"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Agreement, dated November 1, 2022, by and among Ouster,</w:t>
              </w:r>
            </w:hyperlink>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Inc., Sense Photonics, Inc. and Hercules Capital, Inc.*</w:t>
              </w:r>
            </w:hyperlink>
          </w:p>
        </w:tc>
        <w:tc>
          <w:tcPr>
            <w:tcW w:w="44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12(c)</w:t>
            </w: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Third Amendment to Loan and Security Agreement, dated</w:t>
            </w: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4240" w:type="dxa"/>
            <w:vAlign w:val="bottom"/>
            <w:tcBorders>
              <w:top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FF"/>
              </w:rPr>
              <w:t>February 10, 2023, by and among Ouster, Inc., Hercules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top w:val="single" w:sz="8" w:color="0000FF"/>
              <w:bottom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FF"/>
                <w:w w:val="96"/>
              </w:rPr>
              <w:t>Capital, Inc., and the lenders and guarantors party thereto.</w:t>
            </w:r>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of Voting and Support Agreement, dated November 4,</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2022, by and among Ouster, Inc. and each Velodyne</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stockholder party thereto</w:t>
              </w:r>
            </w:hyperlink>
          </w:p>
        </w:tc>
        <w:tc>
          <w:tcPr>
            <w:tcW w:w="1960" w:type="dxa"/>
            <w:vAlign w:val="bottom"/>
            <w:tcBorders>
              <w:top w:val="single" w:sz="8" w:color="0000FF"/>
            </w:tcBorders>
            <w:gridSpan w:val="10"/>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620" w:type="dxa"/>
            <w:vAlign w:val="bottom"/>
            <w:gridSpan w:val="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hyperlink>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Severance and Change in Control Agreement of</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7"/>
              </w:rPr>
            </w:pPr>
            <w:hyperlink r:id="rId186">
              <w:r>
                <w:rPr>
                  <w:rFonts w:ascii="Times New Roman" w:cs="Times New Roman" w:eastAsia="Times New Roman" w:hAnsi="Times New Roman"/>
                  <w:sz w:val="18"/>
                  <w:szCs w:val="18"/>
                  <w:color w:val="0000FF"/>
                  <w:w w:val="97"/>
                </w:rPr>
                <w:t>Velodyne Lidar, Inc.</w:t>
              </w:r>
            </w:hyperlink>
          </w:p>
        </w:tc>
        <w:tc>
          <w:tcPr>
            <w:tcW w:w="2600" w:type="dxa"/>
            <w:vAlign w:val="bottom"/>
            <w:tcBorders>
              <w:top w:val="single" w:sz="8" w:color="0000FF"/>
            </w:tcBorders>
            <w:gridSpan w:val="17"/>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620" w:type="dxa"/>
            <w:vAlign w:val="bottom"/>
            <w:gridSpan w:val="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Offer Letter, by and between Ouster, Inc. and Darien Spencer,</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dated July 25, 2017</w:t>
              </w:r>
            </w:hyperlink>
          </w:p>
        </w:tc>
        <w:tc>
          <w:tcPr>
            <w:tcW w:w="3060" w:type="dxa"/>
            <w:vAlign w:val="bottom"/>
            <w:tcBorders>
              <w:top w:val="single" w:sz="8" w:color="0000FF"/>
            </w:tcBorders>
            <w:gridSpan w:val="31"/>
          </w:tcPr>
          <w:p>
            <w:pPr>
              <w:spacing w:after="0"/>
              <w:rPr>
                <w:sz w:val="15"/>
                <w:szCs w:val="15"/>
                <w:color w:val="auto"/>
              </w:rPr>
            </w:pPr>
          </w:p>
        </w:tc>
        <w:tc>
          <w:tcPr>
            <w:tcW w:w="20" w:type="dxa"/>
            <w:vAlign w:val="bottom"/>
          </w:tcPr>
          <w:p>
            <w:pPr>
              <w:spacing w:after="0"/>
              <w:rPr>
                <w:sz w:val="15"/>
                <w:szCs w:val="15"/>
                <w:color w:val="auto"/>
              </w:rPr>
            </w:pPr>
          </w:p>
        </w:tc>
      </w:tr>
      <w:tr>
        <w:trPr>
          <w:trHeight w:val="236"/>
        </w:trPr>
        <w:tc>
          <w:tcPr>
            <w:tcW w:w="620" w:type="dxa"/>
            <w:vAlign w:val="bottom"/>
            <w:gridSpan w:val="4"/>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Employment Agreement, by and between Ouster, Inc. and</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Nathan Dickerman, dated March 1, 2021</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620" w:type="dxa"/>
            <w:vAlign w:val="bottom"/>
            <w:gridSpan w:val="4"/>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440" w:type="dxa"/>
            <w:vAlign w:val="bottom"/>
          </w:tcPr>
          <w:p>
            <w:pPr>
              <w:spacing w:after="0"/>
              <w:rPr>
                <w:sz w:val="19"/>
                <w:szCs w:val="19"/>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Executive Employment Agreement by and between Velodyne</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top w:val="single" w:sz="8" w:color="0000FF"/>
            </w:tcBorders>
            <w:gridSpan w:val="34"/>
          </w:tcPr>
          <w:p>
            <w:pPr>
              <w:spacing w:after="0" w:line="182"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Lidar, Inc. and Mark Weinswig, dated May 3, 2022</w:t>
              </w:r>
            </w:hyperlink>
          </w:p>
        </w:tc>
        <w:tc>
          <w:tcPr>
            <w:tcW w:w="40" w:type="dxa"/>
            <w:vAlign w:val="bottom"/>
            <w:gridSpan w:val="2"/>
          </w:tcPr>
          <w:p>
            <w:pPr>
              <w:spacing w:after="0"/>
              <w:rPr>
                <w:sz w:val="15"/>
                <w:szCs w:val="15"/>
                <w:color w:val="auto"/>
              </w:rPr>
            </w:pPr>
          </w:p>
        </w:tc>
      </w:tr>
      <w:tr>
        <w:trPr>
          <w:trHeight w:val="236"/>
        </w:trPr>
        <w:tc>
          <w:tcPr>
            <w:tcW w:w="4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Velodyne Lidar, Inc. 2020 Equity Incentive Plan</w:t>
              </w:r>
            </w:hyperlink>
          </w:p>
        </w:tc>
        <w:tc>
          <w:tcPr>
            <w:tcW w:w="200" w:type="dxa"/>
            <w:vAlign w:val="bottom"/>
            <w:tcBorders>
              <w:top w:val="single" w:sz="8" w:color="0000FF"/>
            </w:tcBorders>
            <w:gridSpan w:val="2"/>
          </w:tcPr>
          <w:p>
            <w:pPr>
              <w:spacing w:after="0"/>
              <w:rPr>
                <w:sz w:val="20"/>
                <w:szCs w:val="20"/>
                <w:color w:val="auto"/>
              </w:rPr>
            </w:pPr>
          </w:p>
        </w:tc>
        <w:tc>
          <w:tcPr>
            <w:tcW w:w="820" w:type="dxa"/>
            <w:vAlign w:val="bottom"/>
            <w:gridSpan w:val="22"/>
          </w:tcPr>
          <w:p>
            <w:pPr>
              <w:spacing w:after="0"/>
              <w:rPr>
                <w:sz w:val="20"/>
                <w:szCs w:val="20"/>
                <w:color w:val="auto"/>
              </w:rPr>
            </w:pPr>
          </w:p>
        </w:tc>
      </w:tr>
      <w:tr>
        <w:trPr>
          <w:trHeight w:val="237"/>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9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Stock Option Agreement under the Velodyne Lidar,</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 2020 Equity Incentive 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Restricted Stock Unit Agreement under the</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4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Velodyne Lidar, Inc. 2020 Equity Incentive Plan.</w:t>
              </w:r>
            </w:hyperlink>
          </w:p>
        </w:tc>
        <w:tc>
          <w:tcPr>
            <w:tcW w:w="8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9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Transaction Agreement, by and between Velodyne Lidar, Inc.</w:t>
              </w:r>
            </w:hyperlink>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2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Amazon.com, Inc., dated as of February 4, 2022.</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2420" w:type="dxa"/>
            <w:vAlign w:val="bottom"/>
            <w:tcBorders>
              <w:top w:val="single" w:sz="8" w:color="0000FF"/>
            </w:tcBorders>
            <w:gridSpan w:val="14"/>
          </w:tcPr>
          <w:p>
            <w:pPr>
              <w:spacing w:after="0"/>
              <w:rPr>
                <w:sz w:val="20"/>
                <w:szCs w:val="20"/>
                <w:color w:val="auto"/>
              </w:rPr>
            </w:pPr>
          </w:p>
        </w:tc>
        <w:tc>
          <w:tcPr>
            <w:tcW w:w="680" w:type="dxa"/>
            <w:vAlign w:val="bottom"/>
            <w:gridSpan w:val="19"/>
          </w:tcPr>
          <w:p>
            <w:pPr>
              <w:spacing w:after="0"/>
              <w:rPr>
                <w:sz w:val="20"/>
                <w:szCs w:val="20"/>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r>
      <w:tr>
        <w:trPr>
          <w:trHeight w:val="236"/>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24.</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Power of Attorney</w:t>
            </w:r>
          </w:p>
        </w:tc>
        <w:tc>
          <w:tcPr>
            <w:tcW w:w="1640" w:type="dxa"/>
            <w:vAlign w:val="bottom"/>
            <w:tcBorders>
              <w:top w:val="single" w:sz="8" w:color="0000FF"/>
            </w:tcBorders>
            <w:gridSpan w:val="9"/>
          </w:tcPr>
          <w:p>
            <w:pPr>
              <w:spacing w:after="0"/>
              <w:rPr>
                <w:sz w:val="20"/>
                <w:szCs w:val="20"/>
                <w:color w:val="auto"/>
              </w:rPr>
            </w:pPr>
          </w:p>
        </w:tc>
        <w:tc>
          <w:tcPr>
            <w:tcW w:w="1520" w:type="dxa"/>
            <w:vAlign w:val="bottom"/>
            <w:gridSpan w:val="25"/>
          </w:tcPr>
          <w:p>
            <w:pPr>
              <w:spacing w:after="0"/>
              <w:rPr>
                <w:sz w:val="20"/>
                <w:szCs w:val="20"/>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w:t>
            </w: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w w:val="99"/>
              </w:rPr>
              <w:t>13a-14(a)/15d-14(a) under the Securities Exchange Act of</w:t>
            </w:r>
          </w:p>
        </w:tc>
        <w:tc>
          <w:tcPr>
            <w:tcW w:w="40" w:type="dxa"/>
            <w:vAlign w:val="bottom"/>
            <w:tcBorders>
              <w:bottom w:val="single" w:sz="8" w:color="0000FF"/>
            </w:tcBorders>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20" w:type="dxa"/>
            <w:vAlign w:val="bottom"/>
            <w:gridSpan w:val="25"/>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20" w:type="dxa"/>
            <w:vAlign w:val="bottom"/>
            <w:gridSpan w:val="10"/>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13a-14(a)/15d-14(a) under the Securities Exchange Act of</w:t>
            </w: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920" w:type="dxa"/>
            <w:vAlign w:val="bottom"/>
            <w:tcBorders>
              <w:top w:val="single" w:sz="8" w:color="0000FF"/>
            </w:tcBorders>
            <w:gridSpan w:val="25"/>
          </w:tcPr>
          <w:p>
            <w:pPr>
              <w:spacing w:after="0"/>
              <w:rPr>
                <w:sz w:val="15"/>
                <w:szCs w:val="15"/>
                <w:color w:val="auto"/>
              </w:rPr>
            </w:pPr>
          </w:p>
        </w:tc>
        <w:tc>
          <w:tcPr>
            <w:tcW w:w="60" w:type="dxa"/>
            <w:vAlign w:val="bottom"/>
            <w:gridSpan w:val="2"/>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20" w:type="dxa"/>
            <w:vAlign w:val="bottom"/>
            <w:gridSpan w:val="10"/>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gridSpan w:val="36"/>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960" w:type="dxa"/>
            <w:vAlign w:val="bottom"/>
            <w:tcBorders>
              <w:top w:val="single" w:sz="8" w:color="0000FF"/>
            </w:tcBorders>
            <w:gridSpan w:val="19"/>
          </w:tcPr>
          <w:p>
            <w:pPr>
              <w:spacing w:after="0"/>
              <w:rPr>
                <w:sz w:val="15"/>
                <w:szCs w:val="15"/>
                <w:color w:val="auto"/>
              </w:rPr>
            </w:pPr>
          </w:p>
        </w:tc>
        <w:tc>
          <w:tcPr>
            <w:tcW w:w="160" w:type="dxa"/>
            <w:vAlign w:val="bottom"/>
            <w:gridSpan w:val="5"/>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r>
      <w:tr>
        <w:trPr>
          <w:trHeight w:val="183"/>
        </w:trPr>
        <w:tc>
          <w:tcPr>
            <w:tcW w:w="3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40" w:type="dxa"/>
            <w:vAlign w:val="bottom"/>
            <w:tcBorders>
              <w:top w:val="single" w:sz="8" w:color="0000FF"/>
            </w:tcBorders>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w:t>
            </w:r>
          </w:p>
        </w:tc>
        <w:tc>
          <w:tcPr>
            <w:tcW w:w="60" w:type="dxa"/>
            <w:vAlign w:val="bottom"/>
            <w:gridSpan w:val="3"/>
          </w:tcPr>
          <w:p>
            <w:pPr>
              <w:spacing w:after="0"/>
              <w:rPr>
                <w:sz w:val="15"/>
                <w:szCs w:val="15"/>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40" w:type="dxa"/>
            <w:vAlign w:val="bottom"/>
            <w:tcBorders>
              <w:top w:val="single" w:sz="8" w:color="0000FF"/>
            </w:tcBorders>
            <w:gridSpan w:val="13"/>
          </w:tcPr>
          <w:p>
            <w:pPr>
              <w:spacing w:after="0"/>
              <w:rPr>
                <w:sz w:val="15"/>
                <w:szCs w:val="15"/>
                <w:color w:val="auto"/>
              </w:rPr>
            </w:pPr>
          </w:p>
        </w:tc>
        <w:tc>
          <w:tcPr>
            <w:tcW w:w="500" w:type="dxa"/>
            <w:vAlign w:val="bottom"/>
            <w:gridSpan w:val="16"/>
          </w:tcPr>
          <w:p>
            <w:pPr>
              <w:spacing w:after="0"/>
              <w:rPr>
                <w:sz w:val="15"/>
                <w:szCs w:val="15"/>
                <w:color w:val="auto"/>
              </w:rPr>
            </w:pPr>
          </w:p>
        </w:tc>
      </w:tr>
      <w:tr>
        <w:trPr>
          <w:trHeight w:val="245"/>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r>
      <w:tr>
        <w:trPr>
          <w:trHeight w:val="203"/>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gridSpan w:val="36"/>
          </w:tcPr>
          <w:p>
            <w:pPr>
              <w:spacing w:after="0" w:line="202"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57"/>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25"/>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500" w:type="dxa"/>
            <w:vAlign w:val="bottom"/>
            <w:gridSpan w:val="36"/>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920" w:val="left"/>
          <w:tab w:leader="none" w:pos="2240" w:val="left"/>
          <w:tab w:leader="none" w:pos="3160" w:val="left"/>
        </w:tabs>
        <w:rPr>
          <w:sz w:val="20"/>
          <w:szCs w:val="20"/>
          <w:color w:val="auto"/>
        </w:rPr>
      </w:pPr>
      <w:r>
        <w:rPr>
          <w:rFonts w:ascii="Times New Roman" w:cs="Times New Roman" w:eastAsia="Times New Roman" w:hAnsi="Times New Roman"/>
          <w:sz w:val="16"/>
          <w:szCs w:val="16"/>
          <w:color w:val="auto"/>
        </w:rPr>
        <w:t>8-K</w:t>
      </w:r>
      <w:r>
        <w:rPr>
          <w:sz w:val="20"/>
          <w:szCs w:val="20"/>
          <w:color w:val="auto"/>
        </w:rPr>
        <w:tab/>
      </w:r>
      <w:r>
        <w:rPr>
          <w:rFonts w:ascii="Times New Roman" w:cs="Times New Roman" w:eastAsia="Times New Roman" w:hAnsi="Times New Roman"/>
          <w:sz w:val="16"/>
          <w:szCs w:val="16"/>
          <w:color w:val="auto"/>
        </w:rPr>
        <w:t>001-39463</w:t>
      </w:r>
      <w:r>
        <w:rPr>
          <w:sz w:val="20"/>
          <w:szCs w:val="20"/>
          <w:color w:val="auto"/>
        </w:rPr>
        <w:tab/>
      </w: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5"/>
          <w:szCs w:val="15"/>
          <w:color w:val="auto"/>
        </w:rPr>
        <w:t>11/7/2022</w:t>
      </w:r>
    </w:p>
    <w:p>
      <w:pPr>
        <w:spacing w:after="0" w:line="200" w:lineRule="exact"/>
        <w:rPr>
          <w:sz w:val="20"/>
          <w:szCs w:val="20"/>
          <w:color w:val="auto"/>
        </w:rPr>
      </w:pPr>
    </w:p>
    <w:p>
      <w:pPr>
        <w:spacing w:after="0" w:line="26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11/7/2022</w:t>
            </w:r>
          </w:p>
        </w:tc>
      </w:tr>
      <w:tr>
        <w:trPr>
          <w:trHeight w:val="661"/>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6/14/2021</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11/8/2022</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001-39463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9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11/8/2022</w:t>
            </w:r>
          </w:p>
        </w:tc>
      </w:tr>
      <w:tr>
        <w:trPr>
          <w:trHeight w:val="418"/>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7"/>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11/9/2022</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10/5/2020</w:t>
            </w:r>
          </w:p>
        </w:tc>
      </w:tr>
      <w:tr>
        <w:trPr>
          <w:trHeight w:val="257"/>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10/5/2020</w:t>
            </w:r>
          </w:p>
        </w:tc>
      </w:tr>
      <w:tr>
        <w:trPr>
          <w:trHeight w:val="459"/>
        </w:trPr>
        <w:tc>
          <w:tcPr>
            <w:tcW w:w="620" w:type="dxa"/>
            <w:vAlign w:val="bottom"/>
          </w:tcPr>
          <w:p>
            <w:pPr>
              <w:jc w:val="center"/>
              <w:ind w:right="239"/>
              <w:spacing w:after="0"/>
              <w:rPr>
                <w:sz w:val="20"/>
                <w:szCs w:val="20"/>
                <w:color w:val="auto"/>
              </w:rPr>
            </w:pPr>
            <w:r>
              <w:rPr>
                <w:rFonts w:ascii="Times New Roman" w:cs="Times New Roman" w:eastAsia="Times New Roman" w:hAnsi="Times New Roman"/>
                <w:sz w:val="16"/>
                <w:szCs w:val="16"/>
                <w:color w:val="auto"/>
                <w:w w:val="98"/>
              </w:rPr>
              <w:t>S-8</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333-269748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99.1(b)</w:t>
            </w:r>
          </w:p>
        </w:tc>
        <w:tc>
          <w:tcPr>
            <w:tcW w:w="9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2/14/2023</w:t>
            </w:r>
          </w:p>
        </w:tc>
      </w:tr>
      <w:tr>
        <w:trPr>
          <w:trHeight w:val="459"/>
        </w:trPr>
        <w:tc>
          <w:tcPr>
            <w:tcW w:w="62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w w:val="96"/>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001-38703</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92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8"/>
              </w:rPr>
              <w:t>2/7/2022</w:t>
            </w:r>
          </w:p>
        </w:tc>
      </w:tr>
    </w:tbl>
    <w:p>
      <w:pPr>
        <w:spacing w:after="0" w:line="24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2">
            <w:col w:w="5760" w:space="200"/>
            <w:col w:w="4800"/>
          </w:cols>
          <w:pgMar w:left="320" w:top="198" w:right="819" w:bottom="1440" w:gutter="0" w:footer="0" w:header="0"/>
          <w:type w:val="continuous"/>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20" w:type="dxa"/>
            <w:vAlign w:val="bottom"/>
          </w:tcPr>
          <w:p>
            <w:pPr>
              <w:spacing w:after="0"/>
              <w:rPr>
                <w:sz w:val="20"/>
                <w:szCs w:val="20"/>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Document</w:t>
            </w:r>
          </w:p>
        </w:tc>
        <w:tc>
          <w:tcPr>
            <w:tcW w:w="2680" w:type="dxa"/>
            <w:vAlign w:val="bottom"/>
          </w:tcPr>
          <w:p>
            <w:pPr>
              <w:spacing w:after="0"/>
              <w:rPr>
                <w:sz w:val="20"/>
                <w:szCs w:val="20"/>
                <w:color w:val="auto"/>
              </w:rPr>
            </w:pPr>
          </w:p>
        </w:tc>
      </w:tr>
      <w:tr>
        <w:trPr>
          <w:trHeight w:val="225"/>
        </w:trPr>
        <w:tc>
          <w:tcPr>
            <w:tcW w:w="72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w:t>
            </w:r>
          </w:p>
        </w:tc>
        <w:tc>
          <w:tcPr>
            <w:tcW w:w="2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20" w:type="dxa"/>
            <w:vAlign w:val="bottom"/>
          </w:tcPr>
          <w:p>
            <w:pPr>
              <w:spacing w:after="0"/>
              <w:rPr>
                <w:sz w:val="20"/>
                <w:szCs w:val="20"/>
                <w:color w:val="auto"/>
              </w:rPr>
            </w:pPr>
          </w:p>
        </w:tc>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268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ind w:left="520" w:right="100" w:hanging="494"/>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200" w:lineRule="exact"/>
        <w:rPr>
          <w:sz w:val="20"/>
          <w:szCs w:val="20"/>
          <w:color w:val="auto"/>
        </w:rPr>
      </w:pPr>
    </w:p>
    <w:p>
      <w:pPr>
        <w:spacing w:after="0" w:line="286" w:lineRule="exact"/>
        <w:rPr>
          <w:sz w:val="20"/>
          <w:szCs w:val="20"/>
          <w:color w:val="auto"/>
        </w:rPr>
      </w:pPr>
    </w:p>
    <w:p>
      <w:pPr>
        <w:ind w:left="520" w:hanging="494"/>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Regulation S-K, Item 601(b)(10).</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4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a 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98" w:right="8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FF"/>
        </w:rPr>
      </w:pPr>
      <w:hyperlink r:id="rId95">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78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Ouster, Inc.</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2023</w:t>
            </w: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Weinswig</w:t>
            </w:r>
          </w:p>
        </w:tc>
      </w:tr>
      <w:tr>
        <w:trPr>
          <w:trHeight w:val="218"/>
        </w:trPr>
        <w:tc>
          <w:tcPr>
            <w:tcW w:w="3400" w:type="dxa"/>
            <w:vAlign w:val="bottom"/>
          </w:tcPr>
          <w:p>
            <w:pPr>
              <w:spacing w:after="0"/>
              <w:rPr>
                <w:sz w:val="18"/>
                <w:szCs w:val="18"/>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Weinswig</w:t>
            </w:r>
          </w:p>
        </w:tc>
      </w:tr>
      <w:tr>
        <w:trPr>
          <w:trHeight w:val="203"/>
        </w:trPr>
        <w:tc>
          <w:tcPr>
            <w:tcW w:w="34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61"/>
        </w:trPr>
        <w:tc>
          <w:tcPr>
            <w:tcW w:w="3400" w:type="dxa"/>
            <w:vAlign w:val="bottom"/>
          </w:tcPr>
          <w:p>
            <w:pPr>
              <w:spacing w:after="0"/>
              <w:rPr>
                <w:sz w:val="22"/>
                <w:szCs w:val="22"/>
                <w:color w:val="auto"/>
              </w:rPr>
            </w:pPr>
          </w:p>
        </w:tc>
        <w:tc>
          <w:tcPr>
            <w:tcW w:w="25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Angus Pacala</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Co-Founder and Chief Executive Officer (Principal Executive</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Angus Pacala</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Mark Weinswig</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46"/>
        </w:trPr>
        <w:tc>
          <w:tcPr>
            <w:tcW w:w="3240" w:type="dxa"/>
            <w:vAlign w:val="bottom"/>
            <w:tcBorders>
              <w:bottom w:val="single" w:sz="8" w:color="auto"/>
            </w:tcBorders>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 Weinswig</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Theodore L. Tewksbury, Ph.D.</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Virginia Boulet</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Susan Heystee</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Ernest Maddock</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Karin Rådström</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Kristin Slanina</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Riaz Valani</w:t>
            </w:r>
          </w:p>
        </w:tc>
        <w:tc>
          <w:tcPr>
            <w:tcW w:w="5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Mark Weinswig,</w:t>
            </w:r>
          </w:p>
        </w:tc>
        <w:tc>
          <w:tcPr>
            <w:tcW w:w="526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March 24, 2023</w:t>
            </w:r>
          </w:p>
        </w:tc>
        <w:tc>
          <w:tcPr>
            <w:tcW w:w="0" w:type="dxa"/>
            <w:vAlign w:val="bottom"/>
          </w:tcPr>
          <w:p>
            <w:pPr>
              <w:spacing w:after="0"/>
              <w:rPr>
                <w:sz w:val="1"/>
                <w:szCs w:val="1"/>
                <w:color w:val="auto"/>
              </w:rPr>
            </w:pPr>
          </w:p>
        </w:tc>
      </w:tr>
      <w:tr>
        <w:trPr>
          <w:trHeight w:val="231"/>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 Attorney in Fact</w:t>
            </w:r>
          </w:p>
        </w:tc>
        <w:tc>
          <w:tcPr>
            <w:tcW w:w="5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Mark Weinswig,</w:t>
            </w:r>
          </w:p>
        </w:tc>
        <w:tc>
          <w:tcPr>
            <w:tcW w:w="5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 Attorney in Fact</w:t>
            </w:r>
          </w:p>
        </w:tc>
        <w:tc>
          <w:tcPr>
            <w:tcW w:w="5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20"/>
          </w:cols>
          <w:pgMar w:left="320" w:top="198" w:right="3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378" w:lineRule="exact"/>
        <w:rPr>
          <w:sz w:val="20"/>
          <w:szCs w:val="20"/>
          <w:color w:val="auto"/>
        </w:rPr>
      </w:pPr>
    </w:p>
    <w:p>
      <w:pPr>
        <w:ind w:right="700"/>
        <w:spacing w:after="0" w:line="305" w:lineRule="auto"/>
        <w:rPr>
          <w:sz w:val="20"/>
          <w:szCs w:val="20"/>
          <w:color w:val="auto"/>
        </w:rPr>
      </w:pPr>
      <w:r>
        <w:rPr>
          <w:rFonts w:ascii="Times New Roman" w:cs="Times New Roman" w:eastAsia="Times New Roman" w:hAnsi="Times New Roman"/>
          <w:sz w:val="18"/>
          <w:szCs w:val="18"/>
          <w:color w:val="auto"/>
        </w:rPr>
        <w:t>The following description of the terms of our capital stock and warrants is not complete and is qualified in its entirety by reference to our Restated Certificate of Incorporation, as amended (the “Certificate of Incorporation”), our Amended and Restated Bylaws (the “Bylaws”) and the warrant agreement, all of which are attached as exhibits to our Annual Report on Form 10-K.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Capitalization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8"/>
          <w:szCs w:val="18"/>
          <w:color w:val="auto"/>
        </w:rPr>
        <w:t>The total amount of our authorized capital stock consists of 1,000,000,000 shares of common stock, par value $0.0001 per share, and 100,000,000 shares of preferred stock, par value $0.0001 per share.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4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Our board of directors (the “Board”) has authority to issue shares of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Delaware General Corporation Law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our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60"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Our common stock does not entitle its holders to preemptive or other similar subscription rights to purchase any of our securities. Our common stock is neither convertible nor redeemable. Unless our Board determines otherwise, we will issue all of our capital stock in uncertificated form.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4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Each holder of our common stock is entitled to one vote per share on each matter submitted to a vote of stockholders, as provided by the Certificate of Incorporation. The Bylaws provide that the holders of a majority of the capital stock issued and outstanding and entitled to vote thereat, present in person, or by remote communication, if applicable, or represented by proxy, will constitute a quorum at all meetings of the stockholders for the transaction of business. When a quorum is present, the affirmative vote of a majority of the votes cast is required to take action, unless otherwise specified by law, the Bylaws or the Certificate of Incorporation, and except for the election of directors, which is determined by a plurality vote. There are no cumulative voting rights.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60" w:lineRule="exact"/>
        <w:rPr>
          <w:sz w:val="20"/>
          <w:szCs w:val="20"/>
          <w:color w:val="auto"/>
        </w:rPr>
      </w:pPr>
    </w:p>
    <w:p>
      <w:pPr>
        <w:jc w:val="both"/>
        <w:ind w:right="60"/>
        <w:spacing w:after="0" w:line="305" w:lineRule="auto"/>
        <w:rPr>
          <w:sz w:val="20"/>
          <w:szCs w:val="20"/>
          <w:color w:val="auto"/>
        </w:rPr>
      </w:pPr>
      <w:r>
        <w:rPr>
          <w:rFonts w:ascii="Times New Roman" w:cs="Times New Roman" w:eastAsia="Times New Roman" w:hAnsi="Times New Roman"/>
          <w:sz w:val="18"/>
          <w:szCs w:val="18"/>
          <w:color w:val="auto"/>
        </w:rPr>
        <w:t>Each holder of shares of our capital stock is entitled to the payment of dividends and other distributions as may be declared by Board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ectPr>
          <w:pgSz w:w="11900" w:h="16838" w:orient="portrait"/>
          <w:cols w:equalWidth="0" w:num="1">
            <w:col w:w="11240"/>
          </w:cols>
          <w:pgMar w:left="320" w:top="104" w:right="339" w:bottom="1440" w:gutter="0" w:footer="0" w:header="0"/>
        </w:sectPr>
      </w:pPr>
    </w:p>
    <w:bookmarkStart w:id="118" w:name="page119"/>
    <w:bookmarkEnd w:id="118"/>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6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The rights of each holder of our common stock are subject to, and may be adversely affected by, the rights of the holders of any series of our preferred stock that we may designate and issue in the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46" w:lineRule="exact"/>
        <w:rPr>
          <w:sz w:val="20"/>
          <w:szCs w:val="20"/>
          <w:color w:val="auto"/>
        </w:rPr>
      </w:pPr>
    </w:p>
    <w:p>
      <w:pPr>
        <w:ind w:right="20"/>
        <w:spacing w:after="0" w:line="362" w:lineRule="auto"/>
        <w:rPr>
          <w:sz w:val="20"/>
          <w:szCs w:val="20"/>
          <w:color w:val="auto"/>
        </w:rPr>
      </w:pPr>
      <w:r>
        <w:rPr>
          <w:rFonts w:ascii="Times New Roman" w:cs="Times New Roman" w:eastAsia="Times New Roman" w:hAnsi="Times New Roman"/>
          <w:sz w:val="17"/>
          <w:szCs w:val="17"/>
          <w:color w:val="auto"/>
        </w:rPr>
        <w:t>If we are involved in voluntary or involuntary liquidation, dissolution or winding up of our affairs, or a similar event, each holder of our common stock will participate pro rata in all assets remaining after payment of liabilities, subject to prior distribution rights of our preferred stock, if any, then outstanding.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the Certificate of Incorporation and the Bylaws</w:t>
      </w:r>
    </w:p>
    <w:p>
      <w:pPr>
        <w:spacing w:after="0" w:line="162"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Certificate of Incorporation and the Bylaws contain provisions that may delay, defer or discourage another party from acquiring control of our company. We expect that these provisions, which are summarized below, will discourage coercive takeover practices or inadequate takeover bids. These provisions are also designed to encourage persons seeking to acquire control of our company to first negotiate with the Board, which we believe may result in an improvement of the terms of any such acquisition in favor of our stockholders. However, they also give the Board the power to discourage mergers that some stockholders may favor.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62"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auto"/>
        </w:rPr>
        <w:t>The Certificate of Incorporation provides that a special meeting of stockholders may be called by (a) the Chairperson of the Board, (b) the Board, (c) our Chief Executive Officer or (d) our President, provided that such special meeting may be postponed, rescheduled or cancelled by the Board or other person calling the special meeting.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48" w:lineRule="exact"/>
        <w:rPr>
          <w:sz w:val="20"/>
          <w:szCs w:val="20"/>
          <w:color w:val="auto"/>
        </w:rPr>
      </w:pPr>
    </w:p>
    <w:p>
      <w:pPr>
        <w:ind w:right="400"/>
        <w:spacing w:after="0" w:line="329" w:lineRule="auto"/>
        <w:rPr>
          <w:sz w:val="20"/>
          <w:szCs w:val="20"/>
          <w:color w:val="auto"/>
        </w:rPr>
      </w:pPr>
      <w:r>
        <w:rPr>
          <w:rFonts w:ascii="Times New Roman" w:cs="Times New Roman" w:eastAsia="Times New Roman" w:hAnsi="Times New Roman"/>
          <w:sz w:val="18"/>
          <w:szCs w:val="18"/>
          <w:color w:val="auto"/>
        </w:rPr>
        <w:t>The Certificate of Incorporation provides that any action required or permitted to be taken by our stockholders must be effected at an annual or special meeting of the stockholders, and may not be taken by written consent in lieu of a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6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Our Certificate of Incorporation provides that our Board is divided into three classes, with the classes as nearly equal in number as possible and each class serving three-year staggered terms. The Board or any individual director may be removed from office at any time, but only for cause and only by the affirmative vote of the holders of at least a majority of the voting power of all of the then outstanding shares of our voting stock entitled to vote at an election of directors.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 and Vacancies</w:t>
      </w:r>
    </w:p>
    <w:p>
      <w:pPr>
        <w:spacing w:after="0" w:line="14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the number of directors of our Board is fixed exclusively by the Board. Our Board is divided into three classes, designated Class I, II and III, with each class to be elected by our stockholders every three years.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Certificate of Incorporation and Bylaws</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Our Board is expressly authorized to adopt, amend or repeal the Bylaws, subject to the power of our stockholders entitled to vote with respect thereto to adopt, amend or repeal the Bylaws. Our stockholders have the power to adopt, amend or repeal the Bylaws; provided, that in addition to any vote of the holders of any class or series of our stock required by applicable law or by our Certificate of Incorporation or Bylaws, the adoption, amendment or repeal of our Bylaws by our stockholders shall require the affirmative vote of the holders of at least two-thirds of the voting power of all of the then outstanding shares of our voting stock entitled to vote generally in an election of directors.</w:t>
      </w:r>
    </w:p>
    <w:p>
      <w:pPr>
        <w:spacing w:after="0" w:line="83"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8"/>
          <w:szCs w:val="18"/>
          <w:color w:val="auto"/>
        </w:rPr>
        <w:t>Additionally, the vote of at least 66 2/3% of the total voting power of our outstanding shares entitled to vote thereon, voting together as a single class, is required to amend certain provisions of our Certificate of Incorporation, including those relating to the terms of our authorized preferred stock (Article V(B)), the authority and composition of our Board (Article VII), special meetings of our stockholders and the ability of our stockholders to act by written consent (Article VIII), limitation of liability of our directors (Article IX), restrictions similar to Section 203 of the DGCL (Article X), our obligation to indemnify our directors and officers to the fullest extent permitted by law (Article XI), exclusive jurisdiction of certain legal proceedings involving our stockholders (Article XII).</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48"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(a) the board of directors of such corporation approves the acquisition of stock or the merger transaction before the time that the person becomes an interested stockholder, (b) the interested stockholder owns at least 85% of the outstanding voting stock of such corporation at the time the merger transaction commences (excluding voting stock owned by directors who are also officers and certain employee stock plans), or (c) the merger transaction is approved by the board of directors and at a meeting of stockholders, not by written consent, by the affirmative vote of at least two-thirds of the outstanding voting stock which is not owned by the interested stockholder. A Delaware corporation may elect in its certificate of incorporation or bylaws not to be governed by this particular Delaware law. Under the Certificate of Incorporation, we have opted out of Section 203 of the DGCL, but the Certificate of Incorporation provides other similar restrictions regarding takeovers by interested stockholders.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Officers and Directors</w:t>
      </w:r>
    </w:p>
    <w:p>
      <w:pPr>
        <w:spacing w:after="0" w:line="16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The Certificate of Incorporation provides that we are to indemnify our directors to the fullest extent authorized or permitted by applicable law. We have entered and expect to continue to enter into agreements to indemnify our directors, executive officers and other employees as determined by the Board. Under the Bylaws, we are required to indemnify each of our directors and officers if the basis of the indemnitee’s involvement was by reason of the fact that the indemnitee is or was our director or officer or was serving at our request as a director, officer, employee or agent for another entity. We must indemnify our officers and directors against all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our best interests, and, with respect to any criminal action or proceeding, had no reasonable cause to believe the indemnitee’s conduct was unlawful. The Bylaws also require us to advance expenses (including attorneys’ fees) incurred by a director or officer in defending any civil, criminal, administrative or investigative action, suit or proceeding, provided that such person will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p>
    <w:p>
      <w:pPr>
        <w:spacing w:after="0" w:line="16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Our Certificate of Incorporation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will be the sole and exclusive forum for (i) any derivative action, suit or proceeding brought on our behalf, (ii) any action, suit or proceeding asserting a claim of breach of a fiduciary duty owed by any of our directors, officers or stockholders to us or our stockholders, (iii) any action, suit or proceeding arising pursuant to any provision of the DGCL or the Bylaws or the Certificate of Incorporation (as each may be amended from time to time), (iv) any action, suit or proceeding as to which the DGCL confers jurisdiction on the Court of Chancery of the State of Delaware, or (v) any action, suit or proceeding asserting a claim against us or any current or former director, officer or stockholder governed by the internal affairs doctrine, and, if brought outside of Delaware, the stockholder bringing the suit will be deemed to have consented to (a) the personal jurisdiction of the state and federal courts in the State of Delaware in connection with any action brought in any such court to enforce the exclusive jurisdiction provisions of the Certificate of Incorporation and (b) service of process on such stockholder’s counsel.</w:t>
      </w:r>
    </w:p>
    <w:p>
      <w:pPr>
        <w:spacing w:after="0" w:line="8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these provisions would benefit us by providing increased consistency in the application of applicable law in the types of lawsuits to which they apply, these provisions may have the effect of discouraging lawsuits against our directors and officers.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4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Public warrants refers to the Company’s warrants that were offered and sold in the Company’s initial public offering pursuant to a registration statement. As of December 31, 2021, there were 15,999,990, public warrants outstanding. Each whole public warrant entitles the registered holder to purchase one share of our common stock at a price of $11.50 per share, subject to adjustment as discussed below, provided that there is an effective registration statement under the Securities Act covering the shares of our common stock issuable upon exercise of the warrants and a current prospectus relating to them available (or we permit holders to exercise their warrants on a cashless basis</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9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on March 11, 2026 at 5:00 p.m., New York City time, or earlier upon redemption or liquidation.</w:t>
      </w:r>
    </w:p>
    <w:p>
      <w:pPr>
        <w:spacing w:after="0" w:line="6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warrant and have no obligation to settle such warrant exercise unless a registration statement under the Securities Act with respect to the shares of our common stock underlying the warrants is then effective and a prospectus relating thereto is current, subject to us satisfying our obligations described below with respect to registration. No warrant will be exercisable and we will not be obligated to issue a share of common stock upon exercise of a warrant unless the shares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8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We have agreed to maintain the effectiveness of a registration statement covering the issuance, under the Securities Act, of the shares of common stock issuable upon exercise of the warrants, and a current prospectus relating thereto, until the expiration of the warrants in accordance with the provisions of the warrant agreement. Notwithstanding the above, if the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maintain in effect a registration statement, and in the event we do not so elect, we will be obligated to use our best efforts to register or qualify the shares under applicable blue sky laws to the extent an exemption is not available.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the warrants for redemption:</w:t>
      </w:r>
    </w:p>
    <w:p>
      <w:pPr>
        <w:spacing w:after="0" w:line="63" w:lineRule="exact"/>
        <w:rPr>
          <w:sz w:val="20"/>
          <w:szCs w:val="20"/>
          <w:color w:val="auto"/>
        </w:rPr>
      </w:pPr>
    </w:p>
    <w:p>
      <w:pPr>
        <w:ind w:left="1100" w:hanging="507"/>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387" w:lineRule="exact"/>
        <w:rPr>
          <w:rFonts w:ascii="Times New Roman" w:cs="Times New Roman" w:eastAsia="Times New Roman" w:hAnsi="Times New Roman"/>
          <w:sz w:val="18"/>
          <w:szCs w:val="18"/>
          <w:color w:val="auto"/>
        </w:rPr>
      </w:pPr>
    </w:p>
    <w:p>
      <w:pPr>
        <w:ind w:left="1100" w:hanging="507"/>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373" w:lineRule="exact"/>
        <w:rPr>
          <w:rFonts w:ascii="Times New Roman" w:cs="Times New Roman" w:eastAsia="Times New Roman" w:hAnsi="Times New Roman"/>
          <w:sz w:val="18"/>
          <w:szCs w:val="18"/>
          <w:color w:val="auto"/>
        </w:rPr>
      </w:pPr>
    </w:p>
    <w:p>
      <w:pPr>
        <w:ind w:left="1100" w:hanging="507"/>
        <w:spacing w:after="0"/>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warrantholder; and</w:t>
      </w:r>
    </w:p>
    <w:p>
      <w:pPr>
        <w:spacing w:after="0" w:line="387" w:lineRule="exact"/>
        <w:rPr>
          <w:rFonts w:ascii="Times New Roman" w:cs="Times New Roman" w:eastAsia="Times New Roman" w:hAnsi="Times New Roman"/>
          <w:sz w:val="18"/>
          <w:szCs w:val="18"/>
          <w:color w:val="auto"/>
        </w:rPr>
      </w:pPr>
    </w:p>
    <w:p>
      <w:pPr>
        <w:ind w:left="1100" w:right="120" w:hanging="507"/>
        <w:spacing w:after="0" w:line="231" w:lineRule="auto"/>
        <w:tabs>
          <w:tab w:leader="none" w:pos="1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closing price of our common stock equals or exceeds $18.00 per share (as adjusted for stock splits, stock dividends, reorganizations, recapitalizations and the like) for any 20 trading days within a 30 trading-day period ending three business days before we send the notice of redemption to the warrantholders.</w:t>
      </w:r>
    </w:p>
    <w:p>
      <w:pPr>
        <w:spacing w:after="0" w:line="199"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our redemption right even if we are unable to register or qualify the underlying securities for sale under all applicable state securities laws.</w:t>
      </w:r>
    </w:p>
    <w:p>
      <w:pPr>
        <w:spacing w:after="0" w:line="68" w:lineRule="exact"/>
        <w:rPr>
          <w:sz w:val="20"/>
          <w:szCs w:val="20"/>
          <w:color w:val="auto"/>
        </w:rPr>
      </w:pPr>
    </w:p>
    <w:p>
      <w:pPr>
        <w:jc w:val="both"/>
        <w:ind w:right="200"/>
        <w:spacing w:after="0" w:line="297"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warrants, each warrant holder will be entitled to exercise his, her or its warrant prior to the scheduled redemption date. However, the price of our common stock may fall below the $18.00 redemption trigger price (as adjusted for stock splits, stock dividends, reorganizations, recapitalizations and the like) as well as the $11.50 warrant exercise price after the redemption notice is issued.</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9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Board will have the option to require any holder that wishes to exercise his, her or its warrant to do so on a “cashless basis.” In determining whether to require all holders to exercise their warrants on a “cashless basis,” our management may consider, among other factors, our cash position, the number of warrants that are outstanding and the dilutive effect on our stockholders of issuing the maximum number of shares of common stock issuable upon the exercise of the warrants. If we takes advantage of this option, all holders of warrants would pay the exercise price by surrendering their warrants for that number of shares of common stock equal to the quotient obtained by dividing (a) the product of the number of shares of common stock underlying the warrants, multiplied by the excess of the “fair market value” (defined below) over the exercise price of the warrants by (b) the fair market value. The “fair market value” will mean the average reported closing price of the shares of common stock for the 10 trading days ending on the third trading day prior to the date on which the notice of redemption is sent to the holders of warrants. If we take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If we call the warrants for redemption and do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specified by the holder) of the shares of our common stock outstanding immediately after giving effect to such exercise.</w:t>
      </w:r>
    </w:p>
    <w:p>
      <w:pPr>
        <w:spacing w:after="0" w:line="10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increased by a stock dividend payable in shares of our common stock, or by a split-up or other similar event, then, on the effective date of stock dividend, split-up or similar event, the number of shares of common stock issuable on exercise of each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(a) the number of shares of common stock actually sold in such rights offering (or issuable under any other equity securities sold in such rights offering that are convertible into or exercisable for shares of our common stock) and (b) the quotient of (i) the price per share of our common stock paid in such rights offering and (ii) the fair market value. For these purposes (a)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(b) fair market value means the volume 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spacing w:after="0" w:line="9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shares of our common stock on account of such shares of common stock (or other securities into which the warrants are convertible), other than as described above or certain ordinary cash dividends, then the warrant exercise price will be decreased, effective immediately after the effective date of such event, by the amount of cash and/or the fair market value of any securities or other assets paid on each share of our common stock in respect of such event.</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99"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our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our common stock.</w:t>
      </w:r>
    </w:p>
    <w:p>
      <w:pPr>
        <w:spacing w:after="0" w:line="65" w:lineRule="exact"/>
        <w:rPr>
          <w:sz w:val="20"/>
          <w:szCs w:val="20"/>
          <w:color w:val="auto"/>
        </w:rPr>
      </w:pPr>
    </w:p>
    <w:p>
      <w:pPr>
        <w:jc w:val="both"/>
        <w:ind w:right="120"/>
        <w:spacing w:after="0" w:line="302" w:lineRule="auto"/>
        <w:rPr>
          <w:sz w:val="20"/>
          <w:szCs w:val="20"/>
          <w:color w:val="auto"/>
        </w:rPr>
      </w:pPr>
      <w:r>
        <w:rPr>
          <w:rFonts w:ascii="Times New Roman" w:cs="Times New Roman" w:eastAsia="Times New Roman" w:hAnsi="Times New Roman"/>
          <w:sz w:val="18"/>
          <w:szCs w:val="18"/>
          <w:color w:val="auto"/>
        </w:rPr>
        <w:t>Whenever the number of shares of our common stock purchasable upon the exercise of the warrants is adjusted, as described above, the warrant exercise price will be adjusted by multiplying the warrant exercise price immediately prior to such adjustment by a fraction (a) the numerator of which will be the number of shares of common stock purchasable upon the exercise of the warrants immediately prior to such adjustment, and (b) the denominator of which will be the number of shares of common stock so purchasable immediately thereafter.</w:t>
      </w:r>
    </w:p>
    <w:p>
      <w:pPr>
        <w:spacing w:after="0" w:line="6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our company with or into another corporation (other than a consolidation or merger in which we are the continuing corporation and that does not result in any reclassification or reorganization of the issued and outstanding shares of our common stock), or in the case of any sale or conveyance to another corporation or entity of the assets or other property of our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shares of our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8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The warrants are issued in registered form under a warrant agreement between Continental Stock Transfer &amp; Trust Company, as warrant agent, and us. The warrant agreement provides that the terms of the warrants may be amended without the consent of any holder for the purpose of (a) curing any ambiguity or to correct any defective provision, (b) adjusting the provisions relating to cash dividends on shares of our common stock as contemplated by and in accordance with the warrant agreement or (c) adding or changing any other provisions with respect to matters or questions arising under the warrant agreement as the parties to the warrant agreement may deem necessary or desirable and that the parties deem to not adversely affect the interests of the registered holders of the warrants. All other modifications or amendments will require the approval by the holders of at least 50% of the then-outstanding public warrants and, solely with respect to any amendment to the terms of the private placement warrants, 50% of the then outstanding private placement warrants. You should review a copy of the warrant agreement, which is filed as an exhibit to our Annual Report on Form 10-K, for a complete description of the terms and conditions applicable to the warrants.</w:t>
      </w:r>
    </w:p>
    <w:p>
      <w:pPr>
        <w:spacing w:after="0" w:line="88"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99"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18"/>
          <w:szCs w:val="18"/>
          <w:color w:val="auto"/>
        </w:rPr>
        <w:t>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our common stock and any voting rights until they exercise their warrants and receive shares of our common stock. After the issuance of shares of our common stock upon exercise of the warrants, each holder will be entitled to one vote for each share held of record on all matters to be voted on by stockholders.</w:t>
      </w:r>
    </w:p>
    <w:p>
      <w:pPr>
        <w:spacing w:after="0" w:line="65"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our common stock to be issued to the warrantholder.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6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Private placement warrants refers to the warrants issued in a private placement to Colonnade Sponsor LLC (the “Sponsor”). As of December 31, 2021, there were 6,000,000 private placement warrants outstanding. The private placement warrants (including the shares of our common stock issuable upon exercise of such warrants) will not be redeemable by us so long as they are held by the Sponsor, members of the Sponsor or their permitted transferees. The Sponsor or its permitted transferees have the option to exercise the private placement warrants on a cashless basis. Except as described below, the private placement warrants have terms and provisions that are identical to those of the public warrants, including as to exercise price, exercisability and exercise period. If the private placement warrants are held by holders other than the Sponsor or its permitted transferees, the private placement warrants will be redeemable by us and exercisable by the holders on the same basis as the public warrants.</w:t>
      </w:r>
    </w:p>
    <w:p>
      <w:pPr>
        <w:spacing w:after="0" w:line="7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our common stock equal to the quotient obtained by dividing (a) the product of the number of shares of our common stock underlying the warrants, multiplied by the excess of the “fair market value” (defined below) over the exercise price of the warrants by (b) the fair market value. The “fair market value” will mean the average reported closing price of the shares of our common stock for the 10 trading days ending on the third trading day prior to the date on which the notice of warrant exercise is sent to the warrant agent.</w:t>
      </w:r>
    </w:p>
    <w:p>
      <w:pPr>
        <w:sectPr>
          <w:pgSz w:w="11900" w:h="16838" w:orient="portrait"/>
          <w:cols w:equalWidth="0" w:num="1">
            <w:col w:w="11220"/>
          </w:cols>
          <w:pgMar w:left="320" w:top="1440" w:right="359" w:bottom="1440" w:gutter="0" w:footer="0" w:header="0"/>
        </w:sectPr>
      </w:pPr>
    </w:p>
    <w:bookmarkStart w:id="125" w:name="page126"/>
    <w:bookmarkEnd w:id="12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OUSTER, INC.</w:t>
      </w:r>
    </w:p>
    <w:p>
      <w:pPr>
        <w:jc w:val="center"/>
        <w:ind w:right="60"/>
        <w:spacing w:after="0" w:line="204" w:lineRule="auto"/>
        <w:rPr>
          <w:sz w:val="20"/>
          <w:szCs w:val="20"/>
          <w:color w:val="auto"/>
        </w:rPr>
      </w:pPr>
      <w:r>
        <w:rPr>
          <w:rFonts w:ascii="Times New Roman" w:cs="Times New Roman" w:eastAsia="Times New Roman" w:hAnsi="Times New Roman"/>
          <w:sz w:val="22"/>
          <w:szCs w:val="22"/>
          <w:b w:val="1"/>
          <w:bCs w:val="1"/>
          <w:color w:val="auto"/>
        </w:rPr>
        <w:t>SECOND AMENDED AND RESTATED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200" w:lineRule="exact"/>
        <w:rPr>
          <w:sz w:val="20"/>
          <w:szCs w:val="20"/>
          <w:color w:val="auto"/>
        </w:rPr>
      </w:pPr>
    </w:p>
    <w:p>
      <w:pPr>
        <w:spacing w:after="0" w:line="219"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2"/>
          <w:szCs w:val="22"/>
          <w:color w:val="auto"/>
        </w:rPr>
        <w:t>This Ouster,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Second Amended and Restated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has been adopted under the Company’s 2021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amends and restates in its entirety the Amended and Restated Non-Employee Director Compensation Program. This Program shall be effective as of February 9,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not otherwise defined herein shall have the meaning ascribed in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Cash Compensation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upon the Effective Date, annual retainers will be paid in the following amounts to Non-Employee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Board Service</w: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720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Non-Employee Director</w:t>
            </w:r>
          </w:p>
        </w:tc>
        <w:tc>
          <w:tcPr>
            <w:tcW w:w="2140" w:type="dxa"/>
            <w:vAlign w:val="bottom"/>
            <w:tcBorders>
              <w:top w:val="single" w:sz="8" w:color="auto"/>
              <w:bottom w:val="single" w:sz="8" w:color="auto"/>
              <w:right w:val="single" w:sz="8" w:color="auto"/>
            </w:tcBorders>
          </w:tcPr>
          <w:p>
            <w:pPr>
              <w:spacing w:after="0"/>
              <w:rPr>
                <w:sz w:val="23"/>
                <w:szCs w:val="23"/>
                <w:color w:val="auto"/>
              </w:rPr>
            </w:pPr>
          </w:p>
        </w:tc>
        <w:tc>
          <w:tcPr>
            <w:tcW w:w="19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$40,000</w:t>
            </w:r>
          </w:p>
        </w:tc>
      </w:tr>
      <w:tr>
        <w:trPr>
          <w:trHeight w:val="263"/>
        </w:trPr>
        <w:tc>
          <w:tcPr>
            <w:tcW w:w="72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Chair of the Board</w:t>
            </w:r>
          </w:p>
        </w:tc>
        <w:tc>
          <w:tcPr>
            <w:tcW w:w="21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$60,000</w:t>
            </w:r>
          </w:p>
        </w:tc>
      </w:tr>
      <w:tr>
        <w:trPr>
          <w:trHeight w:val="263"/>
        </w:trPr>
        <w:tc>
          <w:tcPr>
            <w:tcW w:w="72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Lead Director</w:t>
            </w:r>
          </w:p>
        </w:tc>
        <w:tc>
          <w:tcPr>
            <w:tcW w:w="214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$60,000</w:t>
            </w:r>
          </w:p>
        </w:tc>
      </w:tr>
      <w:tr>
        <w:trPr>
          <w:trHeight w:val="57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i w:val="1"/>
                <w:iCs w:val="1"/>
                <w:color w:val="auto"/>
              </w:rPr>
              <w:t>Committee Service</w:t>
            </w:r>
          </w:p>
        </w:tc>
        <w:tc>
          <w:tcPr>
            <w:tcW w:w="2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264"/>
        </w:trPr>
        <w:tc>
          <w:tcPr>
            <w:tcW w:w="7200" w:type="dxa"/>
            <w:vAlign w:val="bottom"/>
            <w:tcBorders>
              <w:left w:val="single" w:sz="8" w:color="auto"/>
              <w:bottom w:val="single" w:sz="8" w:color="auto"/>
              <w:right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Chair</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Non-Chair</w:t>
            </w:r>
          </w:p>
        </w:tc>
      </w:tr>
      <w:tr>
        <w:trPr>
          <w:trHeight w:val="263"/>
        </w:trPr>
        <w:tc>
          <w:tcPr>
            <w:tcW w:w="72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Audit Committee Member</w:t>
            </w:r>
          </w:p>
        </w:tc>
        <w:tc>
          <w:tcPr>
            <w:tcW w:w="2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$20,000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263"/>
        </w:trPr>
        <w:tc>
          <w:tcPr>
            <w:tcW w:w="72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2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$6,000</w:t>
            </w:r>
          </w:p>
        </w:tc>
      </w:tr>
      <w:tr>
        <w:trPr>
          <w:trHeight w:val="264"/>
        </w:trPr>
        <w:tc>
          <w:tcPr>
            <w:tcW w:w="72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21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$10,000</w:t>
            </w:r>
          </w:p>
        </w:tc>
        <w:tc>
          <w:tcPr>
            <w:tcW w:w="1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200" w:lineRule="exact"/>
        <w:rPr>
          <w:sz w:val="20"/>
          <w:szCs w:val="20"/>
          <w:color w:val="auto"/>
        </w:rPr>
      </w:pPr>
    </w:p>
    <w:p>
      <w:pPr>
        <w:spacing w:after="0" w:line="32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22"/>
          <w:szCs w:val="22"/>
          <w:color w:val="auto"/>
        </w:rPr>
        <w:t>All annual retainers are additive and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to Receive Restricted Stock Units (“RSUs”) In Lieu of Annual Retainers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260"/>
          </w:cols>
          <w:pgMar w:left="320" w:top="1382" w:right="319" w:bottom="1440" w:gutter="0" w:footer="0" w:header="0"/>
        </w:sectPr>
      </w:pPr>
    </w:p>
    <w:bookmarkStart w:id="126" w:name="page127"/>
    <w:bookmarkEnd w:id="126"/>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General:</w:t>
      </w:r>
    </w:p>
    <w:p>
      <w:pPr>
        <w:spacing w:after="0" w:line="20" w:lineRule="exact"/>
        <w:rPr>
          <w:sz w:val="20"/>
          <w:szCs w:val="20"/>
          <w:color w:val="auto"/>
        </w:rPr>
      </w:pPr>
      <w:r>
        <w:rPr>
          <w:sz w:val="20"/>
          <w:szCs w:val="20"/>
          <w:color w:val="auto"/>
        </w:rPr>
        <w:br w:type="column"/>
      </w:r>
    </w:p>
    <w:p>
      <w:pPr>
        <w:jc w:val="both"/>
        <w:spacing w:after="0" w:line="211" w:lineRule="auto"/>
        <w:rPr>
          <w:sz w:val="20"/>
          <w:szCs w:val="20"/>
          <w:color w:val="auto"/>
        </w:rPr>
      </w:pPr>
      <w:r>
        <w:rPr>
          <w:rFonts w:ascii="Times New Roman" w:cs="Times New Roman" w:eastAsia="Times New Roman" w:hAnsi="Times New Roman"/>
          <w:sz w:val="22"/>
          <w:szCs w:val="22"/>
          <w:color w:val="auto"/>
        </w:rPr>
        <w:t>The Board or the Compensation Committee may, in its discretion, provide Non-Employee Directors with the opportunity to elect to convert all or a portion of their annual retainers into awards of RSUs (“</w:t>
      </w:r>
      <w:r>
        <w:rPr>
          <w:rFonts w:ascii="Times New Roman" w:cs="Times New Roman" w:eastAsia="Times New Roman" w:hAnsi="Times New Roman"/>
          <w:sz w:val="22"/>
          <w:szCs w:val="22"/>
          <w:b w:val="1"/>
          <w:bCs w:val="1"/>
          <w:i w:val="1"/>
          <w:iCs w:val="1"/>
          <w:color w:val="auto"/>
        </w:rPr>
        <w:t>Retainer RSU Awards</w:t>
      </w:r>
      <w:r>
        <w:rPr>
          <w:rFonts w:ascii="Times New Roman" w:cs="Times New Roman" w:eastAsia="Times New Roman" w:hAnsi="Times New Roman"/>
          <w:sz w:val="22"/>
          <w:szCs w:val="22"/>
          <w:color w:val="auto"/>
        </w:rPr>
        <w:t>”) granted under the Plan or any other applicable Company equity incentive plan then-maintained by the Company, with each such Retainer RSU Award covering a number of shares of Common Stock calculated by dividing (i) the amount of the annual retainer that would have otherwise been paid to such Non-Employee Director on the applicable grant date by (ii) the average per share closing trading price of the Common Stock over the most recent 30 trading days as of the grant date (such election, a “</w:t>
      </w:r>
      <w:r>
        <w:rPr>
          <w:rFonts w:ascii="Times New Roman" w:cs="Times New Roman" w:eastAsia="Times New Roman" w:hAnsi="Times New Roman"/>
          <w:sz w:val="22"/>
          <w:szCs w:val="22"/>
          <w:b w:val="1"/>
          <w:bCs w:val="1"/>
          <w:i w:val="1"/>
          <w:iCs w:val="1"/>
          <w:color w:val="auto"/>
        </w:rPr>
        <w:t>Retainer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 Election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sectPr>
          <w:pgSz w:w="11900" w:h="16838" w:orient="portrait"/>
          <w:cols w:equalWidth="0" w:num="2">
            <w:col w:w="3000" w:space="720"/>
            <w:col w:w="7440"/>
          </w:cols>
          <w:pgMar w:left="320" w:top="1440" w:right="419" w:bottom="1440" w:gutter="0" w:footer="0" w:header="0"/>
        </w:sectPr>
      </w:pPr>
    </w:p>
    <w:p>
      <w:pPr>
        <w:jc w:val="both"/>
        <w:ind w:left="3720"/>
        <w:spacing w:after="0" w:line="220" w:lineRule="auto"/>
        <w:rPr>
          <w:sz w:val="20"/>
          <w:szCs w:val="20"/>
          <w:color w:val="auto"/>
        </w:rPr>
      </w:pPr>
      <w:r>
        <w:rPr>
          <w:rFonts w:ascii="Times New Roman" w:cs="Times New Roman" w:eastAsia="Times New Roman" w:hAnsi="Times New Roman"/>
          <w:sz w:val="22"/>
          <w:szCs w:val="22"/>
          <w:color w:val="auto"/>
        </w:rPr>
        <w:t>Each Retainer RSU Award automatically will be granted on the fifth day of the month immediately following the end of the quarter for which the corresponding portion of the annual retainer was earned. Each Retainer RSU Award will be fully vested on the grant date.</w:t>
      </w:r>
    </w:p>
    <w:p>
      <w:pPr>
        <w:sectPr>
          <w:pgSz w:w="11900" w:h="16838" w:orient="portrait"/>
          <w:cols w:equalWidth="0" w:num="1">
            <w:col w:w="11160"/>
          </w:cols>
          <w:pgMar w:left="320" w:top="144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160"/>
          </w:cols>
          <w:pgMar w:left="320" w:top="1440" w:right="419" w:bottom="1440" w:gutter="0" w:footer="0" w:header="0"/>
          <w:type w:val="continuous"/>
        </w:sectPr>
      </w:pPr>
    </w:p>
    <w:bookmarkStart w:id="127" w:name="page128"/>
    <w:bookmarkEnd w:id="127"/>
    <w:tbl>
      <w:tblPr>
        <w:tblLayout w:type="fixed"/>
        <w:tblInd w:w="20" w:type="dxa"/>
        <w:tblCellMar>
          <w:top w:w="0" w:type="dxa"/>
          <w:left w:w="0" w:type="dxa"/>
          <w:bottom w:w="0" w:type="dxa"/>
          <w:right w:w="0" w:type="dxa"/>
        </w:tblCellMar>
      </w:tblPr>
      <w:tr>
        <w:trPr>
          <w:trHeight w:val="253"/>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Election Method:</w:t>
            </w:r>
          </w:p>
        </w:tc>
        <w:tc>
          <w:tcPr>
            <w:tcW w:w="84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Each Retainer RSU Election must be submitted to the Company in the form and</w:t>
            </w:r>
          </w:p>
        </w:tc>
      </w:tr>
      <w:tr>
        <w:trPr>
          <w:trHeight w:val="216"/>
        </w:trPr>
        <w:tc>
          <w:tcPr>
            <w:tcW w:w="2600" w:type="dxa"/>
            <w:vAlign w:val="bottom"/>
          </w:tcPr>
          <w:p>
            <w:pPr>
              <w:spacing w:after="0"/>
              <w:rPr>
                <w:sz w:val="18"/>
                <w:szCs w:val="18"/>
                <w:color w:val="auto"/>
              </w:rPr>
            </w:pPr>
          </w:p>
        </w:tc>
        <w:tc>
          <w:tcPr>
            <w:tcW w:w="1780" w:type="dxa"/>
            <w:vAlign w:val="bottom"/>
          </w:tcPr>
          <w:p>
            <w:pPr>
              <w:ind w:left="1100"/>
              <w:spacing w:after="0" w:line="216" w:lineRule="exact"/>
              <w:rPr>
                <w:sz w:val="20"/>
                <w:szCs w:val="20"/>
                <w:color w:val="auto"/>
              </w:rPr>
            </w:pPr>
            <w:r>
              <w:rPr>
                <w:rFonts w:ascii="Times New Roman" w:cs="Times New Roman" w:eastAsia="Times New Roman" w:hAnsi="Times New Roman"/>
                <w:sz w:val="22"/>
                <w:szCs w:val="22"/>
                <w:color w:val="auto"/>
                <w:w w:val="99"/>
              </w:rPr>
              <w:t>manner</w:t>
            </w:r>
          </w:p>
        </w:tc>
        <w:tc>
          <w:tcPr>
            <w:tcW w:w="6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2"/>
                <w:szCs w:val="22"/>
                <w:color w:val="auto"/>
              </w:rPr>
              <w:t>specified  by  the  Board  or  its  Compensation  Committee  (the</w:t>
            </w:r>
          </w:p>
        </w:tc>
      </w:tr>
      <w:tr>
        <w:trPr>
          <w:trHeight w:val="216"/>
        </w:trPr>
        <w:tc>
          <w:tcPr>
            <w:tcW w:w="2600" w:type="dxa"/>
            <w:vAlign w:val="bottom"/>
          </w:tcPr>
          <w:p>
            <w:pPr>
              <w:spacing w:after="0"/>
              <w:rPr>
                <w:sz w:val="18"/>
                <w:szCs w:val="18"/>
                <w:color w:val="auto"/>
              </w:rPr>
            </w:pPr>
          </w:p>
        </w:tc>
        <w:tc>
          <w:tcPr>
            <w:tcW w:w="84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An individual who fails to make a timely Retainer</w:t>
            </w:r>
          </w:p>
        </w:tc>
      </w:tr>
      <w:tr>
        <w:trPr>
          <w:trHeight w:val="216"/>
        </w:trPr>
        <w:tc>
          <w:tcPr>
            <w:tcW w:w="2600" w:type="dxa"/>
            <w:vAlign w:val="bottom"/>
          </w:tcPr>
          <w:p>
            <w:pPr>
              <w:spacing w:after="0"/>
              <w:rPr>
                <w:sz w:val="18"/>
                <w:szCs w:val="18"/>
                <w:color w:val="auto"/>
              </w:rPr>
            </w:pPr>
          </w:p>
        </w:tc>
        <w:tc>
          <w:tcPr>
            <w:tcW w:w="84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auto"/>
              </w:rPr>
              <w:t>RSU Election shall not receive a Retainer RSU Award and instead shall receive the</w:t>
            </w:r>
          </w:p>
        </w:tc>
      </w:tr>
      <w:tr>
        <w:trPr>
          <w:trHeight w:val="216"/>
        </w:trPr>
        <w:tc>
          <w:tcPr>
            <w:tcW w:w="2600" w:type="dxa"/>
            <w:vAlign w:val="bottom"/>
          </w:tcPr>
          <w:p>
            <w:pPr>
              <w:spacing w:after="0"/>
              <w:rPr>
                <w:sz w:val="18"/>
                <w:szCs w:val="18"/>
                <w:color w:val="auto"/>
              </w:rPr>
            </w:pPr>
          </w:p>
        </w:tc>
        <w:tc>
          <w:tcPr>
            <w:tcW w:w="84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2"/>
                <w:szCs w:val="22"/>
                <w:color w:val="auto"/>
              </w:rPr>
              <w:t>applicable annual retainer in cash. Retainer RSU Elections must comply with the</w:t>
            </w:r>
          </w:p>
        </w:tc>
      </w:tr>
      <w:tr>
        <w:trPr>
          <w:trHeight w:val="282"/>
        </w:trPr>
        <w:tc>
          <w:tcPr>
            <w:tcW w:w="2600" w:type="dxa"/>
            <w:vAlign w:val="bottom"/>
          </w:tcPr>
          <w:p>
            <w:pPr>
              <w:spacing w:after="0"/>
              <w:rPr>
                <w:sz w:val="24"/>
                <w:szCs w:val="24"/>
                <w:color w:val="auto"/>
              </w:rPr>
            </w:pPr>
          </w:p>
        </w:tc>
        <w:tc>
          <w:tcPr>
            <w:tcW w:w="8420" w:type="dxa"/>
            <w:vAlign w:val="bottom"/>
            <w:gridSpan w:val="4"/>
          </w:tcPr>
          <w:p>
            <w:pPr>
              <w:ind w:left="1100"/>
              <w:spacing w:after="0"/>
              <w:rPr>
                <w:sz w:val="20"/>
                <w:szCs w:val="20"/>
                <w:color w:val="auto"/>
              </w:rPr>
            </w:pPr>
            <w:r>
              <w:rPr>
                <w:rFonts w:ascii="Times New Roman" w:cs="Times New Roman" w:eastAsia="Times New Roman" w:hAnsi="Times New Roman"/>
                <w:sz w:val="22"/>
                <w:szCs w:val="22"/>
                <w:color w:val="auto"/>
              </w:rPr>
              <w:t>following timing requirements:</w:t>
            </w:r>
          </w:p>
        </w:tc>
      </w:tr>
      <w:tr>
        <w:trPr>
          <w:trHeight w:val="379"/>
        </w:trPr>
        <w:tc>
          <w:tcPr>
            <w:tcW w:w="2600" w:type="dxa"/>
            <w:vAlign w:val="bottom"/>
          </w:tcPr>
          <w:p>
            <w:pPr>
              <w:spacing w:after="0"/>
              <w:rPr>
                <w:sz w:val="24"/>
                <w:szCs w:val="24"/>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Initial Election.  Each  individual  who  first  becomes  a  Non-Employee</w:t>
            </w:r>
          </w:p>
        </w:tc>
      </w:tr>
      <w:tr>
        <w:trPr>
          <w:trHeight w:val="20"/>
        </w:trPr>
        <w:tc>
          <w:tcPr>
            <w:tcW w:w="2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3"/>
        </w:trPr>
        <w:tc>
          <w:tcPr>
            <w:tcW w:w="2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4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rPr>
              <w:t>Director may make a Retainer RSU Election with respect to annual retainer</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9"/>
              </w:rPr>
              <w:t>payments scheduled to be paid in the same calendar year as such individual</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first  becomes  a  Non-Employee  Director  (the  “</w:t>
            </w:r>
            <w:r>
              <w:rPr>
                <w:rFonts w:ascii="Times New Roman" w:cs="Times New Roman" w:eastAsia="Times New Roman" w:hAnsi="Times New Roman"/>
                <w:sz w:val="22"/>
                <w:szCs w:val="22"/>
                <w:b w:val="1"/>
                <w:bCs w:val="1"/>
                <w:i w:val="1"/>
                <w:iCs w:val="1"/>
                <w:color w:val="auto"/>
              </w:rPr>
              <w:t>Initial  Retainer  RSU</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b w:val="1"/>
                <w:bCs w:val="1"/>
                <w:i w:val="1"/>
                <w:iCs w:val="1"/>
                <w:color w:val="auto"/>
              </w:rPr>
              <w:t>Election</w:t>
            </w:r>
            <w:r>
              <w:rPr>
                <w:rFonts w:ascii="Times New Roman" w:cs="Times New Roman" w:eastAsia="Times New Roman" w:hAnsi="Times New Roman"/>
                <w:sz w:val="22"/>
                <w:szCs w:val="22"/>
                <w:color w:val="auto"/>
              </w:rPr>
              <w:t>”). The Initial Retainer RSU Election must be submitted to the</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Company on or before the date that the individual first becomes a Non-</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8"/>
              </w:rPr>
              <w:t>Employee Director or, if later, within thirty (30) days following the date this</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Program is adopted (the “</w:t>
            </w:r>
            <w:r>
              <w:rPr>
                <w:rFonts w:ascii="Times New Roman" w:cs="Times New Roman" w:eastAsia="Times New Roman" w:hAnsi="Times New Roman"/>
                <w:sz w:val="22"/>
                <w:szCs w:val="22"/>
                <w:b w:val="1"/>
                <w:bCs w:val="1"/>
                <w:i w:val="1"/>
                <w:iCs w:val="1"/>
                <w:color w:val="auto"/>
              </w:rPr>
              <w:t>Initial Election Deadline</w:t>
            </w:r>
            <w:r>
              <w:rPr>
                <w:rFonts w:ascii="Times New Roman" w:cs="Times New Roman" w:eastAsia="Times New Roman" w:hAnsi="Times New Roman"/>
                <w:sz w:val="22"/>
                <w:szCs w:val="22"/>
                <w:color w:val="auto"/>
              </w:rPr>
              <w:t>”), and the Initial</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Retainer RSU Election shall become final and irrevocable as of the Initial</w:t>
            </w:r>
          </w:p>
        </w:tc>
      </w:tr>
      <w:tr>
        <w:trPr>
          <w:trHeight w:val="282"/>
        </w:trPr>
        <w:tc>
          <w:tcPr>
            <w:tcW w:w="2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Election Deadline.</w:t>
            </w:r>
          </w:p>
        </w:tc>
      </w:tr>
      <w:tr>
        <w:trPr>
          <w:trHeight w:val="285"/>
        </w:trPr>
        <w:tc>
          <w:tcPr>
            <w:tcW w:w="2600" w:type="dxa"/>
            <w:vAlign w:val="bottom"/>
          </w:tcPr>
          <w:p>
            <w:pPr>
              <w:spacing w:after="0"/>
              <w:rPr>
                <w:sz w:val="24"/>
                <w:szCs w:val="24"/>
                <w:color w:val="auto"/>
              </w:rPr>
            </w:pPr>
          </w:p>
        </w:tc>
        <w:tc>
          <w:tcPr>
            <w:tcW w:w="17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Annual Election. No later than December 31 of each calendar year, or such</w:t>
            </w:r>
          </w:p>
        </w:tc>
      </w:tr>
      <w:tr>
        <w:trPr>
          <w:trHeight w:val="183"/>
        </w:trPr>
        <w:tc>
          <w:tcPr>
            <w:tcW w:w="2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2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21"/>
                <w:szCs w:val="21"/>
                <w:color w:val="auto"/>
              </w:rPr>
              <w:t>earlier deadline</w:t>
            </w:r>
          </w:p>
        </w:tc>
        <w:tc>
          <w:tcPr>
            <w:tcW w:w="52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auto"/>
              </w:rPr>
              <w:t>as may be established by the Board or the Compensation</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Committee, in its discretion (the “</w:t>
            </w:r>
            <w:r>
              <w:rPr>
                <w:rFonts w:ascii="Times New Roman" w:cs="Times New Roman" w:eastAsia="Times New Roman" w:hAnsi="Times New Roman"/>
                <w:sz w:val="22"/>
                <w:szCs w:val="22"/>
                <w:b w:val="1"/>
                <w:bCs w:val="1"/>
                <w:i w:val="1"/>
                <w:iCs w:val="1"/>
                <w:color w:val="auto"/>
              </w:rPr>
              <w:t>Annual Election Deadline</w:t>
            </w:r>
            <w:r>
              <w:rPr>
                <w:rFonts w:ascii="Times New Roman" w:cs="Times New Roman" w:eastAsia="Times New Roman" w:hAnsi="Times New Roman"/>
                <w:sz w:val="22"/>
                <w:szCs w:val="22"/>
                <w:color w:val="auto"/>
              </w:rPr>
              <w:t>”), each</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individual who is a Non-Employee Director as of immediately before the</w:t>
            </w:r>
          </w:p>
        </w:tc>
      </w:tr>
      <w:tr>
        <w:trPr>
          <w:trHeight w:val="216"/>
        </w:trPr>
        <w:tc>
          <w:tcPr>
            <w:tcW w:w="2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Annual Election Deadline may make a Retainer RSU Election with respect</w:t>
            </w:r>
          </w:p>
        </w:tc>
      </w:tr>
      <w:tr>
        <w:trPr>
          <w:trHeight w:val="240"/>
        </w:trPr>
        <w:tc>
          <w:tcPr>
            <w:tcW w:w="2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40" w:type="dxa"/>
            <w:vAlign w:val="bottom"/>
            <w:gridSpan w:val="3"/>
          </w:tcPr>
          <w:p>
            <w:pPr>
              <w:spacing w:after="0" w:line="240" w:lineRule="exact"/>
              <w:rPr>
                <w:sz w:val="20"/>
                <w:szCs w:val="20"/>
                <w:color w:val="auto"/>
              </w:rPr>
            </w:pPr>
            <w:r>
              <w:rPr>
                <w:rFonts w:ascii="Times New Roman" w:cs="Times New Roman" w:eastAsia="Times New Roman" w:hAnsi="Times New Roman"/>
                <w:sz w:val="22"/>
                <w:szCs w:val="22"/>
                <w:color w:val="auto"/>
              </w:rPr>
              <w:t>to the annual retainer relating to services to be performed in the following</w:t>
            </w:r>
          </w:p>
        </w:tc>
      </w:tr>
    </w:tbl>
    <w:p>
      <w:pPr>
        <w:jc w:val="both"/>
        <w:ind w:left="4400" w:right="40"/>
        <w:spacing w:after="0" w:line="214" w:lineRule="auto"/>
        <w:rPr>
          <w:sz w:val="20"/>
          <w:szCs w:val="20"/>
          <w:color w:val="auto"/>
        </w:rPr>
      </w:pPr>
      <w:r>
        <w:rPr>
          <w:rFonts w:ascii="Times New Roman" w:cs="Times New Roman" w:eastAsia="Times New Roman" w:hAnsi="Times New Roman"/>
          <w:sz w:val="22"/>
          <w:szCs w:val="22"/>
          <w:color w:val="auto"/>
        </w:rPr>
        <w:t>calendar year (the “</w:t>
      </w:r>
      <w:r>
        <w:rPr>
          <w:rFonts w:ascii="Times New Roman" w:cs="Times New Roman" w:eastAsia="Times New Roman" w:hAnsi="Times New Roman"/>
          <w:sz w:val="22"/>
          <w:szCs w:val="22"/>
          <w:b w:val="1"/>
          <w:bCs w:val="1"/>
          <w:i w:val="1"/>
          <w:iCs w:val="1"/>
          <w:color w:val="auto"/>
        </w:rPr>
        <w:t>Annual Retainer RSU Election</w:t>
      </w:r>
      <w:r>
        <w:rPr>
          <w:rFonts w:ascii="Times New Roman" w:cs="Times New Roman" w:eastAsia="Times New Roman" w:hAnsi="Times New Roman"/>
          <w:sz w:val="22"/>
          <w:szCs w:val="22"/>
          <w:color w:val="auto"/>
        </w:rPr>
        <w:t>”). The Annual Retainer RSU Election must be submitted to the Company on or before the applicable Annual Election Deadline and shall become effective and irrevocable as of the Annual Election Deadline.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Equity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040"/>
          </w:cols>
          <w:pgMar w:left="320" w:top="1412" w:right="539" w:bottom="1440" w:gutter="0" w:footer="0" w:header="0"/>
        </w:sectPr>
      </w:pPr>
    </w:p>
    <w:bookmarkStart w:id="128" w:name="page129"/>
    <w:bookmarkEnd w:id="128"/>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Initial RSU Award:</w:t>
      </w:r>
    </w:p>
    <w:p>
      <w:pPr>
        <w:spacing w:after="0" w:line="20" w:lineRule="exact"/>
        <w:rPr>
          <w:sz w:val="20"/>
          <w:szCs w:val="20"/>
          <w:color w:val="auto"/>
        </w:rPr>
      </w:pPr>
      <w:r>
        <w:rPr>
          <w:sz w:val="20"/>
          <w:szCs w:val="20"/>
          <w:color w:val="auto"/>
        </w:rPr>
        <w:br w:type="column"/>
      </w:r>
    </w:p>
    <w:p>
      <w:pPr>
        <w:jc w:val="both"/>
        <w:spacing w:after="0" w:line="213" w:lineRule="auto"/>
        <w:rPr>
          <w:sz w:val="20"/>
          <w:szCs w:val="20"/>
          <w:color w:val="auto"/>
        </w:rPr>
      </w:pPr>
      <w:r>
        <w:rPr>
          <w:rFonts w:ascii="Times New Roman" w:cs="Times New Roman" w:eastAsia="Times New Roman" w:hAnsi="Times New Roman"/>
          <w:sz w:val="22"/>
          <w:szCs w:val="22"/>
          <w:color w:val="auto"/>
        </w:rPr>
        <w:t>Each Non-Employee Director who is initially elected or appointed to serve on the Board after the Effective Date shall be granted an award of RSUs under the Plan or any other applicable Company equity incentive plan then-maintained by the Company to purchase that number of shares of Common Stock calculated by dividing (i) $300,000 by (ii) the average per share closing trading price of the Common Stock over the most recent 30 trading days as of the grant date (the “</w:t>
      </w:r>
      <w:r>
        <w:rPr>
          <w:rFonts w:ascii="Times New Roman" w:cs="Times New Roman" w:eastAsia="Times New Roman" w:hAnsi="Times New Roman"/>
          <w:sz w:val="22"/>
          <w:szCs w:val="22"/>
          <w:b w:val="1"/>
          <w:bCs w:val="1"/>
          <w:i w:val="1"/>
          <w:iCs w:val="1"/>
          <w:color w:val="auto"/>
        </w:rPr>
        <w:t>Initial Long-Term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RSU Award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sectPr>
          <w:pgSz w:w="11900" w:h="16838" w:orient="portrait"/>
          <w:cols w:equalWidth="0" w:num="2">
            <w:col w:w="3000" w:space="720"/>
            <w:col w:w="7440"/>
          </w:cols>
          <w:pgMar w:left="320" w:top="1440" w:right="419" w:bottom="1440" w:gutter="0" w:footer="0" w:header="0"/>
        </w:sectPr>
      </w:pPr>
    </w:p>
    <w:p>
      <w:pPr>
        <w:jc w:val="both"/>
        <w:ind w:left="3720"/>
        <w:spacing w:after="0" w:line="213" w:lineRule="auto"/>
        <w:rPr>
          <w:sz w:val="20"/>
          <w:szCs w:val="20"/>
          <w:color w:val="auto"/>
        </w:rPr>
      </w:pPr>
      <w:r>
        <w:rPr>
          <w:rFonts w:ascii="Times New Roman" w:cs="Times New Roman" w:eastAsia="Times New Roman" w:hAnsi="Times New Roman"/>
          <w:sz w:val="22"/>
          <w:szCs w:val="22"/>
          <w:color w:val="auto"/>
        </w:rPr>
        <w:t>The Initial Long-Term RSU Award will be automatically granted on the date on which such Non-Employee Director commences service on the Board, and will vest as 1/12th of the shares subject thereto on each quarterly anniversary of the applicable date of grant such that the shares subject to the Initial Long-Term RSU Grant are fully vested on the third anniversary of the date of grant, subject to the Non-Employee Director continuing in service on the Board through each such vesting date.</w:t>
      </w:r>
    </w:p>
    <w:p>
      <w:pPr>
        <w:sectPr>
          <w:pgSz w:w="11900" w:h="16838" w:orient="portrait"/>
          <w:cols w:equalWidth="0" w:num="1">
            <w:col w:w="11160"/>
          </w:cols>
          <w:pgMar w:left="320" w:top="1440" w:right="419" w:bottom="1440" w:gutter="0" w:footer="0" w:header="0"/>
          <w:type w:val="continuous"/>
        </w:sectPr>
      </w:pPr>
    </w:p>
    <w:p>
      <w:pPr>
        <w:spacing w:after="0" w:line="17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Each Non-Employee Director who is initially elected or appointed to serve on the</w:t>
      </w:r>
    </w:p>
    <w:p>
      <w:pPr>
        <w:ind w:left="3720"/>
        <w:spacing w:after="0" w:line="204" w:lineRule="auto"/>
        <w:rPr>
          <w:sz w:val="20"/>
          <w:szCs w:val="20"/>
          <w:color w:val="auto"/>
        </w:rPr>
      </w:pPr>
      <w:r>
        <w:rPr>
          <w:rFonts w:ascii="Times New Roman" w:cs="Times New Roman" w:eastAsia="Times New Roman" w:hAnsi="Times New Roman"/>
          <w:sz w:val="22"/>
          <w:szCs w:val="22"/>
          <w:color w:val="auto"/>
        </w:rPr>
        <w:t>Board on or after the Effective Date shall be granted an award of RSUs under the</w:t>
      </w:r>
    </w:p>
    <w:p>
      <w:pPr>
        <w:ind w:left="3720"/>
        <w:spacing w:after="0" w:line="205" w:lineRule="auto"/>
        <w:rPr>
          <w:sz w:val="20"/>
          <w:szCs w:val="20"/>
          <w:color w:val="auto"/>
        </w:rPr>
      </w:pPr>
      <w:r>
        <w:rPr>
          <w:rFonts w:ascii="Times New Roman" w:cs="Times New Roman" w:eastAsia="Times New Roman" w:hAnsi="Times New Roman"/>
          <w:sz w:val="22"/>
          <w:szCs w:val="22"/>
          <w:color w:val="auto"/>
        </w:rPr>
        <w:t>Plan or any other applicable Company equity incentive plan then-maintained by the</w:t>
      </w:r>
    </w:p>
    <w:p>
      <w:pPr>
        <w:ind w:left="3720"/>
        <w:spacing w:after="0" w:line="215" w:lineRule="auto"/>
        <w:rPr>
          <w:sz w:val="20"/>
          <w:szCs w:val="20"/>
          <w:color w:val="auto"/>
        </w:rPr>
      </w:pPr>
      <w:r>
        <w:rPr>
          <w:rFonts w:ascii="Times New Roman" w:cs="Times New Roman" w:eastAsia="Times New Roman" w:hAnsi="Times New Roman"/>
          <w:sz w:val="21"/>
          <w:szCs w:val="21"/>
          <w:color w:val="auto"/>
        </w:rPr>
        <w:t>Company to purchase that number of shares of Common Stock calculated by dividing</w:t>
      </w:r>
    </w:p>
    <w:p>
      <w:pPr>
        <w:spacing w:after="0" w:line="1" w:lineRule="exact"/>
        <w:rPr>
          <w:sz w:val="20"/>
          <w:szCs w:val="20"/>
          <w:color w:val="auto"/>
        </w:rPr>
      </w:pPr>
    </w:p>
    <w:p>
      <w:pPr>
        <w:jc w:val="both"/>
        <w:ind w:left="3720" w:firstLine="7"/>
        <w:spacing w:after="0" w:line="220" w:lineRule="auto"/>
        <w:tabs>
          <w:tab w:leader="none" w:pos="398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$175,000 multiplied times a fraction, the numerator of which is the number of full months between the date the Non-Employee Director is appointed to serve on the Board and the next scheduled annual meeting of the Company’s stockholders (an “</w:t>
      </w:r>
      <w:r>
        <w:rPr>
          <w:rFonts w:ascii="Times New Roman" w:cs="Times New Roman" w:eastAsia="Times New Roman" w:hAnsi="Times New Roman"/>
          <w:sz w:val="21"/>
          <w:szCs w:val="21"/>
          <w:b w:val="1"/>
          <w:bCs w:val="1"/>
          <w:i w:val="1"/>
          <w:iCs w:val="1"/>
          <w:color w:val="auto"/>
        </w:rPr>
        <w:t>Annual Meeting</w:t>
      </w:r>
      <w:r>
        <w:rPr>
          <w:rFonts w:ascii="Times New Roman" w:cs="Times New Roman" w:eastAsia="Times New Roman" w:hAnsi="Times New Roman"/>
          <w:sz w:val="21"/>
          <w:szCs w:val="21"/>
          <w:color w:val="auto"/>
        </w:rPr>
        <w:t>”) and the denominator of which is 12, by (ii) the average per share closing trading price of the Common Stock over the most recent 30 trading days as of the grant date (the “</w:t>
      </w:r>
      <w:r>
        <w:rPr>
          <w:rFonts w:ascii="Times New Roman" w:cs="Times New Roman" w:eastAsia="Times New Roman" w:hAnsi="Times New Roman"/>
          <w:sz w:val="21"/>
          <w:szCs w:val="21"/>
          <w:b w:val="1"/>
          <w:bCs w:val="1"/>
          <w:i w:val="1"/>
          <w:iCs w:val="1"/>
          <w:color w:val="auto"/>
        </w:rPr>
        <w:t>Initial Short-Term RSU Award</w:t>
      </w:r>
      <w:r>
        <w:rPr>
          <w:rFonts w:ascii="Times New Roman" w:cs="Times New Roman" w:eastAsia="Times New Roman" w:hAnsi="Times New Roman"/>
          <w:sz w:val="21"/>
          <w:szCs w:val="21"/>
          <w:color w:val="auto"/>
        </w:rPr>
        <w:t>” and, together with the Initial Long-Term RSU Award, the “</w:t>
      </w:r>
      <w:r>
        <w:rPr>
          <w:rFonts w:ascii="Times New Roman" w:cs="Times New Roman" w:eastAsia="Times New Roman" w:hAnsi="Times New Roman"/>
          <w:sz w:val="21"/>
          <w:szCs w:val="21"/>
          <w:b w:val="1"/>
          <w:bCs w:val="1"/>
          <w:i w:val="1"/>
          <w:iCs w:val="1"/>
          <w:color w:val="auto"/>
        </w:rPr>
        <w:t>Initial RSU Awards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3720"/>
        <w:spacing w:after="0" w:line="220" w:lineRule="auto"/>
        <w:rPr>
          <w:sz w:val="20"/>
          <w:szCs w:val="20"/>
          <w:color w:val="auto"/>
        </w:rPr>
      </w:pPr>
      <w:r>
        <w:rPr>
          <w:rFonts w:ascii="Times New Roman" w:cs="Times New Roman" w:eastAsia="Times New Roman" w:hAnsi="Times New Roman"/>
          <w:sz w:val="22"/>
          <w:szCs w:val="22"/>
          <w:color w:val="auto"/>
        </w:rPr>
        <w:t>The Initial Short-Term RSU Award will vest in substantially equal quarterly installments through, and with the last installment vesting on, the date of the Annual Meeting, subject to the Non-Employee Director continuing in service on the Board through the date of the applicable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160"/>
          </w:cols>
          <w:pgMar w:left="320" w:top="1440" w:right="419" w:bottom="1440" w:gutter="0" w:footer="0" w:header="0"/>
          <w:type w:val="continuous"/>
        </w:sectPr>
      </w:pPr>
    </w:p>
    <w:bookmarkStart w:id="129" w:name="page130"/>
    <w:bookmarkEnd w:id="129"/>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Annual RSU Award:</w:t>
      </w:r>
    </w:p>
    <w:p>
      <w:pPr>
        <w:spacing w:after="0" w:line="20" w:lineRule="exact"/>
        <w:rPr>
          <w:sz w:val="20"/>
          <w:szCs w:val="20"/>
          <w:color w:val="auto"/>
        </w:rPr>
      </w:pPr>
      <w:r>
        <w:rPr>
          <w:sz w:val="20"/>
          <w:szCs w:val="20"/>
          <w:color w:val="auto"/>
        </w:rPr>
        <w:br w:type="column"/>
      </w:r>
    </w:p>
    <w:p>
      <w:pPr>
        <w:jc w:val="both"/>
        <w:ind w:right="80"/>
        <w:spacing w:after="0" w:line="224" w:lineRule="auto"/>
        <w:rPr>
          <w:sz w:val="20"/>
          <w:szCs w:val="20"/>
          <w:color w:val="auto"/>
        </w:rPr>
      </w:pPr>
      <w:r>
        <w:rPr>
          <w:rFonts w:ascii="Times New Roman" w:cs="Times New Roman" w:eastAsia="Times New Roman" w:hAnsi="Times New Roman"/>
          <w:sz w:val="21"/>
          <w:szCs w:val="21"/>
          <w:color w:val="auto"/>
        </w:rPr>
        <w:t>Each Non-Employee Director who is serving on the Board as of the date of an Annual Meeting and will continue to serve as a Non-Employee Director immediately following such Annual Meeting, shall be granted an award of RSUs under the Plan or any other applicable Company equity incentive plan then-maintained by the Company covering a number of shares of Common Stock calculated by dividing (i) $175,000 by (ii) the average per share closing trading price of the Common Stock over the most recent 30 trading days as of the grant date (the “</w:t>
      </w:r>
      <w:r>
        <w:rPr>
          <w:rFonts w:ascii="Times New Roman" w:cs="Times New Roman" w:eastAsia="Times New Roman" w:hAnsi="Times New Roman"/>
          <w:sz w:val="21"/>
          <w:szCs w:val="21"/>
          <w:b w:val="1"/>
          <w:bCs w:val="1"/>
          <w:i w:val="1"/>
          <w:iCs w:val="1"/>
          <w:color w:val="auto"/>
        </w:rPr>
        <w:t>Annual RSU Award</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sectPr>
          <w:pgSz w:w="11900" w:h="16838" w:orient="portrait"/>
          <w:cols w:equalWidth="0" w:num="2">
            <w:col w:w="3000" w:space="720"/>
            <w:col w:w="7520"/>
          </w:cols>
          <w:pgMar w:left="320" w:top="1440" w:right="339" w:bottom="1440" w:gutter="0" w:footer="0" w:header="0"/>
        </w:sectPr>
      </w:pPr>
    </w:p>
    <w:p>
      <w:pPr>
        <w:jc w:val="both"/>
        <w:ind w:left="3720" w:right="80"/>
        <w:spacing w:after="0" w:line="211" w:lineRule="auto"/>
        <w:rPr>
          <w:sz w:val="20"/>
          <w:szCs w:val="20"/>
          <w:color w:val="auto"/>
        </w:rPr>
      </w:pPr>
      <w:r>
        <w:rPr>
          <w:rFonts w:ascii="Times New Roman" w:cs="Times New Roman" w:eastAsia="Times New Roman" w:hAnsi="Times New Roman"/>
          <w:sz w:val="22"/>
          <w:szCs w:val="22"/>
          <w:color w:val="auto"/>
        </w:rPr>
        <w:t>The Annual RSU Award will be automatically granted on the date of the applicable Annual Meeting, and will vest as to 1/4th of the shares subject thereto on each quarterly anniversary of the applicable date of grant such that the shares subject to the Annual RSU Grant are fully vested on the first anniversary of the date of grant, subject to the Non-Employee Director continuing in service on the Board through such vesting date. Notwithstanding the foregoing, in the event the next Annual Meeting occurs prior to the first anniversary of the date of grant, the Annual RSU Grant shall fully vest on the date of such Annual Meeting, subject to the Non-Employee Director continuing in service on the Board through the date of such Annual Meeting.</w:t>
      </w:r>
    </w:p>
    <w:p>
      <w:pPr>
        <w:sectPr>
          <w:pgSz w:w="11900" w:h="16838" w:orient="portrait"/>
          <w:cols w:equalWidth="0" w:num="1">
            <w:col w:w="11240"/>
          </w:cols>
          <w:pgMar w:left="320" w:top="1440" w:right="339" w:bottom="1440" w:gutter="0" w:footer="0" w:header="0"/>
          <w:type w:val="continuous"/>
        </w:sectPr>
      </w:pPr>
    </w:p>
    <w:p>
      <w:pPr>
        <w:spacing w:after="0" w:line="30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Unless otherwise determined by the Board, members of the Board who are Employees who subsequently terminate their employment with the Company and any Subsidiary and remain a member of the Board will not receive the Initial RSU Awards, but to the extent that they are otherwise eligible, will be eligible to receive, after termination from employment with the Company and any Subsidiary, Annual RSU Awards as described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to Defer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240"/>
          </w:cols>
          <w:pgMar w:left="320" w:top="1440" w:right="339" w:bottom="1440" w:gutter="0" w:footer="0" w:header="0"/>
          <w:type w:val="continuous"/>
        </w:sectPr>
      </w:pPr>
    </w:p>
    <w:bookmarkStart w:id="130" w:name="page131"/>
    <w:bookmarkEnd w:id="130"/>
    <w:tbl>
      <w:tblPr>
        <w:tblLayout w:type="fixed"/>
        <w:tblInd w:w="20" w:type="dxa"/>
        <w:tblCellMar>
          <w:top w:w="0" w:type="dxa"/>
          <w:left w:w="0" w:type="dxa"/>
          <w:bottom w:w="0" w:type="dxa"/>
          <w:right w:w="0" w:type="dxa"/>
        </w:tblCellMar>
      </w:tblPr>
      <w:tr>
        <w:trPr>
          <w:trHeight w:val="253"/>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General:</w:t>
            </w:r>
          </w:p>
        </w:tc>
        <w:tc>
          <w:tcPr>
            <w:tcW w:w="842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w w:val="98"/>
              </w:rPr>
              <w:t>Each Non-Employee Director shall have the opportunity to defer the issuance of the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shares underlying RSUs granted under this Program, including Retainer RSU</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Awards, Initial RSU Awards and Annual RSU Awards, that would otherwise be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w w:val="99"/>
              </w:rPr>
              <w:t>issued to the Non-Employee Director in connection with the vesting or grant of the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RSUs until the earliest of a fixed date properly elected by the Non-Employee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Director, the Non-Employee Director’s Termination of Service or a Change in</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Control. Any such deferral election (“</w:t>
            </w:r>
            <w:r>
              <w:rPr>
                <w:rFonts w:ascii="Times New Roman" w:cs="Times New Roman" w:eastAsia="Times New Roman" w:hAnsi="Times New Roman"/>
                <w:sz w:val="22"/>
                <w:szCs w:val="22"/>
                <w:b w:val="1"/>
                <w:bCs w:val="1"/>
                <w:i w:val="1"/>
                <w:iCs w:val="1"/>
                <w:color w:val="auto"/>
              </w:rPr>
              <w:t>Deferral Election</w:t>
            </w:r>
            <w:r>
              <w:rPr>
                <w:rFonts w:ascii="Times New Roman" w:cs="Times New Roman" w:eastAsia="Times New Roman" w:hAnsi="Times New Roman"/>
                <w:sz w:val="22"/>
                <w:szCs w:val="22"/>
                <w:color w:val="auto"/>
              </w:rPr>
              <w:t>”) shall be subject to such</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rules, conditions and procedures as shall be determined by the Board or the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Compensation Committee, in its sole discretion, which rules, conditions and</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procedures shall at all times comply with the requirements of Section 409A of the</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Code, unless otherwise specifically determined by the Board or the Compensation</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Committee. If an individual elects to defer the delivery of the shares underlying</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w w:val="98"/>
              </w:rPr>
              <w:t>RSUs granted under this Program, settlement of the deferred RSUs shall be made in</w:t>
            </w:r>
          </w:p>
        </w:tc>
      </w:tr>
      <w:tr>
        <w:trPr>
          <w:trHeight w:val="282"/>
        </w:trPr>
        <w:tc>
          <w:tcPr>
            <w:tcW w:w="2600" w:type="dxa"/>
            <w:vAlign w:val="bottom"/>
          </w:tcPr>
          <w:p>
            <w:pPr>
              <w:spacing w:after="0"/>
              <w:rPr>
                <w:sz w:val="24"/>
                <w:szCs w:val="24"/>
                <w:color w:val="auto"/>
              </w:rPr>
            </w:pPr>
          </w:p>
        </w:tc>
        <w:tc>
          <w:tcPr>
            <w:tcW w:w="8420" w:type="dxa"/>
            <w:vAlign w:val="bottom"/>
            <w:gridSpan w:val="5"/>
          </w:tcPr>
          <w:p>
            <w:pPr>
              <w:ind w:left="1100"/>
              <w:spacing w:after="0"/>
              <w:rPr>
                <w:sz w:val="20"/>
                <w:szCs w:val="20"/>
                <w:color w:val="auto"/>
              </w:rPr>
            </w:pPr>
            <w:r>
              <w:rPr>
                <w:rFonts w:ascii="Times New Roman" w:cs="Times New Roman" w:eastAsia="Times New Roman" w:hAnsi="Times New Roman"/>
                <w:sz w:val="22"/>
                <w:szCs w:val="22"/>
                <w:color w:val="auto"/>
              </w:rPr>
              <w:t>accordance with the terms of the Deferral Election.</w:t>
            </w:r>
          </w:p>
        </w:tc>
      </w:tr>
      <w:tr>
        <w:trPr>
          <w:trHeight w:val="420"/>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Election Method:</w:t>
            </w:r>
          </w:p>
        </w:tc>
        <w:tc>
          <w:tcPr>
            <w:tcW w:w="8420" w:type="dxa"/>
            <w:vAlign w:val="bottom"/>
            <w:gridSpan w:val="5"/>
          </w:tcPr>
          <w:p>
            <w:pPr>
              <w:ind w:left="1120"/>
              <w:spacing w:after="0"/>
              <w:rPr>
                <w:sz w:val="20"/>
                <w:szCs w:val="20"/>
                <w:color w:val="auto"/>
              </w:rPr>
            </w:pPr>
            <w:r>
              <w:rPr>
                <w:rFonts w:ascii="Times New Roman" w:cs="Times New Roman" w:eastAsia="Times New Roman" w:hAnsi="Times New Roman"/>
                <w:sz w:val="22"/>
                <w:szCs w:val="22"/>
                <w:color w:val="auto"/>
              </w:rPr>
              <w:t>Each Deferral Election must be submitted to the Company in the form and manner</w:t>
            </w:r>
          </w:p>
        </w:tc>
      </w:tr>
      <w:tr>
        <w:trPr>
          <w:trHeight w:val="216"/>
        </w:trPr>
        <w:tc>
          <w:tcPr>
            <w:tcW w:w="2600" w:type="dxa"/>
            <w:vAlign w:val="bottom"/>
          </w:tcPr>
          <w:p>
            <w:pPr>
              <w:spacing w:after="0"/>
              <w:rPr>
                <w:sz w:val="18"/>
                <w:szCs w:val="18"/>
                <w:color w:val="auto"/>
              </w:rPr>
            </w:pPr>
          </w:p>
        </w:tc>
        <w:tc>
          <w:tcPr>
            <w:tcW w:w="8420" w:type="dxa"/>
            <w:vAlign w:val="bottom"/>
            <w:gridSpan w:val="5"/>
          </w:tcPr>
          <w:p>
            <w:pPr>
              <w:ind w:left="1100"/>
              <w:spacing w:after="0" w:line="216" w:lineRule="exact"/>
              <w:rPr>
                <w:sz w:val="20"/>
                <w:szCs w:val="20"/>
                <w:color w:val="auto"/>
              </w:rPr>
            </w:pPr>
            <w:r>
              <w:rPr>
                <w:rFonts w:ascii="Times New Roman" w:cs="Times New Roman" w:eastAsia="Times New Roman" w:hAnsi="Times New Roman"/>
                <w:sz w:val="22"/>
                <w:szCs w:val="22"/>
                <w:color w:val="auto"/>
              </w:rPr>
              <w:t>specified by the Board or its Compensation Committee. Deferral Elections must</w:t>
            </w:r>
          </w:p>
        </w:tc>
      </w:tr>
      <w:tr>
        <w:trPr>
          <w:trHeight w:val="282"/>
        </w:trPr>
        <w:tc>
          <w:tcPr>
            <w:tcW w:w="2600" w:type="dxa"/>
            <w:vAlign w:val="bottom"/>
          </w:tcPr>
          <w:p>
            <w:pPr>
              <w:spacing w:after="0"/>
              <w:rPr>
                <w:sz w:val="24"/>
                <w:szCs w:val="24"/>
                <w:color w:val="auto"/>
              </w:rPr>
            </w:pPr>
          </w:p>
        </w:tc>
        <w:tc>
          <w:tcPr>
            <w:tcW w:w="8420" w:type="dxa"/>
            <w:vAlign w:val="bottom"/>
            <w:gridSpan w:val="5"/>
          </w:tcPr>
          <w:p>
            <w:pPr>
              <w:ind w:left="1100"/>
              <w:spacing w:after="0"/>
              <w:rPr>
                <w:sz w:val="20"/>
                <w:szCs w:val="20"/>
                <w:color w:val="auto"/>
              </w:rPr>
            </w:pPr>
            <w:r>
              <w:rPr>
                <w:rFonts w:ascii="Times New Roman" w:cs="Times New Roman" w:eastAsia="Times New Roman" w:hAnsi="Times New Roman"/>
                <w:sz w:val="22"/>
                <w:szCs w:val="22"/>
                <w:color w:val="auto"/>
              </w:rPr>
              <w:t>comply with the following timing requirements:</w:t>
            </w:r>
          </w:p>
        </w:tc>
      </w:tr>
      <w:tr>
        <w:trPr>
          <w:trHeight w:val="379"/>
        </w:trPr>
        <w:tc>
          <w:tcPr>
            <w:tcW w:w="2600" w:type="dxa"/>
            <w:vAlign w:val="bottom"/>
          </w:tcPr>
          <w:p>
            <w:pPr>
              <w:spacing w:after="0"/>
              <w:rPr>
                <w:sz w:val="24"/>
                <w:szCs w:val="24"/>
                <w:color w:val="auto"/>
              </w:rPr>
            </w:pPr>
          </w:p>
        </w:tc>
        <w:tc>
          <w:tcPr>
            <w:tcW w:w="1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Initial  Deferral  Election.  Each  individual  who  first  becomes  a  Non-</w:t>
            </w:r>
          </w:p>
        </w:tc>
      </w:tr>
      <w:tr>
        <w:trPr>
          <w:trHeight w:val="183"/>
        </w:trPr>
        <w:tc>
          <w:tcPr>
            <w:tcW w:w="2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top w:val="single" w:sz="8" w:color="auto"/>
            </w:tcBorders>
            <w:gridSpan w:val="2"/>
          </w:tcPr>
          <w:p>
            <w:pPr>
              <w:spacing w:after="0" w:line="183" w:lineRule="exact"/>
              <w:rPr>
                <w:sz w:val="20"/>
                <w:szCs w:val="20"/>
                <w:color w:val="auto"/>
              </w:rPr>
            </w:pPr>
            <w:r>
              <w:rPr>
                <w:rFonts w:ascii="Times New Roman" w:cs="Times New Roman" w:eastAsia="Times New Roman" w:hAnsi="Times New Roman"/>
                <w:sz w:val="21"/>
                <w:szCs w:val="21"/>
                <w:color w:val="auto"/>
              </w:rPr>
              <w:t>Employee Director may</w:t>
            </w:r>
          </w:p>
        </w:tc>
        <w:tc>
          <w:tcPr>
            <w:tcW w:w="4400" w:type="dxa"/>
            <w:vAlign w:val="bottom"/>
          </w:tcPr>
          <w:p>
            <w:pPr>
              <w:spacing w:after="0" w:line="183" w:lineRule="exact"/>
              <w:rPr>
                <w:sz w:val="20"/>
                <w:szCs w:val="20"/>
                <w:color w:val="auto"/>
              </w:rPr>
            </w:pPr>
            <w:r>
              <w:rPr>
                <w:rFonts w:ascii="Times New Roman" w:cs="Times New Roman" w:eastAsia="Times New Roman" w:hAnsi="Times New Roman"/>
                <w:sz w:val="21"/>
                <w:szCs w:val="21"/>
                <w:color w:val="auto"/>
              </w:rPr>
              <w:t>make a Deferral Election with respect to the Non-</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Employee Director’s Initial RSU Awards and Retainer RSU Awards to be</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paid in the same calendar year as such individual first becomes a Non-</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Employee Director (the “</w:t>
            </w:r>
            <w:r>
              <w:rPr>
                <w:rFonts w:ascii="Times New Roman" w:cs="Times New Roman" w:eastAsia="Times New Roman" w:hAnsi="Times New Roman"/>
                <w:sz w:val="22"/>
                <w:szCs w:val="22"/>
                <w:b w:val="1"/>
                <w:bCs w:val="1"/>
                <w:i w:val="1"/>
                <w:iCs w:val="1"/>
                <w:color w:val="auto"/>
              </w:rPr>
              <w:t>Initial Deferral Election</w:t>
            </w:r>
            <w:r>
              <w:rPr>
                <w:rFonts w:ascii="Times New Roman" w:cs="Times New Roman" w:eastAsia="Times New Roman" w:hAnsi="Times New Roman"/>
                <w:sz w:val="22"/>
                <w:szCs w:val="22"/>
                <w:color w:val="auto"/>
              </w:rPr>
              <w:t>”). The Initial Deferral</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Election must be submitted to the Company on or before Initial Election</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rPr>
              <w:t>Deadline,  and  the  Initial  Deferral  Election  shall  become  final  and</w:t>
            </w:r>
          </w:p>
        </w:tc>
      </w:tr>
      <w:tr>
        <w:trPr>
          <w:trHeight w:val="282"/>
        </w:trPr>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irrevocable as of the Initial Election Deadline.</w:t>
            </w:r>
          </w:p>
        </w:tc>
      </w:tr>
      <w:tr>
        <w:trPr>
          <w:trHeight w:val="285"/>
        </w:trPr>
        <w:tc>
          <w:tcPr>
            <w:tcW w:w="2600" w:type="dxa"/>
            <w:vAlign w:val="bottom"/>
          </w:tcPr>
          <w:p>
            <w:pPr>
              <w:spacing w:after="0"/>
              <w:rPr>
                <w:sz w:val="24"/>
                <w:szCs w:val="24"/>
                <w:color w:val="auto"/>
              </w:rPr>
            </w:pPr>
          </w:p>
        </w:tc>
        <w:tc>
          <w:tcPr>
            <w:tcW w:w="1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9"/>
              </w:rPr>
              <w:t>Annual Deferral Election. No later than the Annual Election Deadline, each</w:t>
            </w:r>
          </w:p>
        </w:tc>
      </w:tr>
      <w:tr>
        <w:trPr>
          <w:trHeight w:val="183"/>
        </w:trPr>
        <w:tc>
          <w:tcPr>
            <w:tcW w:w="2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top w:val="single" w:sz="8" w:color="auto"/>
            </w:tcBorders>
          </w:tcPr>
          <w:p>
            <w:pPr>
              <w:spacing w:after="0" w:line="183" w:lineRule="exact"/>
              <w:rPr>
                <w:sz w:val="20"/>
                <w:szCs w:val="20"/>
                <w:color w:val="auto"/>
              </w:rPr>
            </w:pPr>
            <w:r>
              <w:rPr>
                <w:rFonts w:ascii="Times New Roman" w:cs="Times New Roman" w:eastAsia="Times New Roman" w:hAnsi="Times New Roman"/>
                <w:sz w:val="21"/>
                <w:szCs w:val="21"/>
                <w:color w:val="auto"/>
              </w:rPr>
              <w:t>individual who is a Non</w:t>
            </w:r>
          </w:p>
        </w:tc>
        <w:tc>
          <w:tcPr>
            <w:tcW w:w="444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auto"/>
              </w:rPr>
              <w:t>-Employee Director as of immediately before the</w:t>
            </w:r>
          </w:p>
        </w:tc>
      </w:tr>
      <w:tr>
        <w:trPr>
          <w:trHeight w:val="216"/>
        </w:trPr>
        <w:tc>
          <w:tcPr>
            <w:tcW w:w="2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auto"/>
                <w:w w:val="99"/>
              </w:rPr>
              <w:t>Annual Election Deadline may make a Deferral Election with respect to the</w:t>
            </w:r>
          </w:p>
        </w:tc>
      </w:tr>
      <w:tr>
        <w:trPr>
          <w:trHeight w:val="240"/>
        </w:trPr>
        <w:tc>
          <w:tcPr>
            <w:tcW w:w="2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40" w:type="dxa"/>
            <w:vAlign w:val="bottom"/>
            <w:gridSpan w:val="3"/>
          </w:tcPr>
          <w:p>
            <w:pPr>
              <w:spacing w:after="0" w:line="240" w:lineRule="exact"/>
              <w:rPr>
                <w:sz w:val="20"/>
                <w:szCs w:val="20"/>
                <w:color w:val="auto"/>
              </w:rPr>
            </w:pPr>
            <w:r>
              <w:rPr>
                <w:rFonts w:ascii="Times New Roman" w:cs="Times New Roman" w:eastAsia="Times New Roman" w:hAnsi="Times New Roman"/>
                <w:sz w:val="22"/>
                <w:szCs w:val="22"/>
                <w:color w:val="auto"/>
              </w:rPr>
              <w:t>Annual RSU Award and Retainer RSU Awards to be granted in the</w:t>
            </w:r>
          </w:p>
        </w:tc>
      </w:tr>
    </w:tbl>
    <w:p>
      <w:pPr>
        <w:jc w:val="both"/>
        <w:ind w:left="4400" w:right="240"/>
        <w:spacing w:after="0" w:line="212" w:lineRule="auto"/>
        <w:rPr>
          <w:sz w:val="20"/>
          <w:szCs w:val="20"/>
          <w:color w:val="auto"/>
        </w:rPr>
      </w:pPr>
      <w:r>
        <w:rPr>
          <w:rFonts w:ascii="Times New Roman" w:cs="Times New Roman" w:eastAsia="Times New Roman" w:hAnsi="Times New Roman"/>
          <w:sz w:val="22"/>
          <w:szCs w:val="22"/>
          <w:color w:val="auto"/>
        </w:rPr>
        <w:t>following calendar year (the “</w:t>
      </w:r>
      <w:r>
        <w:rPr>
          <w:rFonts w:ascii="Times New Roman" w:cs="Times New Roman" w:eastAsia="Times New Roman" w:hAnsi="Times New Roman"/>
          <w:sz w:val="22"/>
          <w:szCs w:val="22"/>
          <w:b w:val="1"/>
          <w:bCs w:val="1"/>
          <w:i w:val="1"/>
          <w:iCs w:val="1"/>
          <w:color w:val="auto"/>
        </w:rPr>
        <w:t>Annual Deferral Election</w:t>
      </w:r>
      <w:r>
        <w:rPr>
          <w:rFonts w:ascii="Times New Roman" w:cs="Times New Roman" w:eastAsia="Times New Roman" w:hAnsi="Times New Roman"/>
          <w:sz w:val="22"/>
          <w:szCs w:val="22"/>
          <w:color w:val="auto"/>
        </w:rPr>
        <w:t>”). The Annual Deferral Election must be submitted to the Company on or before the applicable Annual Election Deadline and shall become effective and irrevocable for the subsequent calendar year as of the Annual Election Deadline.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Change in Control</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Upon a Change in Control of the Company, all outstanding equity awards granted under the Plan and any other equity incentive plan maintained by the Company that are held by a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240"/>
          </w:cols>
          <w:pgMar w:left="320" w:top="1412" w:right="339" w:bottom="1440" w:gutter="0" w:footer="0" w:header="0"/>
        </w:sectPr>
      </w:pPr>
    </w:p>
    <w:bookmarkStart w:id="131" w:name="page132"/>
    <w:bookmarkEnd w:id="131"/>
    <w:p>
      <w:pPr>
        <w:jc w:val="both"/>
        <w:spacing w:after="0" w:line="236" w:lineRule="auto"/>
        <w:rPr>
          <w:sz w:val="20"/>
          <w:szCs w:val="20"/>
          <w:color w:val="auto"/>
        </w:rPr>
      </w:pPr>
      <w:r>
        <w:rPr>
          <w:rFonts w:ascii="Times New Roman" w:cs="Times New Roman" w:eastAsia="Times New Roman" w:hAnsi="Times New Roman"/>
          <w:sz w:val="22"/>
          <w:szCs w:val="22"/>
          <w:color w:val="auto"/>
        </w:rPr>
        <w:t>Employee Director shall become fully vested and/or exercisable, irrespective of any other provisions of the Non-Employee Director’s Award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Reimbursements</w:t>
      </w:r>
    </w:p>
    <w:p>
      <w:pPr>
        <w:spacing w:after="0" w:line="18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Miscellaneous</w:t>
      </w:r>
    </w:p>
    <w:p>
      <w:pPr>
        <w:spacing w:after="0" w:line="2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|US-DOCS\138833522.1||</w:t>
      </w:r>
    </w:p>
    <w:p>
      <w:pPr>
        <w:sectPr>
          <w:pgSz w:w="11900" w:h="16838" w:orient="portrait"/>
          <w:cols w:equalWidth="0" w:num="1">
            <w:col w:w="11240"/>
          </w:cols>
          <w:pgMar w:left="320" w:top="139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LOAN AND SECURITY 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THIS THIRD AMENDMENT TO LOAN AND SECURITY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February 10, 2023, is entered into by and among OUSTER, INC., a Delaware corporation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 “</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the several banks and other financial institutions or entities party 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 and HERCULES CAPITAL, INC., a Maryland corporation, in its capacity as administrative agent and collateral agent for itself and the Lenders (together with its successors and assigns,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56"/>
        <w:spacing w:after="0" w:line="220"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Guarantors, Lenders and Agent are parties to that certain Loan and Security Agreement, dated as of April 29, 2022, as amended by that certain First Amendment to Loan and Security Agreement dated as of August 5, 2022, and as amended by that certain Consent and Second Amendment to Loan and Security Agreement dated as of November 1, 2022 (the “</w:t>
      </w:r>
      <w:r>
        <w:rPr>
          <w:rFonts w:ascii="Times New Roman" w:cs="Times New Roman" w:eastAsia="Times New Roman" w:hAnsi="Times New Roman"/>
          <w:sz w:val="20"/>
          <w:szCs w:val="20"/>
          <w:u w:val="single" w:color="auto"/>
          <w:color w:val="auto"/>
        </w:rPr>
        <w:t>Existing Loan Agreement</w:t>
      </w:r>
      <w:r>
        <w:rPr>
          <w:rFonts w:ascii="Times New Roman" w:cs="Times New Roman" w:eastAsia="Times New Roman" w:hAnsi="Times New Roman"/>
          <w:sz w:val="20"/>
          <w:szCs w:val="20"/>
          <w:color w:val="auto"/>
        </w:rPr>
        <w:t>”, and as the same may be further amended, restated, supplemented or otherwise modified from time to time prior to the date of this Agreement,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requested that Agent and the Lenders make certain revisions to the Existing Loan Agreement.</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Definitions; Interpretation.</w:t>
      </w:r>
    </w:p>
    <w:p>
      <w:pPr>
        <w:spacing w:after="0" w:line="200" w:lineRule="exact"/>
        <w:rPr>
          <w:sz w:val="20"/>
          <w:szCs w:val="20"/>
          <w:color w:val="auto"/>
        </w:rPr>
      </w:pPr>
    </w:p>
    <w:p>
      <w:pPr>
        <w:ind w:firstLine="656"/>
        <w:spacing w:after="0" w:line="235" w:lineRule="auto"/>
        <w:tabs>
          <w:tab w:leader="none" w:pos="129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Agreement (including in the recitals hereof)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defined herein shall have the meanings assigned to them in the Loan Agreement (as amended by this Agreement).</w:t>
      </w:r>
    </w:p>
    <w:p>
      <w:pPr>
        <w:spacing w:after="0" w:line="157" w:lineRule="exact"/>
        <w:rPr>
          <w:rFonts w:ascii="Times New Roman" w:cs="Times New Roman" w:eastAsia="Times New Roman" w:hAnsi="Times New Roman"/>
          <w:sz w:val="18"/>
          <w:szCs w:val="18"/>
          <w:color w:val="auto"/>
        </w:rPr>
      </w:pPr>
    </w:p>
    <w:p>
      <w:pPr>
        <w:ind w:firstLine="656"/>
        <w:spacing w:after="0" w:line="245" w:lineRule="auto"/>
        <w:tabs>
          <w:tab w:leader="none" w:pos="12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in Section 1.3 of the Loan Agreement shall be applicable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are incorporated herein by this reference.</w:t>
      </w:r>
    </w:p>
    <w:p>
      <w:pPr>
        <w:spacing w:after="0" w:line="1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Amendments to the Existing Loan Agreement.</w:t>
      </w:r>
    </w:p>
    <w:p>
      <w:pPr>
        <w:spacing w:after="0" w:line="204"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Upon satisfaction of the conditions set forth in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hereof, the Existing Loan Agreement is hereby amended as follows:</w:t>
      </w:r>
    </w:p>
    <w:p>
      <w:pPr>
        <w:spacing w:after="0" w:line="186" w:lineRule="exact"/>
        <w:rPr>
          <w:rFonts w:ascii="Times New Roman" w:cs="Times New Roman" w:eastAsia="Times New Roman" w:hAnsi="Times New Roman"/>
          <w:sz w:val="17"/>
          <w:szCs w:val="17"/>
          <w:color w:val="auto"/>
        </w:rPr>
      </w:pPr>
    </w:p>
    <w:p>
      <w:pPr>
        <w:ind w:left="1940" w:hanging="636"/>
        <w:spacing w:after="0"/>
        <w:tabs>
          <w:tab w:leader="none" w:pos="1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sets forth a clean copy of the Loan Agreement as amended 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deletions of the text in the Existing Loan Agreement (including, to the extent included in such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each Schedule or Exhibit to the Existing Loan Agreement) are indicated by </w:t>
      </w:r>
      <w:r>
        <w:rPr>
          <w:rFonts w:ascii="Times New Roman" w:cs="Times New Roman" w:eastAsia="Times New Roman" w:hAnsi="Times New Roman"/>
          <w:sz w:val="20"/>
          <w:szCs w:val="20"/>
          <w:color w:val="FF0000"/>
          <w:strike w:val="1"/>
        </w:rPr>
        <w:t>struck-through text</w:t>
      </w:r>
      <w:r>
        <w:rPr>
          <w:rFonts w:ascii="Times New Roman" w:cs="Times New Roman" w:eastAsia="Times New Roman" w:hAnsi="Times New Roman"/>
          <w:sz w:val="20"/>
          <w:szCs w:val="20"/>
          <w:color w:val="auto"/>
        </w:rPr>
        <w:t xml:space="preserve">, and insertions of text are indicated by </w:t>
      </w:r>
      <w:r>
        <w:rPr>
          <w:rFonts w:ascii="Times New Roman" w:cs="Times New Roman" w:eastAsia="Times New Roman" w:hAnsi="Times New Roman"/>
          <w:sz w:val="20"/>
          <w:szCs w:val="20"/>
          <w:b w:val="1"/>
          <w:bCs w:val="1"/>
          <w:u w:val="single" w:color="auto"/>
          <w:color w:val="0000FF"/>
        </w:rPr>
        <w:t>bold, double-underlined text</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18"/>
          <w:szCs w:val="18"/>
          <w:color w:val="auto"/>
        </w:rPr>
      </w:pPr>
    </w:p>
    <w:p>
      <w:pPr>
        <w:jc w:val="both"/>
        <w:ind w:firstLine="656"/>
        <w:spacing w:after="0" w:line="227" w:lineRule="auto"/>
        <w:tabs>
          <w:tab w:leader="none" w:pos="12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References Within Existing Loan Agreement</w:t>
      </w:r>
      <w:r>
        <w:rPr>
          <w:rFonts w:ascii="Times New Roman" w:cs="Times New Roman" w:eastAsia="Times New Roman" w:hAnsi="Times New Roman"/>
          <w:sz w:val="20"/>
          <w:szCs w:val="20"/>
          <w:color w:val="auto"/>
        </w:rPr>
        <w:t>. Each reference in the Existing Loan Agreement to “this Agreement”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words “hereof,” “herein,” “hereunder,” or words of like import, shall mean and be a reference to the Existing Loan Agreement as amended by this Agreement. This Agreement shall be a Loan Document.</w:t>
      </w:r>
    </w:p>
    <w:p>
      <w:pPr>
        <w:spacing w:after="0" w:line="1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Conditions of Effectiveness</w:t>
      </w:r>
      <w:r>
        <w:rPr>
          <w:rFonts w:ascii="Times New Roman" w:cs="Times New Roman" w:eastAsia="Times New Roman" w:hAnsi="Times New Roman"/>
          <w:sz w:val="19"/>
          <w:szCs w:val="19"/>
          <w:color w:val="auto"/>
        </w:rPr>
        <w:t>. The effectiveness of this Agreement (the “</w:t>
      </w:r>
      <w:r>
        <w:rPr>
          <w:rFonts w:ascii="Times New Roman" w:cs="Times New Roman" w:eastAsia="Times New Roman" w:hAnsi="Times New Roman"/>
          <w:sz w:val="19"/>
          <w:szCs w:val="19"/>
          <w:u w:val="single" w:color="auto"/>
          <w:color w:val="auto"/>
        </w:rPr>
        <w:t>Third Amendment Effective Date</w:t>
      </w:r>
      <w:r>
        <w:rPr>
          <w:rFonts w:ascii="Times New Roman" w:cs="Times New Roman" w:eastAsia="Times New Roman" w:hAnsi="Times New Roman"/>
          <w:sz w:val="19"/>
          <w:szCs w:val="19"/>
          <w:color w:val="auto"/>
        </w:rPr>
        <w:t>”) shall be subject</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Agent’s receipt of the following documents, in form and substance satisfactory to Agent, or, as applicable, the following conditions being met:</w:t>
      </w:r>
    </w:p>
    <w:p>
      <w:pPr>
        <w:spacing w:after="0" w:line="162" w:lineRule="exact"/>
        <w:rPr>
          <w:sz w:val="20"/>
          <w:szCs w:val="20"/>
          <w:color w:val="auto"/>
        </w:rPr>
      </w:pPr>
    </w:p>
    <w:p>
      <w:pPr>
        <w:ind w:left="1300" w:hanging="644"/>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executed by Agent, each Lender, Borrower and Guarantors;</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 xml:space="preserve">Borrower shall have paid (i) all invoiced costs and expenses then due in accordance with </w:t>
      </w:r>
      <w:r>
        <w:rPr>
          <w:rFonts w:ascii="Times New Roman" w:cs="Times New Roman" w:eastAsia="Times New Roman" w:hAnsi="Times New Roman"/>
          <w:sz w:val="19"/>
          <w:szCs w:val="19"/>
          <w:u w:val="single" w:color="auto"/>
          <w:color w:val="auto"/>
        </w:rPr>
        <w:t>Section 6(d)</w:t>
      </w:r>
      <w:r>
        <w:rPr>
          <w:rFonts w:ascii="Times New Roman" w:cs="Times New Roman" w:eastAsia="Times New Roman" w:hAnsi="Times New Roman"/>
          <w:sz w:val="19"/>
          <w:szCs w:val="19"/>
          <w:color w:val="auto"/>
        </w:rPr>
        <w:t xml:space="preserve"> of this Agreement, and</w:t>
      </w:r>
    </w:p>
    <w:p>
      <w:pPr>
        <w:ind w:left="300" w:hanging="292"/>
        <w:spacing w:after="0"/>
        <w:tabs>
          <w:tab w:leader="none" w:pos="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fees, costs and expenses, if any, due and payable as of the date hereof under the Loan Agreement; and</w:t>
      </w:r>
    </w:p>
    <w:p>
      <w:pPr>
        <w:sectPr>
          <w:pgSz w:w="11900" w:h="16838" w:orient="portrait"/>
          <w:cols w:equalWidth="0" w:num="1">
            <w:col w:w="11240"/>
          </w:cols>
          <w:pgMar w:left="320" w:top="117" w:right="339" w:bottom="1440" w:gutter="0" w:footer="0" w:header="0"/>
        </w:sectPr>
      </w:pPr>
    </w:p>
    <w:bookmarkStart w:id="133" w:name="page134"/>
    <w:bookmarkEnd w:id="133"/>
    <w:p>
      <w:pPr>
        <w:ind w:firstLine="656"/>
        <w:spacing w:after="0"/>
        <w:tabs>
          <w:tab w:leader="none" w:pos="12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Third Amendment Effective Date, immediately after giving effect to the amendment of the Loan Agreement contemplated hereby:</w:t>
      </w:r>
    </w:p>
    <w:p>
      <w:pPr>
        <w:spacing w:after="0" w:line="147" w:lineRule="exact"/>
        <w:rPr>
          <w:rFonts w:ascii="Times New Roman" w:cs="Times New Roman" w:eastAsia="Times New Roman" w:hAnsi="Times New Roman"/>
          <w:sz w:val="18"/>
          <w:szCs w:val="18"/>
          <w:color w:val="auto"/>
        </w:rPr>
      </w:pPr>
    </w:p>
    <w:p>
      <w:pPr>
        <w:ind w:firstLine="1304"/>
        <w:spacing w:after="0"/>
        <w:tabs>
          <w:tab w:leader="none" w:pos="19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of this Agreement shall be true and correct on and as of the Third Amendment Effective Date as though made on and as of such date; and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exist no Events of Default or events that with the passage of time would result in an Event of Default.</w:t>
      </w:r>
    </w:p>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To induce Agent and Lenders to enter into this Agreement, Borrower hereby confirms,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of the date hereof, (a) that the representations and warranties made by it in Section 5 of the Loan Agreement and in the other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Documents are true and correct in all material respects;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to the extent</w:t>
      </w:r>
    </w:p>
    <w:p>
      <w:pPr>
        <w:spacing w:after="0" w:line="211" w:lineRule="auto"/>
        <w:rPr>
          <w:sz w:val="20"/>
          <w:szCs w:val="20"/>
          <w:color w:val="auto"/>
        </w:rPr>
      </w:pPr>
      <w:r>
        <w:rPr>
          <w:rFonts w:ascii="Times New Roman" w:cs="Times New Roman" w:eastAsia="Times New Roman" w:hAnsi="Times New Roman"/>
          <w:sz w:val="20"/>
          <w:szCs w:val="20"/>
          <w:color w:val="auto"/>
        </w:rPr>
        <w:t>such representations and warranties by their terms expressly relate only to a prior date such representations and warranties shall be true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correct as of such prior date, and (a) that no Event of Default has occurred and is continuing; (b) that there has not been and there does not exist a Material Adverse Effect; (c) Lenders have and shall continue to have valid, enforceable and perfected first-priority liens, subject only</w:t>
      </w:r>
    </w:p>
    <w:p>
      <w:pPr>
        <w:spacing w:after="0" w:line="211" w:lineRule="auto"/>
        <w:rPr>
          <w:sz w:val="20"/>
          <w:szCs w:val="20"/>
          <w:color w:val="auto"/>
        </w:rPr>
      </w:pPr>
      <w:r>
        <w:rPr>
          <w:rFonts w:ascii="Times New Roman" w:cs="Times New Roman" w:eastAsia="Times New Roman" w:hAnsi="Times New Roman"/>
          <w:sz w:val="20"/>
          <w:szCs w:val="20"/>
          <w:color w:val="auto"/>
        </w:rPr>
        <w:t>to Permitted Liens, on and security interests in the Collateral and all other collateral heretofore granted by Borrower to Lenders, pursuant to</w:t>
      </w:r>
    </w:p>
    <w:p>
      <w:pPr>
        <w:spacing w:after="0" w:line="204" w:lineRule="auto"/>
        <w:rPr>
          <w:sz w:val="20"/>
          <w:szCs w:val="20"/>
          <w:color w:val="auto"/>
        </w:rPr>
      </w:pPr>
      <w:r>
        <w:rPr>
          <w:rFonts w:ascii="Times New Roman" w:cs="Times New Roman" w:eastAsia="Times New Roman" w:hAnsi="Times New Roman"/>
          <w:sz w:val="20"/>
          <w:szCs w:val="20"/>
          <w:color w:val="auto"/>
        </w:rPr>
        <w:t>the Loan Documents or otherwise granted to or held by Lenders; (d) the agreements and obligations of Borrower contained in the Loan Documents and in this Agreement constitute the legal, valid and binding obligations of Borrower, enforceable against Borrower in</w:t>
      </w:r>
    </w:p>
    <w:p>
      <w:pPr>
        <w:spacing w:after="0" w:line="223" w:lineRule="auto"/>
        <w:rPr>
          <w:sz w:val="20"/>
          <w:szCs w:val="20"/>
          <w:color w:val="auto"/>
        </w:rPr>
      </w:pPr>
      <w:r>
        <w:rPr>
          <w:rFonts w:ascii="Times New Roman" w:cs="Times New Roman" w:eastAsia="Times New Roman" w:hAnsi="Times New Roman"/>
          <w:sz w:val="19"/>
          <w:szCs w:val="19"/>
          <w:color w:val="auto"/>
        </w:rPr>
        <w:t>accordance with their respective terms, except as the enforceability thereof may be limited by bankruptcy, insolvency or other similar laws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general application affecting the enforcement of creditors’ rights or by the application of general principles of equity; and (e) the execution, delivery and performance of this Agreement by Borrower will not violate any law, rule, regulation, order, contractual obligation or</w:t>
      </w:r>
    </w:p>
    <w:p>
      <w:pPr>
        <w:spacing w:after="0" w:line="211" w:lineRule="auto"/>
        <w:rPr>
          <w:sz w:val="20"/>
          <w:szCs w:val="20"/>
          <w:color w:val="auto"/>
        </w:rPr>
      </w:pPr>
      <w:r>
        <w:rPr>
          <w:rFonts w:ascii="Times New Roman" w:cs="Times New Roman" w:eastAsia="Times New Roman" w:hAnsi="Times New Roman"/>
          <w:sz w:val="20"/>
          <w:szCs w:val="20"/>
          <w:color w:val="auto"/>
        </w:rPr>
        <w:t>organizational document of Borrower and will not result in, or require, the creation or imposition of any lien, claim or encumbrance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kind on any of its properties or revenues. For the purposes of this Section 4, each reference in Section 5 of the Loan Agreement to “this Agreement,” and the words “hereof”, “herein”, “hereunder”, or words of like import in such Section, shall mean and be a reference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Agreement as amended by this Agreement.</w:t>
      </w:r>
    </w:p>
    <w:p>
      <w:pPr>
        <w:spacing w:after="0" w:line="16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consideration of the agreements of Agent and each Lender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Borrower, on behalf of itself and its successors, assigns, and</w:t>
      </w:r>
    </w:p>
    <w:p>
      <w:pPr>
        <w:spacing w:after="0" w:line="211" w:lineRule="auto"/>
        <w:rPr>
          <w:sz w:val="20"/>
          <w:szCs w:val="20"/>
          <w:color w:val="auto"/>
        </w:rPr>
      </w:pPr>
      <w:r>
        <w:rPr>
          <w:rFonts w:ascii="Times New Roman" w:cs="Times New Roman" w:eastAsia="Times New Roman" w:hAnsi="Times New Roman"/>
          <w:sz w:val="20"/>
          <w:szCs w:val="20"/>
          <w:color w:val="auto"/>
        </w:rPr>
        <w:t>other legal representatives, hereby to the extent possible under applicable law fully, absolutely, unconditionally and irrevocably releases,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remises and forever discharges Agent and each Lender, and its successors and assigns, and its present and former shareholders, affiliates, subsidiaries, divisions, predecessors, directors, officers, attorneys, employees, agents and other representatives (Agent, Lenders and all such</w:t>
      </w:r>
    </w:p>
    <w:p>
      <w:pPr>
        <w:spacing w:after="0" w:line="211" w:lineRule="auto"/>
        <w:rPr>
          <w:sz w:val="20"/>
          <w:szCs w:val="20"/>
          <w:color w:val="auto"/>
        </w:rPr>
      </w:pPr>
      <w:r>
        <w:rPr>
          <w:rFonts w:ascii="Times New Roman" w:cs="Times New Roman" w:eastAsia="Times New Roman" w:hAnsi="Times New Roman"/>
          <w:sz w:val="20"/>
          <w:szCs w:val="20"/>
          <w:color w:val="auto"/>
        </w:rPr>
        <w:t>other persons being hereinafter referred to collectively as the “</w:t>
      </w:r>
      <w:r>
        <w:rPr>
          <w:rFonts w:ascii="Times New Roman" w:cs="Times New Roman" w:eastAsia="Times New Roman" w:hAnsi="Times New Roman"/>
          <w:sz w:val="20"/>
          <w:szCs w:val="20"/>
          <w:b w:val="1"/>
          <w:bCs w:val="1"/>
          <w:color w:val="auto"/>
        </w:rPr>
        <w:t>Releasees</w:t>
      </w:r>
      <w:r>
        <w:rPr>
          <w:rFonts w:ascii="Times New Roman" w:cs="Times New Roman" w:eastAsia="Times New Roman" w:hAnsi="Times New Roman"/>
          <w:sz w:val="20"/>
          <w:szCs w:val="20"/>
          <w:color w:val="auto"/>
        </w:rPr>
        <w:t>” and individually as a “</w:t>
      </w:r>
      <w:r>
        <w:rPr>
          <w:rFonts w:ascii="Times New Roman" w:cs="Times New Roman" w:eastAsia="Times New Roman" w:hAnsi="Times New Roman"/>
          <w:sz w:val="20"/>
          <w:szCs w:val="20"/>
          <w:b w:val="1"/>
          <w:bCs w:val="1"/>
          <w:color w:val="auto"/>
        </w:rPr>
        <w:t>Releasee</w:t>
      </w:r>
      <w:r>
        <w:rPr>
          <w:rFonts w:ascii="Times New Roman" w:cs="Times New Roman" w:eastAsia="Times New Roman" w:hAnsi="Times New Roman"/>
          <w:sz w:val="20"/>
          <w:szCs w:val="20"/>
          <w:color w:val="auto"/>
        </w:rPr>
        <w:t>”), of and from all demands,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actions, causes of action, suits, covenants, contracts, controversies, agreements, promises, sums of money, accounts, bills, reckonings, damages and any and all other claims, counterclaims, defenses, rights of set-off, demands and liabilities whatsoever of every name and</w:t>
      </w:r>
    </w:p>
    <w:p>
      <w:pPr>
        <w:spacing w:after="0" w:line="211" w:lineRule="auto"/>
        <w:rPr>
          <w:sz w:val="20"/>
          <w:szCs w:val="20"/>
          <w:color w:val="auto"/>
        </w:rPr>
      </w:pPr>
      <w:r>
        <w:rPr>
          <w:rFonts w:ascii="Times New Roman" w:cs="Times New Roman" w:eastAsia="Times New Roman" w:hAnsi="Times New Roman"/>
          <w:sz w:val="20"/>
          <w:szCs w:val="20"/>
          <w:color w:val="auto"/>
        </w:rPr>
        <w:t>nature, known or unknown, suspected or unsuspected, both at law and in equity, which Borrower, or any of its successors, assigns, or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legal representatives may now or hereafter own, hold, have or claim to have against the Releasees or any of them for, upon, or by reason of any circumstance, action, cause or thing whatsoever which arises at any time on or prior to the day and date of this Agreement, for or 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 of, or in relation to, or in any way in connection with the Loan Agreement, or any of the other Loan Documents or transactions thereunder or related thereto. Borrower understands, acknowledges and agrees that the release set forth above may be pleaded as a full and</w:t>
      </w:r>
    </w:p>
    <w:p>
      <w:pPr>
        <w:spacing w:after="0" w:line="211" w:lineRule="auto"/>
        <w:rPr>
          <w:sz w:val="20"/>
          <w:szCs w:val="20"/>
          <w:color w:val="auto"/>
        </w:rPr>
      </w:pPr>
      <w:r>
        <w:rPr>
          <w:rFonts w:ascii="Times New Roman" w:cs="Times New Roman" w:eastAsia="Times New Roman" w:hAnsi="Times New Roman"/>
          <w:sz w:val="20"/>
          <w:szCs w:val="20"/>
          <w:color w:val="auto"/>
        </w:rPr>
        <w:t>complete defense and may be used as a basis for an injunction against any action, suit or other proceeding which may be instituted,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prosecuted or attempted in breach of the provisions of such release. Borrower agrees that no fact, event, circumstance, evidence or transaction which could now be asserted or which may hereafter be discovered shall affect in any manner the final, absolute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unconditional nature of the release set forth above.</w:t>
      </w:r>
    </w:p>
    <w:p>
      <w:pPr>
        <w:spacing w:after="0" w:line="16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9" w:right="339" w:bottom="1440" w:gutter="0" w:footer="0" w:header="0"/>
        </w:sectPr>
      </w:pPr>
    </w:p>
    <w:bookmarkStart w:id="134" w:name="page135"/>
    <w:bookmarkEnd w:id="134"/>
    <w:p>
      <w:pPr>
        <w:ind w:left="1080" w:hanging="64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Loan Documents Otherwise Not Affected; Reaffirmation; No Novation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18"/>
          <w:szCs w:val="18"/>
          <w:color w:val="auto"/>
        </w:rPr>
      </w:pPr>
    </w:p>
    <w:p>
      <w:pPr>
        <w:jc w:val="both"/>
        <w:ind w:left="-220" w:firstLine="1304"/>
        <w:spacing w:after="0" w:line="222" w:lineRule="auto"/>
        <w:tabs>
          <w:tab w:leader="none" w:pos="17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Agreement shall not be deemed to create a course of dealing or otherwise create any express or implied duty by any of them to provide any other or further amendments, consents or waivers in the future.</w:t>
      </w:r>
    </w:p>
    <w:p>
      <w:pPr>
        <w:spacing w:after="0" w:line="148" w:lineRule="exact"/>
        <w:rPr>
          <w:rFonts w:ascii="Times New Roman" w:cs="Times New Roman" w:eastAsia="Times New Roman" w:hAnsi="Times New Roman"/>
          <w:sz w:val="18"/>
          <w:szCs w:val="18"/>
          <w:color w:val="auto"/>
        </w:rPr>
      </w:pPr>
    </w:p>
    <w:p>
      <w:pPr>
        <w:jc w:val="both"/>
        <w:ind w:left="-220" w:firstLine="1304"/>
        <w:spacing w:after="0" w:line="226" w:lineRule="auto"/>
        <w:tabs>
          <w:tab w:leader="none" w:pos="171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Borrower hereby expressly (1) reaffirms, ratifies and confirms its Secured Obligations under the Loan Agreement and the other Loan Documents, (2) reaffirms, ratifies and confirms the grant of security under Section 3 of the Loan Agreement, (3) reaffirms that such grant of security in the Collateral secures all Secured Obligations under the Loan Agreement, including without limitation any Term Loan Advances funded on or after the Third Amendment Effective Date, as of the date hereof, and with effect from (and including) the Third Amendment Effective Date, such grant of security in the Collateral: (x) remains in full force and effect notwithstanding the amendments expressly referenced herein; and (y) secures all Secured Obligations under the Loan Agreement, as amended by this Agreement, and the other Loan Documents, (4) agrees that this Agreement shall be a “Loan Document” under the Loan Agreement, and (5) agrees that the Loan Agreement and each other Loan Document shall remain in full force and effect following any action contemplated in connection herewith.</w:t>
      </w:r>
    </w:p>
    <w:p>
      <w:pPr>
        <w:spacing w:after="0" w:line="163" w:lineRule="exact"/>
        <w:rPr>
          <w:rFonts w:ascii="Times New Roman" w:cs="Times New Roman" w:eastAsia="Times New Roman" w:hAnsi="Times New Roman"/>
          <w:sz w:val="17"/>
          <w:szCs w:val="17"/>
          <w:color w:val="auto"/>
        </w:rPr>
      </w:pPr>
    </w:p>
    <w:p>
      <w:pPr>
        <w:jc w:val="both"/>
        <w:ind w:left="-220" w:firstLine="1304"/>
        <w:spacing w:after="0" w:line="217" w:lineRule="auto"/>
        <w:tabs>
          <w:tab w:leader="none" w:pos="17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Agreement is not a novation and the terms and conditions of this Agreement shall be in addition to and supplemental to all terms and conditions set forth in the Loan Documents. Nothing in this Agreement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57" w:lineRule="exact"/>
        <w:rPr>
          <w:rFonts w:ascii="Times New Roman" w:cs="Times New Roman" w:eastAsia="Times New Roman" w:hAnsi="Times New Roman"/>
          <w:sz w:val="18"/>
          <w:szCs w:val="18"/>
          <w:color w:val="auto"/>
        </w:rPr>
      </w:pPr>
    </w:p>
    <w:p>
      <w:pPr>
        <w:jc w:val="both"/>
        <w:ind w:left="-220" w:firstLine="656"/>
        <w:spacing w:after="0" w:line="223" w:lineRule="auto"/>
        <w:tabs>
          <w:tab w:leader="none" w:pos="10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each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Lender that has signed this Agreement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57" w:lineRule="exact"/>
        <w:rPr>
          <w:rFonts w:ascii="Times New Roman" w:cs="Times New Roman" w:eastAsia="Times New Roman" w:hAnsi="Times New Roman"/>
          <w:sz w:val="18"/>
          <w:szCs w:val="18"/>
          <w:color w:val="auto"/>
        </w:rPr>
      </w:pPr>
    </w:p>
    <w:p>
      <w:pPr>
        <w:jc w:val="both"/>
        <w:ind w:left="-220" w:firstLine="656"/>
        <w:spacing w:after="0" w:line="227" w:lineRule="auto"/>
        <w:tabs>
          <w:tab w:leader="none" w:pos="10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Lenders that Borrower is executing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its own investigation and for its own reasons without reliance upon any agreement, representation, understanding or communication by or on behalf of any other Person.</w:t>
      </w:r>
    </w:p>
    <w:p>
      <w:pPr>
        <w:spacing w:after="0" w:line="157" w:lineRule="exact"/>
        <w:rPr>
          <w:rFonts w:ascii="Times New Roman" w:cs="Times New Roman" w:eastAsia="Times New Roman" w:hAnsi="Times New Roman"/>
          <w:sz w:val="18"/>
          <w:szCs w:val="18"/>
          <w:color w:val="auto"/>
        </w:rPr>
      </w:pPr>
    </w:p>
    <w:p>
      <w:pPr>
        <w:jc w:val="both"/>
        <w:ind w:left="-220" w:firstLine="656"/>
        <w:spacing w:after="0" w:line="223" w:lineRule="auto"/>
        <w:tabs>
          <w:tab w:leader="none" w:pos="10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 costs and expenses of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party hereto, and the fees and disbursements of counsel to Agent and each Lender party hereto (including allocated costs of internal counsel) in connection with the negotiation, preparation, execution and delivery of this Agreement and any other documents to be delivered in connection herewith on the date hereof.</w:t>
      </w:r>
    </w:p>
    <w:p>
      <w:pPr>
        <w:spacing w:after="0" w:line="144" w:lineRule="exact"/>
        <w:rPr>
          <w:rFonts w:ascii="Times New Roman" w:cs="Times New Roman" w:eastAsia="Times New Roman" w:hAnsi="Times New Roman"/>
          <w:sz w:val="18"/>
          <w:szCs w:val="18"/>
          <w:color w:val="auto"/>
        </w:rPr>
      </w:pPr>
    </w:p>
    <w:p>
      <w:pPr>
        <w:ind w:left="1080" w:hanging="64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Agreement binds and is for the benefit of the successors and permitted assigns of each party.</w:t>
      </w:r>
    </w:p>
    <w:p>
      <w:pPr>
        <w:spacing w:after="0" w:line="188" w:lineRule="exact"/>
        <w:rPr>
          <w:rFonts w:ascii="Times New Roman" w:cs="Times New Roman" w:eastAsia="Times New Roman" w:hAnsi="Times New Roman"/>
          <w:sz w:val="18"/>
          <w:szCs w:val="18"/>
          <w:color w:val="auto"/>
        </w:rPr>
      </w:pPr>
    </w:p>
    <w:p>
      <w:pPr>
        <w:jc w:val="both"/>
        <w:ind w:left="-220" w:firstLine="656"/>
        <w:spacing w:after="0" w:line="227" w:lineRule="auto"/>
        <w:tabs>
          <w:tab w:leader="none" w:pos="10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AND THE OTHER LOAN DOCUMENTS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CALIFORNIA, EXCLUDING CONFLICT OF LAWS PRINCIPLES THAT WOULD CAUSE THE APPLICATION OF LAWS OF ANY OTHER JURISDICTION.</w:t>
      </w:r>
    </w:p>
    <w:p>
      <w:pPr>
        <w:spacing w:after="0" w:line="157" w:lineRule="exact"/>
        <w:rPr>
          <w:rFonts w:ascii="Times New Roman" w:cs="Times New Roman" w:eastAsia="Times New Roman" w:hAnsi="Times New Roman"/>
          <w:sz w:val="18"/>
          <w:szCs w:val="18"/>
          <w:color w:val="auto"/>
        </w:rPr>
      </w:pPr>
    </w:p>
    <w:p>
      <w:pPr>
        <w:jc w:val="both"/>
        <w:ind w:left="-220" w:firstLine="656"/>
        <w:spacing w:after="0" w:line="227" w:lineRule="auto"/>
        <w:tabs>
          <w:tab w:leader="none" w:pos="10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Agreement and the Loan Documents represent the entire agreement about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 prior negotiations or agreements with respect to such subject matter. All prior agreements, understandings, representations,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540" w:top="139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and negotiations between the parties about the subject matter of this Agreement and the Loan Documents merge into this Agreement and the Loan Documents.</w:t>
      </w:r>
    </w:p>
    <w:p>
      <w:pPr>
        <w:spacing w:after="0" w:line="144" w:lineRule="exact"/>
        <w:rPr>
          <w:sz w:val="20"/>
          <w:szCs w:val="20"/>
          <w:color w:val="auto"/>
        </w:rPr>
      </w:pPr>
    </w:p>
    <w:p>
      <w:pPr>
        <w:ind w:firstLine="656"/>
        <w:spacing w:after="0" w:line="245" w:lineRule="auto"/>
        <w:tabs>
          <w:tab w:leader="none" w:pos="12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Agreement is severable from every other provision in determining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provision.</w:t>
      </w:r>
    </w:p>
    <w:p>
      <w:pPr>
        <w:spacing w:after="0" w:line="151" w:lineRule="exact"/>
        <w:rPr>
          <w:rFonts w:ascii="Times New Roman" w:cs="Times New Roman" w:eastAsia="Times New Roman" w:hAnsi="Times New Roman"/>
          <w:sz w:val="18"/>
          <w:szCs w:val="18"/>
          <w:color w:val="auto"/>
        </w:rPr>
      </w:pPr>
    </w:p>
    <w:p>
      <w:pPr>
        <w:jc w:val="both"/>
        <w:ind w:firstLine="656"/>
        <w:spacing w:after="0" w:line="223" w:lineRule="auto"/>
        <w:tabs>
          <w:tab w:leader="none" w:pos="12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Agreement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44"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 “signature,” and words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99" w:right="339" w:bottom="1440" w:gutter="0" w:footer="0" w:header="0"/>
        </w:sectPr>
      </w:pPr>
    </w:p>
    <w:bookmarkStart w:id="136" w:name="page137"/>
    <w:bookmarkEnd w:id="136"/>
    <w:p>
      <w:pPr>
        <w:jc w:val="center"/>
        <w:ind w:right="379"/>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Agreement, as of the date first above written.</w:t>
      </w:r>
    </w:p>
    <w:p>
      <w:pPr>
        <w:spacing w:after="0" w:line="2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OUSTER,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u w:val="single" w:color="auto"/>
          <w:color w:val="auto"/>
        </w:rPr>
        <w:t>/s/ Charles Angus Pacala</w:t>
      </w:r>
    </w:p>
    <w:p>
      <w:pPr>
        <w:spacing w:after="0" w:line="216" w:lineRule="exact"/>
        <w:rPr>
          <w:sz w:val="20"/>
          <w:szCs w:val="20"/>
          <w:color w:val="auto"/>
        </w:rPr>
      </w:pPr>
    </w:p>
    <w:p>
      <w:pPr>
        <w:ind w:left="3880"/>
        <w:spacing w:after="0"/>
        <w:tabs>
          <w:tab w:leader="none" w:pos="502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Charles Angus Pacala</w:t>
      </w:r>
    </w:p>
    <w:p>
      <w:pPr>
        <w:spacing w:after="0" w:line="202" w:lineRule="exact"/>
        <w:rPr>
          <w:sz w:val="20"/>
          <w:szCs w:val="20"/>
          <w:color w:val="auto"/>
        </w:rPr>
      </w:pPr>
    </w:p>
    <w:p>
      <w:pPr>
        <w:ind w:left="3880"/>
        <w:spacing w:after="0"/>
        <w:tabs>
          <w:tab w:leader="none" w:pos="4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color w:val="auto"/>
        </w:rPr>
        <w:t>GUARANTORS:</w:t>
      </w:r>
    </w:p>
    <w:p>
      <w:pPr>
        <w:spacing w:after="0" w:line="2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SENSE PHOTONICS,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u w:val="single" w:color="auto"/>
          <w:color w:val="auto"/>
        </w:rPr>
        <w:t>/s/ Charles Angus Pacala</w:t>
      </w:r>
    </w:p>
    <w:p>
      <w:pPr>
        <w:spacing w:after="0" w:line="216" w:lineRule="exact"/>
        <w:rPr>
          <w:sz w:val="20"/>
          <w:szCs w:val="20"/>
          <w:color w:val="auto"/>
        </w:rPr>
      </w:pPr>
    </w:p>
    <w:p>
      <w:pPr>
        <w:ind w:left="3880"/>
        <w:spacing w:after="0"/>
        <w:tabs>
          <w:tab w:leader="none" w:pos="502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Charles Angus Pacala</w:t>
      </w:r>
    </w:p>
    <w:p>
      <w:pPr>
        <w:spacing w:after="0" w:line="216" w:lineRule="exact"/>
        <w:rPr>
          <w:sz w:val="20"/>
          <w:szCs w:val="20"/>
          <w:color w:val="auto"/>
        </w:rPr>
      </w:pPr>
    </w:p>
    <w:p>
      <w:pPr>
        <w:ind w:left="3880"/>
        <w:spacing w:after="0"/>
        <w:tabs>
          <w:tab w:leader="none" w:pos="46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OBAN MERGER SUB,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u w:val="single" w:color="auto"/>
          <w:color w:val="auto"/>
        </w:rPr>
        <w:t>/s/ Mark Frichtl</w:t>
      </w:r>
    </w:p>
    <w:p>
      <w:pPr>
        <w:spacing w:after="0" w:line="216" w:lineRule="exact"/>
        <w:rPr>
          <w:sz w:val="20"/>
          <w:szCs w:val="20"/>
          <w:color w:val="auto"/>
        </w:rPr>
      </w:pPr>
    </w:p>
    <w:p>
      <w:pPr>
        <w:ind w:left="3880"/>
        <w:spacing w:after="0"/>
        <w:tabs>
          <w:tab w:leader="none" w:pos="502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Mark Frichtl</w:t>
      </w:r>
    </w:p>
    <w:p>
      <w:pPr>
        <w:spacing w:after="0" w:line="216" w:lineRule="exact"/>
        <w:rPr>
          <w:sz w:val="20"/>
          <w:szCs w:val="20"/>
          <w:color w:val="auto"/>
        </w:rPr>
      </w:pPr>
    </w:p>
    <w:p>
      <w:pPr>
        <w:jc w:val="center"/>
        <w:ind w:left="3040"/>
        <w:spacing w:after="0"/>
        <w:tabs>
          <w:tab w:leader="none" w:pos="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OBAN MERGER SUB II LLC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80"/>
        <w:spacing w:after="0"/>
        <w:tabs>
          <w:tab w:leader="none" w:pos="48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u w:val="single" w:color="auto"/>
          <w:color w:val="auto"/>
        </w:rPr>
        <w:t>/s/ Mark Frichtl</w:t>
      </w:r>
    </w:p>
    <w:p>
      <w:pPr>
        <w:spacing w:after="0" w:line="216" w:lineRule="exact"/>
        <w:rPr>
          <w:sz w:val="20"/>
          <w:szCs w:val="20"/>
          <w:color w:val="auto"/>
        </w:rPr>
      </w:pPr>
    </w:p>
    <w:p>
      <w:pPr>
        <w:ind w:left="3880"/>
        <w:spacing w:after="0"/>
        <w:tabs>
          <w:tab w:leader="none" w:pos="502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Mark Frichtl</w:t>
      </w:r>
    </w:p>
    <w:p>
      <w:pPr>
        <w:spacing w:after="0" w:line="216" w:lineRule="exact"/>
        <w:rPr>
          <w:sz w:val="20"/>
          <w:szCs w:val="20"/>
          <w:color w:val="auto"/>
        </w:rPr>
      </w:pPr>
    </w:p>
    <w:p>
      <w:pPr>
        <w:jc w:val="center"/>
        <w:ind w:left="3040"/>
        <w:spacing w:after="0"/>
        <w:tabs>
          <w:tab w:leader="none" w:pos="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1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[SIGNATURES CONTINUE ON THE NEXT PAGE]</w:t>
      </w:r>
    </w:p>
    <w:p>
      <w:pPr>
        <w:sectPr>
          <w:pgSz w:w="11900" w:h="16838" w:orient="portrait"/>
          <w:cols w:equalWidth="0" w:num="1">
            <w:col w:w="9479"/>
          </w:cols>
          <w:pgMar w:left="980" w:top="14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[Third Amendment to Loan and Security Agreement]</w:t>
      </w:r>
    </w:p>
    <w:p>
      <w:pPr>
        <w:sectPr>
          <w:pgSz w:w="11900" w:h="16838" w:orient="portrait"/>
          <w:cols w:equalWidth="0" w:num="1">
            <w:col w:w="9479"/>
          </w:cols>
          <w:pgMar w:left="980" w:top="1413" w:right="1440" w:bottom="1440" w:gutter="0" w:footer="0" w:header="0"/>
          <w:type w:val="continuous"/>
        </w:sectPr>
      </w:pPr>
    </w:p>
    <w:bookmarkStart w:id="137" w:name="page138"/>
    <w:bookmarkEnd w:id="137"/>
    <w:p>
      <w:pPr>
        <w:ind w:left="260"/>
        <w:spacing w:after="0"/>
        <w:rPr>
          <w:sz w:val="20"/>
          <w:szCs w:val="20"/>
          <w:color w:val="auto"/>
        </w:rPr>
      </w:pPr>
      <w:r>
        <w:rPr>
          <w:rFonts w:ascii="Times New Roman" w:cs="Times New Roman" w:eastAsia="Times New Roman" w:hAnsi="Times New Roman"/>
          <w:sz w:val="20"/>
          <w:szCs w:val="20"/>
          <w:color w:val="auto"/>
        </w:rPr>
        <w:t>AGENT:</w:t>
      </w:r>
    </w:p>
    <w:p>
      <w:pPr>
        <w:spacing w:after="0" w:line="2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20"/>
        <w:spacing w:after="0"/>
        <w:tabs>
          <w:tab w:leader="none" w:pos="3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Seth Meyer</w:t>
      </w:r>
    </w:p>
    <w:p>
      <w:pPr>
        <w:spacing w:after="0" w:line="216"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Seth Meyer</w:t>
      </w:r>
    </w:p>
    <w:p>
      <w:pPr>
        <w:spacing w:after="0" w:line="216" w:lineRule="exact"/>
        <w:rPr>
          <w:sz w:val="20"/>
          <w:szCs w:val="20"/>
          <w:color w:val="auto"/>
        </w:rPr>
      </w:pPr>
    </w:p>
    <w:p>
      <w:pPr>
        <w:jc w:val="center"/>
        <w:ind w:right="-280"/>
        <w:spacing w:after="0"/>
        <w:tabs>
          <w:tab w:leader="none" w:pos="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[Third Amendment to Loan and Security Agreement]</w:t>
      </w:r>
    </w:p>
    <w:p>
      <w:pPr>
        <w:sectPr>
          <w:pgSz w:w="11900" w:h="16838" w:orient="portrait"/>
          <w:cols w:equalWidth="0" w:num="1">
            <w:col w:w="9019"/>
          </w:cols>
          <w:pgMar w:left="1440" w:top="1413" w:right="1440" w:bottom="1440" w:gutter="0" w:footer="0" w:header="0"/>
        </w:sectPr>
      </w:pPr>
    </w:p>
    <w:bookmarkStart w:id="138" w:name="page139"/>
    <w:bookmarkEnd w:id="138"/>
    <w:p>
      <w:pPr>
        <w:ind w:left="3420"/>
        <w:spacing w:after="0"/>
        <w:rPr>
          <w:sz w:val="20"/>
          <w:szCs w:val="20"/>
          <w:color w:val="auto"/>
        </w:rPr>
      </w:pPr>
      <w:r>
        <w:rPr>
          <w:rFonts w:ascii="Times New Roman" w:cs="Times New Roman" w:eastAsia="Times New Roman" w:hAnsi="Times New Roman"/>
          <w:sz w:val="20"/>
          <w:szCs w:val="20"/>
          <w:color w:val="auto"/>
        </w:rPr>
        <w:t>LENDERS: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20"/>
        <w:spacing w:after="0"/>
        <w:tabs>
          <w:tab w:leader="none" w:pos="3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Seth Meyer</w:t>
      </w:r>
    </w:p>
    <w:p>
      <w:pPr>
        <w:spacing w:after="0" w:line="216"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Seth Meyer</w:t>
      </w:r>
    </w:p>
    <w:p>
      <w:pPr>
        <w:spacing w:after="0" w:line="216" w:lineRule="exact"/>
        <w:rPr>
          <w:sz w:val="20"/>
          <w:szCs w:val="20"/>
          <w:color w:val="auto"/>
        </w:rPr>
      </w:pPr>
    </w:p>
    <w:p>
      <w:pPr>
        <w:jc w:val="center"/>
        <w:ind w:right="120"/>
        <w:spacing w:after="0"/>
        <w:tabs>
          <w:tab w:leader="none" w:pos="1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b w:val="1"/>
          <w:bCs w:val="1"/>
          <w:color w:val="auto"/>
        </w:rPr>
        <w:t>HERCULES PRIVATE GLOBAL VENTURE GROWTH FUND I L.P.</w:t>
      </w:r>
    </w:p>
    <w:p>
      <w:pPr>
        <w:spacing w:after="0" w:line="2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20"/>
        </w:trPr>
        <w:tc>
          <w:tcPr>
            <w:tcW w:w="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2"/>
        </w:trPr>
        <w:tc>
          <w:tcPr>
            <w:tcW w:w="2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Seth Meyer</w:t>
            </w:r>
          </w:p>
        </w:tc>
      </w:tr>
      <w:tr>
        <w:trPr>
          <w:trHeight w:val="445"/>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[Third Amendment to Loan and Security Agreement]</w:t>
      </w:r>
    </w:p>
    <w:p>
      <w:pPr>
        <w:sectPr>
          <w:pgSz w:w="11900" w:h="16838" w:orient="portrait"/>
          <w:cols w:equalWidth="0" w:num="1">
            <w:col w:w="9420"/>
          </w:cols>
          <w:pgMar w:left="1440" w:top="1413" w:right="1039" w:bottom="1440" w:gutter="0" w:footer="0" w:header="0"/>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[Attached]</w:t>
      </w:r>
    </w:p>
    <w:p>
      <w:pPr>
        <w:sectPr>
          <w:pgSz w:w="11900" w:h="16838" w:orient="portrait"/>
          <w:cols w:equalWidth="0" w:num="1">
            <w:col w:w="9019"/>
          </w:cols>
          <w:pgMar w:left="1440" w:top="1409" w:right="1440" w:bottom="1440" w:gutter="0" w:footer="0" w:header="0"/>
          <w:type w:val="continuous"/>
        </w:sectPr>
      </w:pPr>
    </w:p>
    <w:bookmarkStart w:id="140" w:name="page141"/>
    <w:bookmarkEnd w:id="14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[Attached]</w:t>
      </w:r>
    </w:p>
    <w:p>
      <w:pPr>
        <w:sectPr>
          <w:pgSz w:w="11900" w:h="16838" w:orient="portrait"/>
          <w:cols w:equalWidth="0" w:num="1">
            <w:col w:w="9019"/>
          </w:cols>
          <w:pgMar w:left="1440" w:top="1440" w:right="1440" w:bottom="1440" w:gutter="0" w:footer="0" w:header="0"/>
          <w:type w:val="continuous"/>
        </w:sectPr>
      </w:pPr>
    </w:p>
    <w:bookmarkStart w:id="141" w:name="page142"/>
    <w:bookmarkEnd w:id="141"/>
    <w:p>
      <w:pPr>
        <w:jc w:val="right"/>
        <w:spacing w:after="0"/>
        <w:rPr>
          <w:sz w:val="20"/>
          <w:szCs w:val="20"/>
          <w:color w:val="auto"/>
        </w:rPr>
      </w:pPr>
      <w:r>
        <w:rPr>
          <w:rFonts w:ascii="Calibri" w:cs="Calibri" w:eastAsia="Calibri" w:hAnsi="Calibri"/>
          <w:sz w:val="22"/>
          <w:szCs w:val="22"/>
          <w:b w:val="1"/>
          <w:bCs w:val="1"/>
          <w:i w:val="1"/>
          <w:iCs w:val="1"/>
          <w:color w:val="FF0000"/>
          <w:strike w:val="1"/>
        </w:rPr>
        <w:t>Conformed through Second</w:t>
      </w:r>
      <w:r>
        <w:rPr>
          <w:rFonts w:ascii="Calibri" w:cs="Calibri" w:eastAsia="Calibri" w:hAnsi="Calibri"/>
          <w:sz w:val="22"/>
          <w:szCs w:val="22"/>
          <w:b w:val="1"/>
          <w:bCs w:val="1"/>
          <w:i w:val="1"/>
          <w:iCs w:val="1"/>
          <w:u w:val="single" w:color="auto"/>
          <w:color w:val="0000FF"/>
        </w:rPr>
        <w:t>Exhibit A to Third</w:t>
      </w:r>
      <w:r>
        <w:rPr>
          <w:rFonts w:ascii="Calibri" w:cs="Calibri" w:eastAsia="Calibri" w:hAnsi="Calibri"/>
          <w:sz w:val="22"/>
          <w:szCs w:val="22"/>
          <w:b w:val="1"/>
          <w:bCs w:val="1"/>
          <w:i w:val="1"/>
          <w:iCs w:val="1"/>
          <w:color w:val="FF0000"/>
        </w:rPr>
        <w:t xml:space="preserve"> </w:t>
      </w:r>
      <w:r>
        <w:rPr>
          <w:rFonts w:ascii="Calibri" w:cs="Calibri" w:eastAsia="Calibri" w:hAnsi="Calibri"/>
          <w:sz w:val="22"/>
          <w:szCs w:val="22"/>
          <w:b w:val="1"/>
          <w:bCs w:val="1"/>
          <w:i w:val="1"/>
          <w:iCs w:val="1"/>
          <w:color w:val="000000"/>
        </w:rPr>
        <w:t>Amendment</w:t>
      </w:r>
      <w:r>
        <w:rPr>
          <w:rFonts w:ascii="Calibri" w:cs="Calibri" w:eastAsia="Calibri" w:hAnsi="Calibri"/>
          <w:sz w:val="22"/>
          <w:szCs w:val="22"/>
          <w:b w:val="1"/>
          <w:bCs w:val="1"/>
          <w:i w:val="1"/>
          <w:iCs w:val="1"/>
          <w:color w:val="FF0000"/>
        </w:rPr>
        <w:t xml:space="preserve"> </w:t>
      </w:r>
      <w:r>
        <w:rPr>
          <w:rFonts w:ascii="Calibri" w:cs="Calibri" w:eastAsia="Calibri" w:hAnsi="Calibri"/>
          <w:sz w:val="22"/>
          <w:szCs w:val="22"/>
          <w:b w:val="1"/>
          <w:bCs w:val="1"/>
          <w:i w:val="1"/>
          <w:iCs w:val="1"/>
          <w:color w:val="FF0000"/>
          <w:strike w:val="1"/>
        </w:rPr>
        <w:t>dated as of November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LOAN AND SECURITY AGREEMENT</w:t>
      </w:r>
    </w:p>
    <w:p>
      <w:pPr>
        <w:spacing w:after="0" w:line="7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THIS LOAN AND SECURITY AGREEMENT is made and dated as of April 29, 2022 and is entered into by and among OUSTER, INC., a Delaware corporation (the “Borrower”), SENSE PHOTONICS, INC., a Delaware corporation (“Sense Photonics”, together with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Borrower’s Subsidiaries that delivers a Joinder Agreement pursuant to Section 7.13 of the Agreement (each a “Guarantor” and, collectively, “Guarantors”), the several banks and other financial institutions or entities from time to time parties to this Agreement (each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 and, collectively, “Lenders”) and HERCULES CAPITAL, INC., a Maryland corporation, in its capacity as administrative agent and collateral agent for itself and the Lenders (in such capacity, the “Agent”).</w:t>
      </w:r>
    </w:p>
    <w:p>
      <w:pPr>
        <w:spacing w:after="0" w:line="14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93" w:lineRule="exact"/>
        <w:rPr>
          <w:sz w:val="20"/>
          <w:szCs w:val="20"/>
          <w:color w:val="auto"/>
        </w:rPr>
      </w:pPr>
    </w:p>
    <w:p>
      <w:pPr>
        <w:ind w:firstLine="656"/>
        <w:spacing w:after="0"/>
        <w:tabs>
          <w:tab w:leader="none" w:pos="128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the Lenders to make available to the Borrower one or more Advances in an aggregate principal amount of up to Fifty Million Dollars ($50,000,000); and</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are willing to make such Advances on the terms and conditions set forth in this Agreement.</w:t>
      </w:r>
    </w:p>
    <w:p>
      <w:pPr>
        <w:spacing w:after="0" w:line="1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each Loan Party, Agent and the Lenders agree as follows:</w:t>
      </w:r>
    </w:p>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DEFINITIONS AND RULES OF CONSTRUCTION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Unless otherwise defined herein, the following capitalized terms shall have the following meanings:</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“Account Control Agreement(s)” means any agreement entered into by and among the Agent, any Loan Party and a third-party bank or other institution (including a Securities Intermediary) in which any Loan Party maintains a Deposit Account or an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holding Investment Property and which perfects Agent’s first priority security interest in the subject account or accounts.</w:t>
      </w:r>
    </w:p>
    <w:p>
      <w:pPr>
        <w:spacing w:after="0" w:line="167"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“ACH Authorization” means the ACH Debit Authorization Agreement in substantially the form of Exhibit H, provided that account numbers shall be redacted for security purposes if and when filed publicly.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“Acquisition” means, with respect to any Person, the acquisition by such Person, in a single transaction or in a series of</w:t>
      </w:r>
    </w:p>
    <w:p>
      <w:pPr>
        <w:jc w:val="both"/>
        <w:spacing w:after="0" w:line="204" w:lineRule="auto"/>
        <w:rPr>
          <w:sz w:val="20"/>
          <w:szCs w:val="20"/>
          <w:color w:val="auto"/>
        </w:rPr>
      </w:pPr>
      <w:r>
        <w:rPr>
          <w:rFonts w:ascii="Times New Roman" w:cs="Times New Roman" w:eastAsia="Times New Roman" w:hAnsi="Times New Roman"/>
          <w:sz w:val="20"/>
          <w:szCs w:val="20"/>
          <w:color w:val="auto"/>
        </w:rPr>
        <w:t>related transactions, of (a) all or substantially all of the assets of, or a business line, unit or a division of, any Person or (b) any voting securities of another Person, in each case whether or not involving a merger or consolidation with such other Person and whether for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services, assumption of Indebtedness, securities or otherwise.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“Advance(s)” means a Term Loan Advance.</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“Advance Date” means the funding date of any Advance.</w:t>
      </w:r>
    </w:p>
    <w:p>
      <w:pPr>
        <w:spacing w:after="0" w:line="18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“Affiliate” means (a) any Person that directly or indirectly controls, is controlled by, or is under common control with the</w:t>
      </w:r>
    </w:p>
    <w:p>
      <w:pPr>
        <w:spacing w:after="0" w:line="221" w:lineRule="auto"/>
        <w:rPr>
          <w:sz w:val="20"/>
          <w:szCs w:val="20"/>
          <w:color w:val="auto"/>
        </w:rPr>
      </w:pPr>
      <w:r>
        <w:rPr>
          <w:rFonts w:ascii="Times New Roman" w:cs="Times New Roman" w:eastAsia="Times New Roman" w:hAnsi="Times New Roman"/>
          <w:sz w:val="20"/>
          <w:szCs w:val="20"/>
          <w:color w:val="auto"/>
        </w:rPr>
        <w:t>Person in question, (b) any Person directly or indirectly owning, controlling or holding with power to vote twenty percent (20%) or more of the outstanding voting securities of another Person, or (c) any Person twenty percent (20%) or more of whose outstanding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00" w:right="339" w:bottom="1440" w:gutter="0" w:footer="0" w:header="0"/>
        </w:sectPr>
      </w:pPr>
    </w:p>
    <w:bookmarkStart w:id="142" w:name="page143"/>
    <w:bookmarkEnd w:id="142"/>
    <w:p>
      <w:pPr>
        <w:spacing w:after="0" w:line="24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securities are directly or indirectly owned, controlled or held by another Person with power to vote such securities. As used in the definition of “Affiliate,” the term “control” means the possession, directly or indirectly, of the power to direct or cause the direction of the management</w:t>
      </w:r>
    </w:p>
    <w:p>
      <w:pPr>
        <w:spacing w:after="0"/>
        <w:rPr>
          <w:sz w:val="20"/>
          <w:szCs w:val="20"/>
          <w:color w:val="auto"/>
        </w:rPr>
      </w:pPr>
      <w:r>
        <w:rPr>
          <w:rFonts w:ascii="Times New Roman" w:cs="Times New Roman" w:eastAsia="Times New Roman" w:hAnsi="Times New Roman"/>
          <w:sz w:val="20"/>
          <w:szCs w:val="20"/>
          <w:color w:val="auto"/>
        </w:rPr>
        <w:t>and policies of a Person, whether through ownership of voting securities, by contract or otherwise.</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“Agreement” means this Loan and Security Agreement, as amended, restated, supplemented or otherwise modified from</w:t>
      </w: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167"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“Amortization Date” means June 1, 2025; provided however, if the Interest Only Milestone is achieved, then the Amortization Date shall be extended to May, 1, 2026.</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“Anti-Corruption Laws” means all laws, rules, and regulations of any jurisdiction applicable to Borrower or any of its controlled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to the provisions of, Executive Order No. 13224, (c) a Person with which any Lender is prohibited from dealing or otherwise engaging in any transaction by any Anti-Terrorism Law, (d) a Person that commits, threatens or conspires to commit or supports “terrorism” as defined in</w:t>
      </w:r>
    </w:p>
    <w:p>
      <w:pPr>
        <w:jc w:val="both"/>
        <w:spacing w:after="0" w:line="228" w:lineRule="auto"/>
        <w:rPr>
          <w:sz w:val="20"/>
          <w:szCs w:val="20"/>
          <w:color w:val="auto"/>
        </w:rPr>
      </w:pPr>
      <w:r>
        <w:rPr>
          <w:rFonts w:ascii="Times New Roman" w:cs="Times New Roman" w:eastAsia="Times New Roman" w:hAnsi="Times New Roman"/>
          <w:sz w:val="20"/>
          <w:szCs w:val="20"/>
          <w:color w:val="auto"/>
        </w:rPr>
        <w:t>Executive Order No. 13224, or (e) a Person that is named a “specially designated national” or “blocked person” on the most current list published by OFAC or other similar list.</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“Board” means, with respect to any Person that is a corporation, its board of directors, with respect to any Person that is a limited liability company, its board of managers, board of members or similar governing body, and with respect to any other Person that is a legal entity, such Person’s governing body in accordance with its organizational documents.</w:t>
      </w:r>
    </w:p>
    <w:p>
      <w:pPr>
        <w:spacing w:after="0" w:line="149"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color w:val="auto"/>
        </w:rPr>
        <w:t>“Borrower Products” means all products, software, service offerings, technical data or technology currently being designed, manufactured or sold by any Loan Party or which any Loan Party intends to sell, license, or distribute in the future including any products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service offerings under development, collectively, together with all products, software, service offerings, technical data or technology that have been sold, licensed or distributed by any Loan Party since its incorporation.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“Borrower’s Books” means Borrower’s or any of its Subsidiaries’ books and records including ledgers, federal, state, local</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and foreign tax returns, records regarding Borrower’s or its Subsidiaries’ assets or liabilities, the Collateral, business operations or financial condition, and all computer programs or storage or any equipment containing such information.</w:t>
      </w:r>
    </w:p>
    <w:p>
      <w:pPr>
        <w:spacing w:after="0" w:line="162"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“Business Day” means any day other than Saturday, Sunday and any other day on which banking institutions in the State of California or the State of New York are closed for business.</w:t>
      </w:r>
    </w:p>
    <w:p>
      <w:pPr>
        <w:spacing w:after="0" w:line="16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“Capital Lease” means, as applied to any Person, any lease of any property by that Person as lessee which, in accordance with GAAP, is required to be accounted for as a capital lease on the balance sheet of that Person.</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“Cash” means all unrestricted cash, cash equivalents and liquid funds.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“Cash Equivalent Investment” means, at any time:</w:t>
      </w:r>
    </w:p>
    <w:p>
      <w:pPr>
        <w:spacing w:after="0" w:line="175" w:lineRule="exact"/>
        <w:rPr>
          <w:sz w:val="20"/>
          <w:szCs w:val="20"/>
          <w:color w:val="auto"/>
        </w:rPr>
      </w:pPr>
    </w:p>
    <w:p>
      <w:pPr>
        <w:jc w:val="both"/>
        <w:ind w:right="20" w:firstLine="1304"/>
        <w:spacing w:after="0" w:line="230" w:lineRule="auto"/>
        <w:tabs>
          <w:tab w:leader="none" w:pos="18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obligation of (or unconditionally guaranteed by) the United States or a State thereof (or any agency or political subdivision thereof, to the extent such obligations are supported by the full faith and credit of the United States) maturing not more than one year after such time;</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74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maturing no more than one year from the date of creation thereof and currently having the top rating from either Standard &amp; Poor’s Corporation or Moody’s Investors Service;</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3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certificate of deposit, time deposit or bankers’ acceptance, maturing not more than one year after its date of issuance, which is issued by any bank organized under the laws of the United States (or any State thereof) and which has (x) a credit rating of A2 or higher from Moody’s or A or higher from S&amp;P and (y) a combined capital and surplus greater than One Billion Dollars ($1,000,000,000);</w:t>
      </w:r>
    </w:p>
    <w:p>
      <w:pPr>
        <w:spacing w:after="0" w:line="148" w:lineRule="exact"/>
        <w:rPr>
          <w:rFonts w:ascii="Times New Roman" w:cs="Times New Roman" w:eastAsia="Times New Roman" w:hAnsi="Times New Roman"/>
          <w:sz w:val="20"/>
          <w:szCs w:val="20"/>
          <w:color w:val="auto"/>
        </w:rPr>
      </w:pPr>
    </w:p>
    <w:p>
      <w:pPr>
        <w:ind w:right="20" w:firstLine="1304"/>
        <w:spacing w:after="0"/>
        <w:tabs>
          <w:tab w:leader="none" w:pos="17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repurchase agreement having a term of thirty (30) days or less entered into with any commercial banking institution satisfying the criteria set forth in clause (c)(i) above which:</w:t>
      </w:r>
    </w:p>
    <w:p>
      <w:pPr>
        <w:spacing w:after="0" w:line="161"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secured by a fully perfected security interest in any obligation of the type described in clause (a) above, and</w:t>
      </w:r>
    </w:p>
    <w:p>
      <w:pPr>
        <w:spacing w:after="0" w:line="175" w:lineRule="exact"/>
        <w:rPr>
          <w:rFonts w:ascii="Times New Roman" w:cs="Times New Roman" w:eastAsia="Times New Roman" w:hAnsi="Times New Roman"/>
          <w:sz w:val="20"/>
          <w:szCs w:val="20"/>
          <w:color w:val="auto"/>
        </w:rPr>
      </w:pPr>
    </w:p>
    <w:p>
      <w:pPr>
        <w:ind w:left="660" w:firstLine="1292"/>
        <w:spacing w:after="0"/>
        <w:tabs>
          <w:tab w:leader="none" w:pos="2431"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market value at the time such repurchase agreement is entered into of not less than one hundred percent (100%) of the repurchase obligation of such commercial banking institution thereunder;</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82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permitted by any Loan Party’s investment policy, which investment policy (and any amendments thereto) has been approved by Agent, such approval not to be unreasonably withhold or delayed;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and investments of the type and maturity described in clauses (a) through (d) above denominated in any foreign currency or of foreign obligors, which investments or obligors are, in the reasonable judgment of the Borrower, comparable in investment quality to those referred to above.</w:t>
      </w:r>
    </w:p>
    <w:p>
      <w:pPr>
        <w:spacing w:after="0" w:line="17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0000FF"/>
        </w:rPr>
        <w:t>“Caterpillar License” means license pursuant to that certain Intellectual Property License Agreement, dated April 13, 2012, by and between Velodyne Lidar, Inc. and Caterpillar Inc., as supplemented by that certain Supplement, dated March 3, 2017.</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“CFC” means a “controlled foreign corporation” as defined in Section 957 of the Code.</w:t>
      </w:r>
    </w:p>
    <w:p>
      <w:pPr>
        <w:spacing w:after="0" w:line="18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auto"/>
        </w:rPr>
        <w:t>“Change in Control” means (a) any reorganization, recapitalization, consolidation or merger (or similar transaction or series of related transactions) of Borrower, sale or exchange of outstanding shares (or similar transaction or series of related transactions) of</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Borrower in which the holders of Borrower’s outstanding shares immediately before consummation of such transaction or series of related transactions do not, immediately after consummation of such transaction or series of related transactions, retain shares representing more than</w:t>
      </w:r>
    </w:p>
    <w:p>
      <w:pPr>
        <w:spacing w:after="0" w:line="211" w:lineRule="auto"/>
        <w:rPr>
          <w:sz w:val="20"/>
          <w:szCs w:val="20"/>
          <w:color w:val="auto"/>
        </w:rPr>
      </w:pPr>
      <w:r>
        <w:rPr>
          <w:rFonts w:ascii="Times New Roman" w:cs="Times New Roman" w:eastAsia="Times New Roman" w:hAnsi="Times New Roman"/>
          <w:sz w:val="20"/>
          <w:szCs w:val="20"/>
          <w:color w:val="auto"/>
        </w:rPr>
        <w:t>fifty percent (50%) of the voting power of the surviving entity of such transaction or series of related transactions (or the parent of such</w:t>
      </w:r>
    </w:p>
    <w:p>
      <w:pPr>
        <w:jc w:val="both"/>
        <w:spacing w:after="0" w:line="204" w:lineRule="auto"/>
        <w:rPr>
          <w:sz w:val="20"/>
          <w:szCs w:val="20"/>
          <w:color w:val="auto"/>
        </w:rPr>
      </w:pPr>
      <w:r>
        <w:rPr>
          <w:rFonts w:ascii="Times New Roman" w:cs="Times New Roman" w:eastAsia="Times New Roman" w:hAnsi="Times New Roman"/>
          <w:sz w:val="20"/>
          <w:szCs w:val="20"/>
          <w:color w:val="auto"/>
        </w:rPr>
        <w:t>surviving entity if such surviving entity is wholly owned by such parent), in each case without regard to whether Borrower is the surviving entity, (b) any Loan Party ceases to own one-hundred percent (100%) of the Equity Interests of any other Loan Party that it directly owns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after the Closing Date or (c) any “Change of Control” (or any comparable term) shall occur under any other document or agreement evidencing any Indebtedness with an aggregate principal amount in excess of Five Million Dollars ($5,000,000); provided, that with respect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0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clause (b) of this definition, any transaction otherwise permitted under this Agreement shall not be considered a Change in Control.</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“Closing Date” means the date of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“Code” means the Internal Revenue Code of 1986, as amended.</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“Consolidated Revenues” means revenue determined in accordance with GAAP (as GAAP is substantially in effect on the</w:t>
      </w:r>
    </w:p>
    <w:p>
      <w:pPr>
        <w:spacing w:after="0"/>
        <w:rPr>
          <w:sz w:val="20"/>
          <w:szCs w:val="20"/>
          <w:color w:val="auto"/>
        </w:rPr>
      </w:pPr>
      <w:r>
        <w:rPr>
          <w:rFonts w:ascii="Times New Roman" w:cs="Times New Roman" w:eastAsia="Times New Roman" w:hAnsi="Times New Roman"/>
          <w:sz w:val="20"/>
          <w:szCs w:val="20"/>
          <w:color w:val="auto"/>
        </w:rPr>
        <w:t>Closing Date).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“Contingent Obligation” means, as applied to any Person, any direct or indirect liability, contingent or otherwise, of that</w:t>
      </w:r>
    </w:p>
    <w:p>
      <w:pPr>
        <w:spacing w:after="0" w:line="204" w:lineRule="auto"/>
        <w:rPr>
          <w:sz w:val="20"/>
          <w:szCs w:val="20"/>
          <w:color w:val="auto"/>
        </w:rPr>
      </w:pPr>
      <w:r>
        <w:rPr>
          <w:rFonts w:ascii="Times New Roman" w:cs="Times New Roman" w:eastAsia="Times New Roman" w:hAnsi="Times New Roman"/>
          <w:sz w:val="20"/>
          <w:szCs w:val="20"/>
          <w:color w:val="auto"/>
        </w:rPr>
        <w:t>Person with respect to (i) any Indebtedness, lease, dividend, letter of credit or other obligation of another, including any such obligation directly or indirectly guaranteed, endorsed, co-made or discounted or sold with recourse by that Person, or in respect of which that Person is</w:t>
      </w:r>
    </w:p>
    <w:p>
      <w:pPr>
        <w:spacing w:after="0" w:line="211" w:lineRule="auto"/>
        <w:rPr>
          <w:sz w:val="20"/>
          <w:szCs w:val="20"/>
          <w:color w:val="auto"/>
        </w:rPr>
      </w:pPr>
      <w:r>
        <w:rPr>
          <w:rFonts w:ascii="Times New Roman" w:cs="Times New Roman" w:eastAsia="Times New Roman" w:hAnsi="Times New Roman"/>
          <w:sz w:val="20"/>
          <w:szCs w:val="20"/>
          <w:color w:val="auto"/>
        </w:rPr>
        <w:t>otherwise directly or indirectly liable; (ii) any obligations with respect to undrawn letters of credit, corporate credit cards or merchant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services issued for the account of that Person; and (iii) all obligations arising under any interest rate, currency or commodity swap agreement, interest rate cap agreement, interest rate collar agreement, or other agreement or arrangement designated to protect a Person against</w:t>
      </w:r>
    </w:p>
    <w:p>
      <w:pPr>
        <w:spacing w:after="0" w:line="222" w:lineRule="auto"/>
        <w:rPr>
          <w:sz w:val="20"/>
          <w:szCs w:val="20"/>
          <w:color w:val="auto"/>
        </w:rPr>
      </w:pPr>
      <w:r>
        <w:rPr>
          <w:rFonts w:ascii="Times New Roman" w:cs="Times New Roman" w:eastAsia="Times New Roman" w:hAnsi="Times New Roman"/>
          <w:sz w:val="19"/>
          <w:szCs w:val="19"/>
          <w:color w:val="auto"/>
        </w:rPr>
        <w:t>fluctuation in interest rates, currency exchange rates or commodity prices; provided, however, that the term “Contingent Obligation” shall not</w:t>
      </w:r>
    </w:p>
    <w:p>
      <w:pPr>
        <w:spacing w:after="0" w:line="215" w:lineRule="auto"/>
        <w:rPr>
          <w:sz w:val="20"/>
          <w:szCs w:val="20"/>
          <w:color w:val="auto"/>
        </w:rPr>
      </w:pPr>
      <w:r>
        <w:rPr>
          <w:rFonts w:ascii="Times New Roman" w:cs="Times New Roman" w:eastAsia="Times New Roman" w:hAnsi="Times New Roman"/>
          <w:sz w:val="19"/>
          <w:szCs w:val="19"/>
          <w:color w:val="auto"/>
        </w:rPr>
        <w:t>include endorsements for collection or deposit in the ordinary course of business. The amount of any Contingent Obligation shall be deemed, without duplication of the primary obligations, to be an amount equal to the stated or determined amount of the primary obligation in respect</w:t>
      </w:r>
    </w:p>
    <w:p>
      <w:pPr>
        <w:spacing w:after="0" w:line="211" w:lineRule="auto"/>
        <w:rPr>
          <w:sz w:val="20"/>
          <w:szCs w:val="20"/>
          <w:color w:val="auto"/>
        </w:rPr>
      </w:pPr>
      <w:r>
        <w:rPr>
          <w:rFonts w:ascii="Times New Roman" w:cs="Times New Roman" w:eastAsia="Times New Roman" w:hAnsi="Times New Roman"/>
          <w:sz w:val="20"/>
          <w:szCs w:val="20"/>
          <w:color w:val="auto"/>
        </w:rPr>
        <w:t>of which such Contingent Obligation is made or, if not stated or determinable, the maximum reasonably anticipated liability in respect</w:t>
      </w:r>
    </w:p>
    <w:p>
      <w:pPr>
        <w:spacing w:after="0" w:line="215" w:lineRule="auto"/>
        <w:rPr>
          <w:sz w:val="20"/>
          <w:szCs w:val="20"/>
          <w:color w:val="auto"/>
        </w:rPr>
      </w:pPr>
      <w:r>
        <w:rPr>
          <w:rFonts w:ascii="Times New Roman" w:cs="Times New Roman" w:eastAsia="Times New Roman" w:hAnsi="Times New Roman"/>
          <w:sz w:val="19"/>
          <w:szCs w:val="19"/>
          <w:color w:val="auto"/>
        </w:rPr>
        <w:t>thereof as determined by such Person in good faith; provided, however, that such amount shall not in any event exceed the maximum amount of the obligations under the guarantee or other support arrangement. For the avoidance of doubt, no Permitted Bond Hedge Transaction or</w:t>
      </w:r>
    </w:p>
    <w:p>
      <w:pPr>
        <w:spacing w:after="0"/>
        <w:rPr>
          <w:sz w:val="20"/>
          <w:szCs w:val="20"/>
          <w:color w:val="auto"/>
        </w:rPr>
      </w:pPr>
      <w:r>
        <w:rPr>
          <w:rFonts w:ascii="Times New Roman" w:cs="Times New Roman" w:eastAsia="Times New Roman" w:hAnsi="Times New Roman"/>
          <w:sz w:val="20"/>
          <w:szCs w:val="20"/>
          <w:color w:val="auto"/>
        </w:rPr>
        <w:t>Permitted Warrant Transaction will be considered a Contingent Obligation of the Loan Parties.</w:t>
      </w:r>
    </w:p>
    <w:p>
      <w:pPr>
        <w:spacing w:after="0" w:line="167"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“Copyright License” means any written agreement granting any right to use any Copyright or Copyright registration, now owned or hereafter acquired by any Loan Party or in which any Loan Party now holds or hereafter acquires any interest.</w:t>
      </w:r>
    </w:p>
    <w:p>
      <w:pPr>
        <w:spacing w:after="0" w:line="161"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“Copyrights” means all copyrights, whether registered or unregistered, held pursuant to the laws of the United States of America, any State thereof, or of any other country.</w:t>
      </w:r>
    </w:p>
    <w:p>
      <w:pPr>
        <w:spacing w:after="0" w:line="148"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“Deposit Accounts” means any “deposit accounts,” as such term is defined in the UCC, and includes any checking account, savings account, or certificate of deposit.</w:t>
      </w:r>
    </w:p>
    <w:p>
      <w:pPr>
        <w:spacing w:after="0" w:line="161"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“Domestic Subsidiary” means any Subsidiary organized under the laws of the United States of America, any State thereof, the District of Columbia, or any other jurisdiction within the United States of America.</w:t>
      </w:r>
    </w:p>
    <w:p>
      <w:pPr>
        <w:spacing w:after="0" w:line="161"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“Due Diligence Fee” means Twenty-Five Thousand Dollars ($25,000), which fee has been paid to the Lenders prior to the Closing Date, and shall be deemed fully earned on such date regardless of the early termination of this Agreement.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“Equity Interests” means, with respect to any Person, the capital stock, partnership or limited liability company interest, or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other equity securities or equity ownership interests of such Person;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“Equity Interests” shall not include at any time (i) Permitted Convertible Debt until such Permitted Convertible Debt has been converted pursuant to the terms thereof, (ii) other debt securities</w:t>
      </w:r>
    </w:p>
    <w:p>
      <w:pPr>
        <w:spacing w:after="0" w:line="211" w:lineRule="auto"/>
        <w:rPr>
          <w:sz w:val="20"/>
          <w:szCs w:val="20"/>
          <w:color w:val="auto"/>
        </w:rPr>
      </w:pPr>
      <w:r>
        <w:rPr>
          <w:rFonts w:ascii="Times New Roman" w:cs="Times New Roman" w:eastAsia="Times New Roman" w:hAnsi="Times New Roman"/>
          <w:sz w:val="20"/>
          <w:szCs w:val="20"/>
          <w:color w:val="auto"/>
        </w:rPr>
        <w:t>that are or by their terms may be convertible or exchangeable into such equity until such debt securities have been converted pursuant to the</w:t>
      </w:r>
    </w:p>
    <w:p>
      <w:pPr>
        <w:spacing w:after="0" w:line="221" w:lineRule="auto"/>
        <w:rPr>
          <w:sz w:val="20"/>
          <w:szCs w:val="20"/>
          <w:color w:val="auto"/>
        </w:rPr>
      </w:pPr>
      <w:r>
        <w:rPr>
          <w:rFonts w:ascii="Times New Roman" w:cs="Times New Roman" w:eastAsia="Times New Roman" w:hAnsi="Times New Roman"/>
          <w:sz w:val="20"/>
          <w:szCs w:val="20"/>
          <w:color w:val="auto"/>
        </w:rPr>
        <w:t>terms thereof or (iii) Permitted Convertible Debt Call Transactions until any equity interests have been issued pursuant to any Permitted Warrant Transaction.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“ERISA” means the Employee Retirement Income Security Act of 1974, as amended, and the regulations promulgated</w:t>
      </w:r>
    </w:p>
    <w:p>
      <w:pPr>
        <w:spacing w:after="0"/>
        <w:rPr>
          <w:sz w:val="20"/>
          <w:szCs w:val="20"/>
          <w:color w:val="auto"/>
        </w:rPr>
      </w:pPr>
      <w:r>
        <w:rPr>
          <w:rFonts w:ascii="Times New Roman" w:cs="Times New Roman" w:eastAsia="Times New Roman" w:hAnsi="Times New Roman"/>
          <w:sz w:val="20"/>
          <w:szCs w:val="20"/>
          <w:color w:val="auto"/>
        </w:rPr>
        <w:t>thereunder.</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“Excluded Accounts” means (a) Deposit Accounts that are used exclusively for payroll, payroll taxes and other employee</w:t>
      </w:r>
    </w:p>
    <w:p>
      <w:pPr>
        <w:spacing w:after="0" w:line="204" w:lineRule="auto"/>
        <w:rPr>
          <w:sz w:val="20"/>
          <w:szCs w:val="20"/>
          <w:color w:val="auto"/>
        </w:rPr>
      </w:pPr>
      <w:r>
        <w:rPr>
          <w:rFonts w:ascii="Times New Roman" w:cs="Times New Roman" w:eastAsia="Times New Roman" w:hAnsi="Times New Roman"/>
          <w:sz w:val="20"/>
          <w:szCs w:val="20"/>
          <w:color w:val="auto"/>
        </w:rPr>
        <w:t>wages and benefit payments to or for the benefit of the employees of the Borrower and its Subsidiaries, (b) zero balance accounts, (c) domestic Deposit Accounts and securities accounts of the Borrower or any Subsidiary (whether or not a Loan Party), so long as at any time</w:t>
      </w:r>
    </w:p>
    <w:p>
      <w:pPr>
        <w:spacing w:after="0" w:line="223" w:lineRule="auto"/>
        <w:rPr>
          <w:sz w:val="20"/>
          <w:szCs w:val="20"/>
          <w:color w:val="auto"/>
        </w:rPr>
      </w:pPr>
      <w:r>
        <w:rPr>
          <w:rFonts w:ascii="Times New Roman" w:cs="Times New Roman" w:eastAsia="Times New Roman" w:hAnsi="Times New Roman"/>
          <w:sz w:val="19"/>
          <w:szCs w:val="19"/>
          <w:color w:val="auto"/>
        </w:rPr>
        <w:t>the aggregate balance in all such accounts does not exceed One Million Dollars ($1,000,000), (d) accounts used exclusively to maintain cash</w:t>
      </w:r>
    </w:p>
    <w:p>
      <w:pPr>
        <w:spacing w:after="0" w:line="215" w:lineRule="auto"/>
        <w:rPr>
          <w:sz w:val="20"/>
          <w:szCs w:val="20"/>
          <w:color w:val="auto"/>
        </w:rPr>
      </w:pPr>
      <w:r>
        <w:rPr>
          <w:rFonts w:ascii="Times New Roman" w:cs="Times New Roman" w:eastAsia="Times New Roman" w:hAnsi="Times New Roman"/>
          <w:sz w:val="19"/>
          <w:szCs w:val="19"/>
          <w:color w:val="auto"/>
        </w:rPr>
        <w:t>collateral subject to a Permitted Lien, and (e) Deposit Accounts and securities accounts of the Borrower or any Subsidiary (whether or not a Loan Party), located outside the United States, so long as at any time the aggregate balance in all such accounts does not exceed the lesser of</w:t>
      </w:r>
    </w:p>
    <w:p>
      <w:pPr>
        <w:jc w:val="both"/>
        <w:ind w:firstLine="8"/>
        <w:spacing w:after="0" w:line="218" w:lineRule="auto"/>
        <w:tabs>
          <w:tab w:leader="none" w:pos="25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0000FF"/>
        </w:rPr>
        <w:t>on or before December 31, 2023, (A) Ten Million Dollars ($10,000,000) and (B) an amount equal to ten percent (10.00%) of the consolidated cash of Borrower and its Subsidiaries, and (ii) from and after January 1, 2024, (A)</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Five Million Dollars ($5,000,000) and</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FF0000"/>
          <w:strike w:val="1"/>
        </w:rPr>
        <w:t>ii</w:t>
      </w:r>
      <w:r>
        <w:rPr>
          <w:rFonts w:ascii="Times New Roman" w:cs="Times New Roman" w:eastAsia="Times New Roman" w:hAnsi="Times New Roman"/>
          <w:sz w:val="20"/>
          <w:szCs w:val="20"/>
          <w:b w:val="1"/>
          <w:bCs w:val="1"/>
          <w:u w:val="single" w:color="auto"/>
          <w:color w:val="0000FF"/>
        </w:rPr>
        <w:t>B</w:t>
      </w:r>
      <w:r>
        <w:rPr>
          <w:rFonts w:ascii="Times New Roman" w:cs="Times New Roman" w:eastAsia="Times New Roman" w:hAnsi="Times New Roman"/>
          <w:sz w:val="20"/>
          <w:szCs w:val="20"/>
          <w:color w:val="000000"/>
        </w:rPr>
        <w:t>) an amount equal to five percent (5.00%) of the consolidated cash of Borrower and its Subsidiaries.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“Excluded Property” means, with respect to any Loan Party, including any Person that becomes a Loan Party after the</w:t>
      </w:r>
    </w:p>
    <w:p>
      <w:pPr>
        <w:spacing w:after="0" w:line="204" w:lineRule="auto"/>
        <w:rPr>
          <w:sz w:val="20"/>
          <w:szCs w:val="20"/>
          <w:color w:val="auto"/>
        </w:rPr>
      </w:pPr>
      <w:r>
        <w:rPr>
          <w:rFonts w:ascii="Times New Roman" w:cs="Times New Roman" w:eastAsia="Times New Roman" w:hAnsi="Times New Roman"/>
          <w:sz w:val="20"/>
          <w:szCs w:val="20"/>
          <w:color w:val="auto"/>
        </w:rPr>
        <w:t>Closing Date as contemplated by Section 7.13, (a) any “intent-to-use” application for registration of a Trademark filed pursuant to Section 1(b) of the Lanham Act or an “Amendment to Allege Use” pursuant to Section 1(c) of the Lanham Act with respect thereto, solely to the</w:t>
      </w:r>
    </w:p>
    <w:p>
      <w:pPr>
        <w:spacing w:after="0" w:line="211" w:lineRule="auto"/>
        <w:rPr>
          <w:sz w:val="20"/>
          <w:szCs w:val="20"/>
          <w:color w:val="auto"/>
        </w:rPr>
      </w:pPr>
      <w:r>
        <w:rPr>
          <w:rFonts w:ascii="Times New Roman" w:cs="Times New Roman" w:eastAsia="Times New Roman" w:hAnsi="Times New Roman"/>
          <w:sz w:val="20"/>
          <w:szCs w:val="20"/>
          <w:color w:val="auto"/>
        </w:rPr>
        <w:t>extent, if any, that, and solely during the period, if any, in which, the grant of a security interest therein would impair the validity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enforceability of any registration that issues from such intent-to-use application under applicable federal law; provided, that, a security interest in such trademark application (and the resulting registration) is promptly granted to the Agent upon the filing and acceptance of a</w:t>
      </w:r>
    </w:p>
    <w:p>
      <w:pPr>
        <w:spacing w:after="0" w:line="211" w:lineRule="auto"/>
        <w:rPr>
          <w:sz w:val="20"/>
          <w:szCs w:val="20"/>
          <w:color w:val="auto"/>
        </w:rPr>
      </w:pPr>
      <w:r>
        <w:rPr>
          <w:rFonts w:ascii="Times New Roman" w:cs="Times New Roman" w:eastAsia="Times New Roman" w:hAnsi="Times New Roman"/>
          <w:sz w:val="20"/>
          <w:szCs w:val="20"/>
          <w:color w:val="auto"/>
        </w:rPr>
        <w:t>Statement of Use or an Amendment to Allege Use, as the case may be; (b) solely with respect to any Loan Party that is organized under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laws of any political subdivision of the United States, any personal property (including, without limitation, motor vehicles) in respect of which perfection of a Lien is not either (i) governed by the UCC or (ii) effected by appropriate evidence of the Lien being filed in either the</w:t>
      </w:r>
    </w:p>
    <w:p>
      <w:pPr>
        <w:spacing w:after="0" w:line="211" w:lineRule="auto"/>
        <w:rPr>
          <w:sz w:val="20"/>
          <w:szCs w:val="20"/>
          <w:color w:val="auto"/>
        </w:rPr>
      </w:pPr>
      <w:r>
        <w:rPr>
          <w:rFonts w:ascii="Times New Roman" w:cs="Times New Roman" w:eastAsia="Times New Roman" w:hAnsi="Times New Roman"/>
          <w:sz w:val="20"/>
          <w:szCs w:val="20"/>
          <w:color w:val="auto"/>
        </w:rPr>
        <w:t>United States Copyright Office or the United States Patent and Trademark Office, unless reasonably requested by the Agent; (c)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Excluded Accounts; (d) any asset which, subject to the terms of Section 7.19, is subject to a Lien of the type described in clause (vii) of the defined term “Permitted Liens” (i) pursuant to documents which prevent such Loan Party from granting any other Liens in such asset; (e) any</w:t>
      </w:r>
    </w:p>
    <w:p>
      <w:pPr>
        <w:spacing w:after="0" w:line="222" w:lineRule="auto"/>
        <w:rPr>
          <w:sz w:val="20"/>
          <w:szCs w:val="20"/>
          <w:color w:val="auto"/>
        </w:rPr>
      </w:pPr>
      <w:r>
        <w:rPr>
          <w:rFonts w:ascii="Times New Roman" w:cs="Times New Roman" w:eastAsia="Times New Roman" w:hAnsi="Times New Roman"/>
          <w:sz w:val="19"/>
          <w:szCs w:val="19"/>
          <w:color w:val="auto"/>
        </w:rPr>
        <w:t>margin stock; (f) any leasehold or subleasehold interest of such Loan Party in real property; (g) any General Intangible, permit, lease, license,</w:t>
      </w:r>
    </w:p>
    <w:p>
      <w:pPr>
        <w:spacing w:after="0" w:line="215" w:lineRule="auto"/>
        <w:rPr>
          <w:sz w:val="20"/>
          <w:szCs w:val="20"/>
          <w:color w:val="auto"/>
        </w:rPr>
      </w:pPr>
      <w:r>
        <w:rPr>
          <w:rFonts w:ascii="Times New Roman" w:cs="Times New Roman" w:eastAsia="Times New Roman" w:hAnsi="Times New Roman"/>
          <w:sz w:val="19"/>
          <w:szCs w:val="19"/>
          <w:color w:val="auto"/>
        </w:rPr>
        <w:t>contract or other Instrument of such Loan Party to the extent the grant of a security interest in such General Intangible, permit, lease, license, contract or other Instrument in the manner contemplated by the Loan Documents, under the terms thereof or under applicable law, is</w:t>
      </w:r>
    </w:p>
    <w:p>
      <w:pPr>
        <w:spacing w:after="0" w:line="222" w:lineRule="auto"/>
        <w:rPr>
          <w:sz w:val="20"/>
          <w:szCs w:val="20"/>
          <w:color w:val="auto"/>
        </w:rPr>
      </w:pPr>
      <w:r>
        <w:rPr>
          <w:rFonts w:ascii="Times New Roman" w:cs="Times New Roman" w:eastAsia="Times New Roman" w:hAnsi="Times New Roman"/>
          <w:sz w:val="19"/>
          <w:szCs w:val="19"/>
          <w:color w:val="auto"/>
        </w:rPr>
        <w:t>prohibited and would result in the termination thereof or would require the consent of a third party (other than any Loan Party or any Affiliate</w:t>
      </w:r>
    </w:p>
    <w:p>
      <w:pPr>
        <w:spacing w:after="0" w:line="204" w:lineRule="auto"/>
        <w:rPr>
          <w:sz w:val="20"/>
          <w:szCs w:val="20"/>
          <w:color w:val="auto"/>
        </w:rPr>
      </w:pPr>
      <w:r>
        <w:rPr>
          <w:rFonts w:ascii="Times New Roman" w:cs="Times New Roman" w:eastAsia="Times New Roman" w:hAnsi="Times New Roman"/>
          <w:sz w:val="20"/>
          <w:szCs w:val="20"/>
          <w:color w:val="auto"/>
        </w:rPr>
        <w:t>of any Loan Party) or otherwise give the other parties thereto the right to terminate, accelerate or otherwise alter such Loan Party’s rights, titles and interests thereunder (including upon the giving of notice or the lapse of time or both); provided, that, (i) any such limitation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described in this clause (g) on the security interests granted under the Loan Documents shall only apply to the extent that any such prohibition could not be rendered ineffective pursuant to the UCC or any other applicable law or principles of equity, and (ii) in the event of</w:t>
      </w:r>
    </w:p>
    <w:p>
      <w:pPr>
        <w:spacing w:after="0" w:line="223" w:lineRule="auto"/>
        <w:rPr>
          <w:sz w:val="20"/>
          <w:szCs w:val="20"/>
          <w:color w:val="auto"/>
        </w:rPr>
      </w:pPr>
      <w:r>
        <w:rPr>
          <w:rFonts w:ascii="Times New Roman" w:cs="Times New Roman" w:eastAsia="Times New Roman" w:hAnsi="Times New Roman"/>
          <w:sz w:val="19"/>
          <w:szCs w:val="19"/>
          <w:color w:val="auto"/>
        </w:rPr>
        <w:t>the termination or elimination of any such prohibition or the requirement for any consent contained in any applicable law, General Intangible,</w:t>
      </w:r>
    </w:p>
    <w:p>
      <w:pPr>
        <w:jc w:val="both"/>
        <w:spacing w:after="0" w:line="215" w:lineRule="auto"/>
        <w:rPr>
          <w:sz w:val="20"/>
          <w:szCs w:val="20"/>
          <w:color w:val="auto"/>
        </w:rPr>
      </w:pPr>
      <w:r>
        <w:rPr>
          <w:rFonts w:ascii="Times New Roman" w:cs="Times New Roman" w:eastAsia="Times New Roman" w:hAnsi="Times New Roman"/>
          <w:sz w:val="19"/>
          <w:szCs w:val="19"/>
          <w:color w:val="auto"/>
        </w:rPr>
        <w:t>permit, lease, license, contract or other Instrument, to the extent sufficient to permit any such item to become Collateral, or upon the granting of any such consent, or waiving or terminating any requirement for such consent, a security interest in such General Intangible, permit, lease,</w:t>
      </w:r>
    </w:p>
    <w:p>
      <w:pPr>
        <w:spacing w:after="0" w:line="211" w:lineRule="auto"/>
        <w:rPr>
          <w:sz w:val="20"/>
          <w:szCs w:val="20"/>
          <w:color w:val="auto"/>
        </w:rPr>
      </w:pPr>
      <w:r>
        <w:rPr>
          <w:rFonts w:ascii="Times New Roman" w:cs="Times New Roman" w:eastAsia="Times New Roman" w:hAnsi="Times New Roman"/>
          <w:sz w:val="20"/>
          <w:szCs w:val="20"/>
          <w:color w:val="auto"/>
        </w:rPr>
        <w:t>license, contract or other Instrument shall be automatically and simultaneously granted under the applicable Loan Documents and such item</w:t>
      </w:r>
    </w:p>
    <w:p>
      <w:pPr>
        <w:spacing w:after="0" w:line="215" w:lineRule="auto"/>
        <w:rPr>
          <w:sz w:val="20"/>
          <w:szCs w:val="20"/>
          <w:color w:val="auto"/>
        </w:rPr>
      </w:pPr>
      <w:r>
        <w:rPr>
          <w:rFonts w:ascii="Times New Roman" w:cs="Times New Roman" w:eastAsia="Times New Roman" w:hAnsi="Times New Roman"/>
          <w:sz w:val="19"/>
          <w:szCs w:val="19"/>
          <w:color w:val="auto"/>
        </w:rPr>
        <w:t>shall be included as Collateral, (h) more than sixty-five percent (65%) of the issued and outstanding capital stock, membership units or other securities entitled to vote owned or held of record by the Borrower in any Subsidiary that is a controlled foreign corporation (as defined in the</w:t>
      </w:r>
    </w:p>
    <w:p>
      <w:pPr>
        <w:spacing w:after="0" w:line="211" w:lineRule="auto"/>
        <w:rPr>
          <w:sz w:val="20"/>
          <w:szCs w:val="20"/>
          <w:color w:val="auto"/>
        </w:rPr>
      </w:pPr>
      <w:r>
        <w:rPr>
          <w:rFonts w:ascii="Times New Roman" w:cs="Times New Roman" w:eastAsia="Times New Roman" w:hAnsi="Times New Roman"/>
          <w:sz w:val="20"/>
          <w:szCs w:val="20"/>
          <w:color w:val="auto"/>
        </w:rPr>
        <w:t>Internal Revenue Code) and (i) any real or personal property as to which the Agent and the Borrower agree in writing that the costs or other</w:t>
      </w:r>
    </w:p>
    <w:p>
      <w:pPr>
        <w:spacing w:after="0" w:line="221" w:lineRule="auto"/>
        <w:rPr>
          <w:sz w:val="20"/>
          <w:szCs w:val="20"/>
          <w:color w:val="auto"/>
        </w:rPr>
      </w:pPr>
      <w:r>
        <w:rPr>
          <w:rFonts w:ascii="Times New Roman" w:cs="Times New Roman" w:eastAsia="Times New Roman" w:hAnsi="Times New Roman"/>
          <w:sz w:val="20"/>
          <w:szCs w:val="20"/>
          <w:color w:val="auto"/>
        </w:rPr>
        <w:t>consequences of obtaining a security interest or perfection thereof (including any adverse tax consequences to the Borrower and/or any of its Subsidiaries) are excessive in view of the benefits to be obtained by the Agent in connection therewith.</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43"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19"/>
          <w:szCs w:val="19"/>
          <w:color w:val="auto"/>
        </w:rPr>
        <w:t>“Excluded Subsidiary” means (a) any Foreign Subsidiary that is prohibited by applicable law from providing a guaranty of the Obligations or granting Liens on its property in accordance with the terms of the Loan Documents, (b) any Foreign Subsidiary or Foreign</w:t>
      </w:r>
    </w:p>
    <w:p>
      <w:pPr>
        <w:spacing w:after="0" w:line="211" w:lineRule="auto"/>
        <w:rPr>
          <w:sz w:val="20"/>
          <w:szCs w:val="20"/>
          <w:color w:val="auto"/>
        </w:rPr>
      </w:pPr>
      <w:r>
        <w:rPr>
          <w:rFonts w:ascii="Times New Roman" w:cs="Times New Roman" w:eastAsia="Times New Roman" w:hAnsi="Times New Roman"/>
          <w:sz w:val="20"/>
          <w:szCs w:val="20"/>
          <w:color w:val="auto"/>
        </w:rPr>
        <w:t>Subsidiary Holding Company with respect to which, in the reasonable judgment of the Agent (confirmed in writing by notice to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Borrower) the cost or other consequences of such Foreign Subsidiary or Foreign Subsidiary Holding Company providing a guaranty (including any adverse tax consequences to the Borrower and/or any of its Subsidiaries) of the Obligations are excessive in view of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benefits to be obtained by the Agent therefrom (as reasonably determined by the Agent in consultation with Borrower), (c) any Immaterial Foreign Subsidiary, (d) any Subsidiary that is a CFC, and (e) any Subsidiary of a CFC.</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“Foreign Subsidiary” means any Subsidiary other than a Domestic Subsidiary.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“Foreign Subsidiary Holding Company” means any Domestic Subsidiary that owns (directly or indirectly) no material assets</w:t>
      </w:r>
    </w:p>
    <w:p>
      <w:pPr>
        <w:spacing w:after="0" w:line="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other than Equity Interests (or Equity Interests and debt interests) of one or more (a) Foreign Subsidiaries or (b) other Foreign Subsidiary Holding Companies.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“GAAP” means generally accepted accounting principles in the United States of America, as in effect from time to time.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“Gross Profit” means (a) Consolidated Revenue minus (b) cost of revenue (determined in accordance with GAAP).</w:t>
      </w:r>
    </w:p>
    <w:p>
      <w:pPr>
        <w:spacing w:after="0" w:line="175"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“Hedging Agreements” means all currency exchange agreements, interest rate swap agreements, interest rate cap agreements and interest rate collar agreements, and all other agreements or arrangements designed to protect against fluctuations in interest rates or currency exchange rates.</w:t>
      </w:r>
    </w:p>
    <w:p>
      <w:pPr>
        <w:spacing w:after="0" w:line="149"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“Hedging Obligations” means, with respect to any Person, all liabilities of such Person under Hedging Agreements. For the avoidance of doubt, any Permitted Convertible Debt Call Transaction will not constitute Hedging Obligations.</w:t>
      </w:r>
    </w:p>
    <w:p>
      <w:pPr>
        <w:spacing w:after="0" w:line="161"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“Immaterial Foreign Subsidiary” means any Foreign Subsidiary that, as of any date of determination (a) for the four consecutive Fiscal Quarter period most recently ended prior to such date for which financial statements have been delivered to the Agent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pursuant to Sections 7.1(a) or (b), did not (together with its Subsidiaries) (i) generate in excess of </w:t>
      </w:r>
      <w:r>
        <w:rPr>
          <w:rFonts w:ascii="Times New Roman" w:cs="Times New Roman" w:eastAsia="Times New Roman" w:hAnsi="Times New Roman"/>
          <w:sz w:val="20"/>
          <w:szCs w:val="20"/>
          <w:b w:val="1"/>
          <w:bCs w:val="1"/>
          <w:color w:val="FF0000"/>
          <w:strike w:val="1"/>
        </w:rPr>
        <w:t>two</w:t>
      </w:r>
      <w:r>
        <w:rPr>
          <w:rFonts w:ascii="Times New Roman" w:cs="Times New Roman" w:eastAsia="Times New Roman" w:hAnsi="Times New Roman"/>
          <w:sz w:val="20"/>
          <w:szCs w:val="20"/>
          <w:b w:val="1"/>
          <w:bCs w:val="1"/>
          <w:u w:val="single" w:color="auto"/>
          <w:color w:val="0000FF"/>
        </w:rPr>
        <w:t>Two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FF0000"/>
          <w:strike w:val="1"/>
        </w:rPr>
        <w:t>one-half</w:t>
      </w:r>
      <w:r>
        <w:rPr>
          <w:rFonts w:ascii="Times New Roman" w:cs="Times New Roman" w:eastAsia="Times New Roman" w:hAnsi="Times New Roman"/>
          <w:sz w:val="20"/>
          <w:szCs w:val="20"/>
          <w:b w:val="1"/>
          <w:bCs w:val="1"/>
          <w:u w:val="single" w:color="auto"/>
          <w:color w:val="0000FF"/>
        </w:rPr>
        <w:t>one half</w:t>
      </w:r>
      <w:r>
        <w:rPr>
          <w:rFonts w:ascii="Times New Roman" w:cs="Times New Roman" w:eastAsia="Times New Roman" w:hAnsi="Times New Roman"/>
          <w:sz w:val="20"/>
          <w:szCs w:val="20"/>
          <w:color w:val="auto"/>
        </w:rPr>
        <w:t xml:space="preserve"> percent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(2.50%) of Consolidated Revenues for such four consecutive Fiscal Quarter period or (ii) together with all other Immaterial Foreign Subsidiaries at such time (together with their respective Subsidiaries), generate in excess of five percent (5.00%) of Consolidated Revenues</w:t>
      </w:r>
    </w:p>
    <w:p>
      <w:pPr>
        <w:spacing w:after="0" w:line="211" w:lineRule="auto"/>
        <w:rPr>
          <w:sz w:val="20"/>
          <w:szCs w:val="20"/>
          <w:color w:val="auto"/>
        </w:rPr>
      </w:pPr>
      <w:r>
        <w:rPr>
          <w:rFonts w:ascii="Times New Roman" w:cs="Times New Roman" w:eastAsia="Times New Roman" w:hAnsi="Times New Roman"/>
          <w:sz w:val="20"/>
          <w:szCs w:val="20"/>
          <w:color w:val="auto"/>
        </w:rPr>
        <w:t>for such four consecutive Fiscal Quarter period and (b) did not have (together with its Subsidiaries) (i) net tangible assets in excess of two</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color w:val="FF0000"/>
          <w:strike w:val="1"/>
        </w:rPr>
        <w:t>one-half</w:t>
      </w:r>
      <w:r>
        <w:rPr>
          <w:rFonts w:ascii="Times New Roman" w:cs="Times New Roman" w:eastAsia="Times New Roman" w:hAnsi="Times New Roman"/>
          <w:sz w:val="20"/>
          <w:szCs w:val="20"/>
          <w:b w:val="1"/>
          <w:bCs w:val="1"/>
          <w:u w:val="single" w:color="auto"/>
          <w:color w:val="0000FF"/>
        </w:rPr>
        <w:t>one half</w:t>
      </w:r>
      <w:r>
        <w:rPr>
          <w:rFonts w:ascii="Times New Roman" w:cs="Times New Roman" w:eastAsia="Times New Roman" w:hAnsi="Times New Roman"/>
          <w:sz w:val="20"/>
          <w:szCs w:val="20"/>
          <w:color w:val="auto"/>
        </w:rPr>
        <w:t xml:space="preserve"> percent (2.50%) of consolidated net tangible assets of the Borrower and its Subsidiaries at such date or (ii) together with all other Immaterial Foreign Subsidiaries at such time (together with their respective Subsidiaries), net tangible assets in excess of five</w:t>
      </w:r>
    </w:p>
    <w:p>
      <w:pPr>
        <w:spacing w:after="0" w:line="223" w:lineRule="auto"/>
        <w:rPr>
          <w:sz w:val="20"/>
          <w:szCs w:val="20"/>
          <w:color w:val="auto"/>
        </w:rPr>
      </w:pPr>
      <w:r>
        <w:rPr>
          <w:rFonts w:ascii="Times New Roman" w:cs="Times New Roman" w:eastAsia="Times New Roman" w:hAnsi="Times New Roman"/>
          <w:sz w:val="19"/>
          <w:szCs w:val="19"/>
          <w:color w:val="auto"/>
        </w:rPr>
        <w:t>percent (5.00%) of consolidated net tangible assets of the Borrower and its Subsidiaries at such date; provided, that, notwithstanding anything</w:t>
      </w:r>
    </w:p>
    <w:p>
      <w:pPr>
        <w:jc w:val="both"/>
        <w:spacing w:after="0" w:line="215" w:lineRule="auto"/>
        <w:rPr>
          <w:sz w:val="20"/>
          <w:szCs w:val="20"/>
          <w:color w:val="auto"/>
        </w:rPr>
      </w:pPr>
      <w:r>
        <w:rPr>
          <w:rFonts w:ascii="Times New Roman" w:cs="Times New Roman" w:eastAsia="Times New Roman" w:hAnsi="Times New Roman"/>
          <w:sz w:val="19"/>
          <w:szCs w:val="19"/>
          <w:color w:val="auto"/>
        </w:rPr>
        <w:t>herein to the contrary, in no event shall any Subsidiary that has become a Guarantor in accordance with the terms of this Agreement be deemed to be an Immaterial Foreign Subsidiary; provided, further, that, notwithstanding anything herein to the contrary, in no event shall any</w:t>
      </w:r>
    </w:p>
    <w:p>
      <w:pPr>
        <w:spacing w:after="0"/>
        <w:rPr>
          <w:sz w:val="20"/>
          <w:szCs w:val="20"/>
          <w:color w:val="auto"/>
        </w:rPr>
      </w:pPr>
      <w:r>
        <w:rPr>
          <w:rFonts w:ascii="Times New Roman" w:cs="Times New Roman" w:eastAsia="Times New Roman" w:hAnsi="Times New Roman"/>
          <w:sz w:val="20"/>
          <w:szCs w:val="20"/>
          <w:color w:val="auto"/>
        </w:rPr>
        <w:t>Immaterial Foreign Subsidiary own any material Intellectual Property.</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19"/>
          <w:szCs w:val="19"/>
          <w:color w:val="auto"/>
        </w:rPr>
        <w:t>“Indebtedness” 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w:t>
      </w:r>
    </w:p>
    <w:p>
      <w:pPr>
        <w:spacing w:after="0" w:line="2" w:lineRule="exact"/>
        <w:rPr>
          <w:sz w:val="20"/>
          <w:szCs w:val="20"/>
          <w:color w:val="auto"/>
        </w:rPr>
      </w:pPr>
    </w:p>
    <w:p>
      <w:pPr>
        <w:jc w:val="both"/>
        <w:ind w:right="20" w:firstLine="8"/>
        <w:spacing w:after="0" w:line="223" w:lineRule="auto"/>
        <w:tabs>
          <w:tab w:leader="none" w:pos="27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 Lease obligations, (d) equity securities of any Person subject to repurchase or redemption other than at the sole option of such Person, (e) “earnouts” (to the extent treated as liabilities on the balance sheet in accordance with GAAP), purchase price adjustments, profit sharing arrangements, deferred purchase money amounts and similar payment obligations or continuing obligations of any</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4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nature arising out of purchase and sale contracts, (f) [reserved], (g) non-contingent obligations to reimburse any bank or Person in respect of amounts paid under a letter of credit, banker’s acceptance or similar instrument, and (h) all Contingent Obligations. For the avoidance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doubt, no Warrant, Permitted Bond Hedge Transaction or Permitted Warrant Transaction will be considered Indebtedness of the Loan Parties.</w:t>
      </w:r>
    </w:p>
    <w:p>
      <w:pPr>
        <w:spacing w:after="0" w:line="178"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“Initial Facility Charge” means Five Hundred Thousand Dollars ($500,000), which is payable to the Lenders in accordance with Section 4.1(f).</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“Insolvency Proceeding” means any proceeding by or against any Person under the United States Bankruptcy Code, or any</w:t>
      </w:r>
    </w:p>
    <w:p>
      <w:pPr>
        <w:spacing w:after="0" w:line="221" w:lineRule="auto"/>
        <w:rPr>
          <w:sz w:val="20"/>
          <w:szCs w:val="20"/>
          <w:color w:val="auto"/>
        </w:rPr>
      </w:pPr>
      <w:r>
        <w:rPr>
          <w:rFonts w:ascii="Times New Roman" w:cs="Times New Roman" w:eastAsia="Times New Roman" w:hAnsi="Times New Roman"/>
          <w:sz w:val="20"/>
          <w:szCs w:val="20"/>
          <w:color w:val="auto"/>
        </w:rPr>
        <w:t>other bankruptcy or insolvency law, including assignments for the benefit of creditors, compositions, or proceedings seeking reorganization, arrangement, or other similar relief.</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“Intellectual Property” means all of each Loan Party’s Copyrights; Trademarks; Patents; Licenses; trade secrets and</w:t>
      </w:r>
    </w:p>
    <w:p>
      <w:pPr>
        <w:spacing w:after="0" w:line="204" w:lineRule="auto"/>
        <w:rPr>
          <w:sz w:val="20"/>
          <w:szCs w:val="20"/>
          <w:color w:val="auto"/>
        </w:rPr>
      </w:pPr>
      <w:r>
        <w:rPr>
          <w:rFonts w:ascii="Times New Roman" w:cs="Times New Roman" w:eastAsia="Times New Roman" w:hAnsi="Times New Roman"/>
          <w:sz w:val="20"/>
          <w:szCs w:val="20"/>
          <w:color w:val="auto"/>
        </w:rPr>
        <w:t>inventions; mask works; each Loan Party’s applications therefor and reissues, extensions, or renewals thereof; and each Loan Party’s goodwill associated with any of the foregoing, together with each Loan Party’s rights to sue for past, present and future infringement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Intellectual Property and the goodwill associated therewith.</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“Intellectual Property Security Agreement” means each Intellectual Property Security Agreement executed and delivered by each Loan Party to Agent and dated as of the Closing Date as the same may from time to time be amended, restated, modified or otherwise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supplemented.</w:t>
      </w:r>
    </w:p>
    <w:p>
      <w:pPr>
        <w:spacing w:after="0" w:line="167" w:lineRule="exact"/>
        <w:rPr>
          <w:sz w:val="20"/>
          <w:szCs w:val="20"/>
          <w:color w:val="auto"/>
        </w:rPr>
      </w:pPr>
    </w:p>
    <w:p>
      <w:pPr>
        <w:ind w:right="20" w:firstLine="1296"/>
        <w:spacing w:after="0" w:line="227" w:lineRule="auto"/>
        <w:rPr>
          <w:sz w:val="20"/>
          <w:szCs w:val="20"/>
          <w:color w:val="auto"/>
        </w:rPr>
      </w:pPr>
      <w:r>
        <w:rPr>
          <w:rFonts w:ascii="Times New Roman" w:cs="Times New Roman" w:eastAsia="Times New Roman" w:hAnsi="Times New Roman"/>
          <w:sz w:val="19"/>
          <w:szCs w:val="19"/>
          <w:color w:val="auto"/>
        </w:rPr>
        <w:t>“Interest Only Milestone” means Borrower has provided evidence satisfactory to the Agent in its reasonable discretion that Borrower has, for the measurement period ending on or before December 31, 2023, achieved each of the following: (a) received at least One</w:t>
      </w:r>
    </w:p>
    <w:p>
      <w:pPr>
        <w:spacing w:after="0" w:line="222" w:lineRule="auto"/>
        <w:rPr>
          <w:sz w:val="20"/>
          <w:szCs w:val="20"/>
          <w:color w:val="auto"/>
        </w:rPr>
      </w:pPr>
      <w:r>
        <w:rPr>
          <w:rFonts w:ascii="Times New Roman" w:cs="Times New Roman" w:eastAsia="Times New Roman" w:hAnsi="Times New Roman"/>
          <w:sz w:val="19"/>
          <w:szCs w:val="19"/>
          <w:color w:val="auto"/>
        </w:rPr>
        <w:t>Hundred Fifty Million Dollars ($150,000,000) in new net cash proceeds from the sale of Borrower’s equity securities to investors, (b) T12M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Revenue of at least One Hundred Twenty Million Dollars ($120,000,000), (c) trailing twelve (12) month Gross Profit of at least Forty Million Dollars ($40,000,000) for the corresponding period, in each case subject to reasonable verification by Borrower, and (d) no Event of Default</w:t>
      </w:r>
    </w:p>
    <w:p>
      <w:pPr>
        <w:spacing w:after="0"/>
        <w:rPr>
          <w:sz w:val="20"/>
          <w:szCs w:val="20"/>
          <w:color w:val="auto"/>
        </w:rPr>
      </w:pPr>
      <w:r>
        <w:rPr>
          <w:rFonts w:ascii="Times New Roman" w:cs="Times New Roman" w:eastAsia="Times New Roman" w:hAnsi="Times New Roman"/>
          <w:sz w:val="20"/>
          <w:szCs w:val="20"/>
          <w:color w:val="auto"/>
        </w:rPr>
        <w:t>shall have occurred or be continuing at such time.</w:t>
      </w:r>
    </w:p>
    <w:p>
      <w:pPr>
        <w:spacing w:after="0" w:line="167"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“IRS” means the United States Internal Revenue Service.</w:t>
      </w:r>
    </w:p>
    <w:p>
      <w:pPr>
        <w:spacing w:after="0" w:line="189"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“Joinder Agreements” means for each Subsidiary (other than Excluded Subsidiaries), a completed and executed Joinder Agreement in substantially the form attached hereto as Exhibit F.</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“License” means any Copyright License, Patent License, Trademark License or other license of rights or interests.</w:t>
      </w:r>
    </w:p>
    <w:p>
      <w:pPr>
        <w:spacing w:after="0" w:line="189"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“Lien” means any mortgage, deed of trust, pledge, hypothecation, assignment for security, security interest, encumbrance, levy, lien or charge of any kind, whether voluntarily incurred or arising by operation of law or otherwise, against any property,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conditional sale or other title retention agreement, and any lease in the nature of a security interest.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“Loan” means the Advances made under this Agreement.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“Loan Party” means Borrower and any Guarantor.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4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“Loan Documents” means this Agreement, the promissory notes (if any), the ACH Authorization, the Account Control Agreements, the Joinder Agreements, all UCC Financing Statements, the Pledge Agreement, the Intellectual Property Security Agreement,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any other documents executed in connection with the Secured Obligations or the transactions contemplated hereby, as the same may from time to time be amended, modified, supplemented or restated.</w:t>
      </w:r>
    </w:p>
    <w:p>
      <w:pPr>
        <w:spacing w:after="0" w:line="149"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“Material Adverse Effect” means a material adverse effect upon: (i) the business, operations, properties, assets or financial condition of Borrower and its Subsidiaries taken as a whole; or (ii) the ability of the Loan Parties, taken as a whole, to perform or pay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“Maximum Term Loan Amount” means Fifty Million Dollars ($50,000,000).</w:t>
      </w:r>
    </w:p>
    <w:p>
      <w:pPr>
        <w:spacing w:after="0" w:line="202" w:lineRule="exact"/>
        <w:rPr>
          <w:sz w:val="20"/>
          <w:szCs w:val="20"/>
          <w:color w:val="auto"/>
        </w:rPr>
      </w:pPr>
    </w:p>
    <w:p>
      <w:pPr>
        <w:ind w:right="360" w:firstLine="1296"/>
        <w:spacing w:after="0" w:line="244" w:lineRule="auto"/>
        <w:rPr>
          <w:sz w:val="20"/>
          <w:szCs w:val="20"/>
          <w:color w:val="auto"/>
        </w:rPr>
      </w:pPr>
      <w:r>
        <w:rPr>
          <w:rFonts w:ascii="Times New Roman" w:cs="Times New Roman" w:eastAsia="Times New Roman" w:hAnsi="Times New Roman"/>
          <w:sz w:val="20"/>
          <w:szCs w:val="20"/>
          <w:color w:val="auto"/>
        </w:rPr>
        <w:t>“Merger Effective Date” means the Effective Time, as such term is defined in that certain Agreement and Plan of Merger dated on or about the Second Amendment Effective Date, by and among, Borrower, Oban Merger Sub, Inc., a Delaware corporation and wholly owned Subsidiary of Borrow, Oban Merger Sub II LLC, a Delaware limited liability company and wholly owned Subsidiary of Borrower, and Velodyne Lidar, Inc., a Delaware corporation.</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“Monthly Financials Trigger Period” is the period commencing on the last day of a month where, Borrower’s average market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capitalization for the trailing ten (10) day period then ending is less than Five Hundred Million Dollars ($500,000,000) and ending on the day when Borrower’s average market capitalization for twenty (20) consecutive days is equal to or above Five Hundred Million Dollars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($500,000,000).</w:t>
      </w:r>
    </w:p>
    <w:p>
      <w:pPr>
        <w:spacing w:after="0" w:line="167"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“Non-Disclosure Agreement” means that certain Non-Disclosure Agreement by and between Borrower and Agent dated as of August 28, 2019.</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“Not Otherwise Applied” means, with reference to any amount of proceeds of any issuance of Equity Interests, that such</w:t>
      </w:r>
    </w:p>
    <w:p>
      <w:pPr>
        <w:spacing w:after="0" w:line="221" w:lineRule="auto"/>
        <w:rPr>
          <w:sz w:val="20"/>
          <w:szCs w:val="20"/>
          <w:color w:val="auto"/>
        </w:rPr>
      </w:pPr>
      <w:r>
        <w:rPr>
          <w:rFonts w:ascii="Times New Roman" w:cs="Times New Roman" w:eastAsia="Times New Roman" w:hAnsi="Times New Roman"/>
          <w:sz w:val="20"/>
          <w:szCs w:val="20"/>
          <w:color w:val="auto"/>
        </w:rPr>
        <w:t>amount was not previously applied in determining the permissibility of any transaction under the Loan Documents where such permissibility was (or may have been) contingent on the receipt of such amount or the availability of such amount for such purpose.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“OFAC” is the U.S. Department of Treasury Office of Foreign Assets Control.</w:t>
      </w:r>
    </w:p>
    <w:p>
      <w:pPr>
        <w:spacing w:after="0" w:line="189"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“OFAC Lists” are, collectively, the Specially Designated Nationals and Blocked Persons List maintained by OFAC pursuant to Executive Order No. 13224, 66 Fed. Reg. 49079 (Sept. 25, 2001) and/or any other list of terrorists or other restricted Persons maintained</w:t>
      </w:r>
    </w:p>
    <w:p>
      <w:pPr>
        <w:spacing w:after="0"/>
        <w:rPr>
          <w:sz w:val="20"/>
          <w:szCs w:val="20"/>
          <w:color w:val="auto"/>
        </w:rPr>
      </w:pPr>
      <w:r>
        <w:rPr>
          <w:rFonts w:ascii="Times New Roman" w:cs="Times New Roman" w:eastAsia="Times New Roman" w:hAnsi="Times New Roman"/>
          <w:sz w:val="20"/>
          <w:szCs w:val="20"/>
          <w:color w:val="auto"/>
        </w:rPr>
        <w:t>pursuant to any of the rules and regulations of OFAC or pursuant to any other applicable Executive Orders.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“Participant Register” has the meaning specified in Section 11.8.</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“Patent License” means any written agreement granting any right with respect to any invention on which a Patent is in existence or a Patent application is pending, in which agreement any Loan Party now holds or hereafter acquires any interest.</w:t>
      </w:r>
    </w:p>
    <w:p>
      <w:pPr>
        <w:spacing w:after="0" w:line="161"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w:t>
      </w:r>
    </w:p>
    <w:p>
      <w:pPr>
        <w:spacing w:after="0"/>
        <w:rPr>
          <w:sz w:val="20"/>
          <w:szCs w:val="20"/>
          <w:color w:val="auto"/>
        </w:rPr>
      </w:pPr>
      <w:r>
        <w:rPr>
          <w:rFonts w:ascii="Times New Roman" w:cs="Times New Roman" w:eastAsia="Times New Roman" w:hAnsi="Times New Roman"/>
          <w:sz w:val="20"/>
          <w:szCs w:val="20"/>
          <w:color w:val="auto"/>
        </w:rPr>
        <w:t>America or any other country.</w:t>
      </w:r>
    </w:p>
    <w:p>
      <w:pPr>
        <w:spacing w:after="0" w:line="167"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“Performance Milestone” means Borrower has provided evidence satisfactory to the Agent in its reasonable discretion that Borrower has, for the twelve (12) month measurement period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4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ending on December 31, 2022, achieved each of the following: (a) T12M Revenue of at least Sixty Million Dollars ($60,000,000), and (b) trailing twelve (12) month Gross Profit of at least Fifteen Million Dollars ($15,000,000) for the corresponding period, in each case subject to</w:t>
      </w:r>
    </w:p>
    <w:p>
      <w:pPr>
        <w:spacing w:after="0"/>
        <w:rPr>
          <w:sz w:val="20"/>
          <w:szCs w:val="20"/>
          <w:color w:val="auto"/>
        </w:rPr>
      </w:pPr>
      <w:r>
        <w:rPr>
          <w:rFonts w:ascii="Times New Roman" w:cs="Times New Roman" w:eastAsia="Times New Roman" w:hAnsi="Times New Roman"/>
          <w:sz w:val="20"/>
          <w:szCs w:val="20"/>
          <w:color w:val="auto"/>
        </w:rPr>
        <w:t>reasonable verification by Borrower.</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“Permitted Acquisition” means an Investment consisting of an Acquisition by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628"/>
        <w:spacing w:after="0"/>
        <w:tabs>
          <w:tab w:leader="none" w:pos="189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acquired (or the property of the Person acquired) in such Acquisition is used or useful in the same or a related line of business as the Borrower and its Subsidiaries (or any reasonable extensions or expansions thereof),</w:t>
      </w:r>
    </w:p>
    <w:p>
      <w:pPr>
        <w:spacing w:after="0" w:line="161" w:lineRule="exact"/>
        <w:rPr>
          <w:rFonts w:ascii="Times New Roman" w:cs="Times New Roman" w:eastAsia="Times New Roman" w:hAnsi="Times New Roman"/>
          <w:sz w:val="20"/>
          <w:szCs w:val="20"/>
          <w:color w:val="auto"/>
        </w:rPr>
      </w:pPr>
    </w:p>
    <w:p>
      <w:pPr>
        <w:ind w:left="1900" w:hanging="272"/>
        <w:spacing w:after="0"/>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have occurred and be continuing or would immediately result from such Acquisition,</w:t>
      </w:r>
    </w:p>
    <w:p>
      <w:pPr>
        <w:spacing w:after="0" w:line="175" w:lineRule="exact"/>
        <w:rPr>
          <w:rFonts w:ascii="Times New Roman" w:cs="Times New Roman" w:eastAsia="Times New Roman" w:hAnsi="Times New Roman"/>
          <w:sz w:val="20"/>
          <w:szCs w:val="20"/>
          <w:color w:val="auto"/>
        </w:rPr>
      </w:pPr>
    </w:p>
    <w:p>
      <w:pPr>
        <w:jc w:val="both"/>
        <w:ind w:firstLine="1628"/>
        <w:spacing w:after="0" w:line="230" w:lineRule="auto"/>
        <w:tabs>
          <w:tab w:leader="none" w:pos="18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(or shall receive in connection with the closing of such Acquisition) all items in respect of the Equity Interests or property acquired in such Acquisition required to be delivered by the terms of this Agreement (when and as required thereby),</w:t>
      </w:r>
    </w:p>
    <w:p>
      <w:pPr>
        <w:spacing w:after="0" w:line="148" w:lineRule="exact"/>
        <w:rPr>
          <w:rFonts w:ascii="Times New Roman" w:cs="Times New Roman" w:eastAsia="Times New Roman" w:hAnsi="Times New Roman"/>
          <w:sz w:val="20"/>
          <w:szCs w:val="20"/>
          <w:color w:val="auto"/>
        </w:rPr>
      </w:pPr>
    </w:p>
    <w:p>
      <w:pPr>
        <w:ind w:firstLine="1628"/>
        <w:spacing w:after="0"/>
        <w:tabs>
          <w:tab w:leader="none" w:pos="192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governing body) and/or the shareholders (or equivalent) of the applicable Loan Party and the target of such Acquisition,</w:t>
      </w:r>
    </w:p>
    <w:p>
      <w:pPr>
        <w:spacing w:after="0" w:line="157" w:lineRule="exact"/>
        <w:rPr>
          <w:rFonts w:ascii="Times New Roman" w:cs="Times New Roman" w:eastAsia="Times New Roman" w:hAnsi="Times New Roman"/>
          <w:sz w:val="20"/>
          <w:szCs w:val="20"/>
          <w:color w:val="auto"/>
        </w:rPr>
      </w:pPr>
    </w:p>
    <w:p>
      <w:pPr>
        <w:jc w:val="both"/>
        <w:ind w:firstLine="1628"/>
        <w:spacing w:after="0" w:line="227" w:lineRule="auto"/>
        <w:tabs>
          <w:tab w:leader="none" w:pos="19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delivered to the Agent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statements for the Borrower and its Subsidiaries after giving effect to such Acquisition for the twelve-month period ending as of the most recent Fiscal Quarter end in a form reasonably satisfactory to the Agent,</w:t>
      </w:r>
    </w:p>
    <w:p>
      <w:pPr>
        <w:spacing w:after="0" w:line="161" w:lineRule="exact"/>
        <w:rPr>
          <w:rFonts w:ascii="Times New Roman" w:cs="Times New Roman" w:eastAsia="Times New Roman" w:hAnsi="Times New Roman"/>
          <w:sz w:val="20"/>
          <w:szCs w:val="20"/>
          <w:color w:val="auto"/>
        </w:rPr>
      </w:pPr>
    </w:p>
    <w:p>
      <w:pPr>
        <w:jc w:val="both"/>
        <w:ind w:firstLine="1628"/>
        <w:spacing w:after="0" w:line="216" w:lineRule="auto"/>
        <w:tabs>
          <w:tab w:leader="none" w:pos="189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the purchase price of such proposed new acquisition, computed on the basis of total cash acquisition consideration paid or incurred, or to be paid or incurred, by the applicable Loan Party with respect thereto, including any deferred acquisition consideration which is non contingency or milestone based (but specifically excluding any deferred acquisition consideration which is contingency or milestone based) shall not exceed Ten Million Dollars ($10,000,000) per fiscal year, provided that after giving effect to such acquisition on a pro forma basis, Borrower’s unrestricted Cash (other than (a) Liens granted to Agent under the Loan Document) shall not be less than One Hundred Million Dollars ($100,000,000); and</w:t>
      </w:r>
    </w:p>
    <w:p>
      <w:pPr>
        <w:spacing w:after="0" w:line="162" w:lineRule="exact"/>
        <w:rPr>
          <w:rFonts w:ascii="Times New Roman" w:cs="Times New Roman" w:eastAsia="Times New Roman" w:hAnsi="Times New Roman"/>
          <w:sz w:val="20"/>
          <w:szCs w:val="20"/>
          <w:color w:val="auto"/>
        </w:rPr>
      </w:pPr>
    </w:p>
    <w:p>
      <w:pPr>
        <w:jc w:val="both"/>
        <w:ind w:firstLine="1628"/>
        <w:spacing w:after="0" w:line="216" w:lineRule="auto"/>
        <w:tabs>
          <w:tab w:leader="none" w:pos="19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has and maintains, and delivers to Agent no less than ten (10) days (or such shorter period agreed to by Agent) prior to any such Acquisition, a certificate signed by Borrower’s Chief Executive Officer or Chief Financial Officer, in form reasonably acceptable to Agent (it being agreed that any certificate previously delivered to Agent that was accepted by Agent shall be deemed to be in form acceptable to Agent for future use) demonstrating compliance with, on and after June 30, 2023, the covenant set forth in </w:t>
      </w:r>
      <w:r>
        <w:rPr>
          <w:rFonts w:ascii="Times New Roman" w:cs="Times New Roman" w:eastAsia="Times New Roman" w:hAnsi="Times New Roman"/>
          <w:sz w:val="20"/>
          <w:szCs w:val="20"/>
          <w:u w:val="single" w:color="auto"/>
          <w:color w:val="auto"/>
        </w:rPr>
        <w:t>Section 7.19(a)</w:t>
      </w:r>
      <w:r>
        <w:rPr>
          <w:rFonts w:ascii="Times New Roman" w:cs="Times New Roman" w:eastAsia="Times New Roman" w:hAnsi="Times New Roman"/>
          <w:sz w:val="20"/>
          <w:szCs w:val="20"/>
          <w:color w:val="auto"/>
        </w:rPr>
        <w:t xml:space="preserve"> hereof on a pro forma basis as if the Acquisition occurred on the first day of the most recent measurement period with respect to such financial covenant.</w:t>
      </w:r>
    </w:p>
    <w:p>
      <w:pPr>
        <w:spacing w:after="0" w:line="162" w:lineRule="exact"/>
        <w:rPr>
          <w:sz w:val="20"/>
          <w:szCs w:val="20"/>
          <w:color w:val="auto"/>
        </w:rPr>
      </w:pPr>
    </w:p>
    <w:p>
      <w:pPr>
        <w:ind w:firstLine="436"/>
        <w:spacing w:after="0" w:line="227" w:lineRule="auto"/>
        <w:rPr>
          <w:sz w:val="20"/>
          <w:szCs w:val="20"/>
          <w:color w:val="auto"/>
        </w:rPr>
      </w:pPr>
      <w:r>
        <w:rPr>
          <w:rFonts w:ascii="Times New Roman" w:cs="Times New Roman" w:eastAsia="Times New Roman" w:hAnsi="Times New Roman"/>
          <w:sz w:val="19"/>
          <w:szCs w:val="19"/>
          <w:color w:val="auto"/>
        </w:rPr>
        <w:t>“Permitted Bond Hedge Transaction” means any call or capped call option (or substantively equivalent derivative transaction) pursuant to which the Borrower acquires an option requiring the counterparty thereto to deliver to the Borrower (i) shares of common stock of the</w:t>
      </w:r>
    </w:p>
    <w:p>
      <w:pPr>
        <w:spacing w:after="0" w:line="215" w:lineRule="auto"/>
        <w:rPr>
          <w:sz w:val="20"/>
          <w:szCs w:val="20"/>
          <w:color w:val="auto"/>
        </w:rPr>
      </w:pPr>
      <w:r>
        <w:rPr>
          <w:rFonts w:ascii="Times New Roman" w:cs="Times New Roman" w:eastAsia="Times New Roman" w:hAnsi="Times New Roman"/>
          <w:sz w:val="19"/>
          <w:szCs w:val="19"/>
          <w:color w:val="auto"/>
        </w:rPr>
        <w:t>Borrower (or other securities or property following a merger event or other change of the common stock of the Borrower), (ii) the cash value thereof or (iii) a combination thereof, in each case, from time to time upon exercise of such option entered into by the Borrower in connection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with the issuance of Permitted Convertible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purchase price for any Permitted Bond Hedge Transaction, less the</w:t>
      </w:r>
    </w:p>
    <w:p>
      <w:pPr>
        <w:spacing w:after="0" w:line="221" w:lineRule="auto"/>
        <w:rPr>
          <w:sz w:val="20"/>
          <w:szCs w:val="20"/>
          <w:color w:val="auto"/>
        </w:rPr>
      </w:pPr>
      <w:r>
        <w:rPr>
          <w:rFonts w:ascii="Times New Roman" w:cs="Times New Roman" w:eastAsia="Times New Roman" w:hAnsi="Times New Roman"/>
          <w:sz w:val="20"/>
          <w:szCs w:val="20"/>
          <w:color w:val="auto"/>
        </w:rPr>
        <w:t>proceeds received by the Borrower from the sale of any related Permitted Warrant Transaction, does not exceed the net proceeds received by the Borrower from the sale of the Permitted Convertible Debt issued in connection with the Permitted Bond Hedge Transaction.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43"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“Permitted Borrower Equity Buybacks” means the Borrower may repurchase or buy back any Equity Interests of the Borrower in the amount not to exceed the result of (a) one hundred percent (100%) of any amounts directly or indirectly received by the</w:t>
      </w:r>
    </w:p>
    <w:p>
      <w:pPr>
        <w:spacing w:after="0" w:line="212" w:lineRule="auto"/>
        <w:rPr>
          <w:sz w:val="20"/>
          <w:szCs w:val="20"/>
          <w:color w:val="auto"/>
        </w:rPr>
      </w:pPr>
      <w:r>
        <w:rPr>
          <w:rFonts w:ascii="Times New Roman" w:cs="Times New Roman" w:eastAsia="Times New Roman" w:hAnsi="Times New Roman"/>
          <w:sz w:val="20"/>
          <w:szCs w:val="20"/>
          <w:color w:val="auto"/>
        </w:rPr>
        <w:t>Borrower in connection with any direct or indirect Equity Interests issuances, sales or other dispositions of Equity Interests by the Borrower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"Borrower Equity Interests Disposition Proceeds"), minus (b) any Borrower Equity Interests Disposition Proceeds used to make any voluntary principal prepayments in cash with respect to the Term Loan.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Convertible Debt” means Indebtedness that is either (i) convertible into a fixed number (subject to customary</w:t>
      </w:r>
    </w:p>
    <w:p>
      <w:pPr>
        <w:spacing w:after="0" w:line="204" w:lineRule="auto"/>
        <w:rPr>
          <w:sz w:val="20"/>
          <w:szCs w:val="20"/>
          <w:color w:val="auto"/>
        </w:rPr>
      </w:pPr>
      <w:r>
        <w:rPr>
          <w:rFonts w:ascii="Times New Roman" w:cs="Times New Roman" w:eastAsia="Times New Roman" w:hAnsi="Times New Roman"/>
          <w:sz w:val="20"/>
          <w:szCs w:val="20"/>
          <w:color w:val="auto"/>
        </w:rPr>
        <w:t>anti-dilution adjustments, “make-whole” increases and other customary changes thereto) of shares of common stock of the Borrower (and cash in lieu of fractional shares) (or other securities or property following a merger event or other change of the common stock of the</w:t>
      </w:r>
    </w:p>
    <w:p>
      <w:pPr>
        <w:spacing w:after="0" w:line="211" w:lineRule="auto"/>
        <w:rPr>
          <w:sz w:val="20"/>
          <w:szCs w:val="20"/>
          <w:color w:val="auto"/>
        </w:rPr>
      </w:pPr>
      <w:r>
        <w:rPr>
          <w:rFonts w:ascii="Times New Roman" w:cs="Times New Roman" w:eastAsia="Times New Roman" w:hAnsi="Times New Roman"/>
          <w:sz w:val="20"/>
          <w:szCs w:val="20"/>
          <w:color w:val="auto"/>
        </w:rPr>
        <w:t>Borrower), cash or any combination thereof (with the amount of such cash or such combination determined by reference to the market price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such common stock or such other securities) or (ii) sold as units with call options, warrants or rights to purchase (or substantially equivalent derivative transactions) that are exercisable for shares of common stock of the Borrower (and cash in lieu of fractional shares) (or</w:t>
      </w:r>
    </w:p>
    <w:p>
      <w:pPr>
        <w:spacing w:after="0" w:line="222" w:lineRule="auto"/>
        <w:rPr>
          <w:sz w:val="20"/>
          <w:szCs w:val="20"/>
          <w:color w:val="auto"/>
        </w:rPr>
      </w:pPr>
      <w:r>
        <w:rPr>
          <w:rFonts w:ascii="Times New Roman" w:cs="Times New Roman" w:eastAsia="Times New Roman" w:hAnsi="Times New Roman"/>
          <w:sz w:val="19"/>
          <w:szCs w:val="19"/>
          <w:color w:val="auto"/>
        </w:rPr>
        <w:t>other securities or property following a merger event or other change of the common stock of the Borrower), cash or any combination thereof</w:t>
      </w:r>
    </w:p>
    <w:p>
      <w:pPr>
        <w:spacing w:after="0" w:line="215" w:lineRule="auto"/>
        <w:rPr>
          <w:sz w:val="20"/>
          <w:szCs w:val="20"/>
          <w:color w:val="auto"/>
        </w:rPr>
      </w:pPr>
      <w:r>
        <w:rPr>
          <w:rFonts w:ascii="Times New Roman" w:cs="Times New Roman" w:eastAsia="Times New Roman" w:hAnsi="Times New Roman"/>
          <w:sz w:val="19"/>
          <w:szCs w:val="19"/>
          <w:color w:val="auto"/>
        </w:rPr>
        <w:t>(with the amount of such cash or such combination determined by reference to the market price of such common stock or such other securities); provided that such Indebtedness shall (a) not require any scheduled amortization or otherwise required payment of principal prior</w:t>
      </w:r>
    </w:p>
    <w:p>
      <w:pPr>
        <w:spacing w:after="0" w:line="211" w:lineRule="auto"/>
        <w:rPr>
          <w:sz w:val="20"/>
          <w:szCs w:val="20"/>
          <w:color w:val="auto"/>
        </w:rPr>
      </w:pPr>
      <w:r>
        <w:rPr>
          <w:rFonts w:ascii="Times New Roman" w:cs="Times New Roman" w:eastAsia="Times New Roman" w:hAnsi="Times New Roman"/>
          <w:sz w:val="20"/>
          <w:szCs w:val="20"/>
          <w:color w:val="auto"/>
        </w:rPr>
        <w:t>to, or have a scheduled maturity date, earlier than, one hundred eighty (180) days after the Term Loan Maturity Date, (b) be unsecured or</w:t>
      </w:r>
    </w:p>
    <w:p>
      <w:pPr>
        <w:spacing w:after="0" w:line="221" w:lineRule="auto"/>
        <w:rPr>
          <w:sz w:val="20"/>
          <w:szCs w:val="20"/>
          <w:color w:val="auto"/>
        </w:rPr>
      </w:pPr>
      <w:r>
        <w:rPr>
          <w:rFonts w:ascii="Times New Roman" w:cs="Times New Roman" w:eastAsia="Times New Roman" w:hAnsi="Times New Roman"/>
          <w:sz w:val="20"/>
          <w:szCs w:val="20"/>
          <w:color w:val="auto"/>
        </w:rPr>
        <w:t>subordinated to the Secured Obligations pursuant to terms satisfactory to the Agent in its sole discretion, (c) not be guaranteed by any Subsidiary of Borrower that is not also a Loan Party, and (d) shall be Indebtedness of the Borrower and not any Subsidiary thereof.</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Convertible Debt Call Transaction” means any Permitted Bond Hedge Transaction and any Permitted Warrant</w:t>
      </w:r>
    </w:p>
    <w:p>
      <w:pPr>
        <w:ind w:left="80"/>
        <w:spacing w:after="0"/>
        <w:rPr>
          <w:sz w:val="20"/>
          <w:szCs w:val="20"/>
          <w:color w:val="auto"/>
        </w:rPr>
      </w:pPr>
      <w:r>
        <w:rPr>
          <w:rFonts w:ascii="Times New Roman" w:cs="Times New Roman" w:eastAsia="Times New Roman" w:hAnsi="Times New Roman"/>
          <w:sz w:val="20"/>
          <w:szCs w:val="20"/>
          <w:color w:val="auto"/>
        </w:rPr>
        <w:t>Transaction.</w:t>
      </w:r>
    </w:p>
    <w:p>
      <w:pPr>
        <w:spacing w:after="0" w:line="153" w:lineRule="exact"/>
        <w:rPr>
          <w:sz w:val="20"/>
          <w:szCs w:val="20"/>
          <w:color w:val="auto"/>
        </w:rPr>
      </w:pPr>
    </w:p>
    <w:p>
      <w:pPr>
        <w:ind w:left="80" w:firstLine="1215"/>
        <w:spacing w:after="0"/>
        <w:rPr>
          <w:sz w:val="20"/>
          <w:szCs w:val="20"/>
          <w:color w:val="auto"/>
        </w:rPr>
      </w:pPr>
      <w:r>
        <w:rPr>
          <w:rFonts w:ascii="Times New Roman" w:cs="Times New Roman" w:eastAsia="Times New Roman" w:hAnsi="Times New Roman"/>
          <w:sz w:val="20"/>
          <w:szCs w:val="20"/>
          <w:color w:val="auto"/>
        </w:rPr>
        <w:t>“Permitted Employee Stock Purchase Loans” means any loans advanced by the Borrower under clause (ix) of the defined term “Permitted Investments”</w:t>
      </w:r>
    </w:p>
    <w:p>
      <w:pPr>
        <w:spacing w:after="0" w:line="161" w:lineRule="exact"/>
        <w:rPr>
          <w:sz w:val="20"/>
          <w:szCs w:val="20"/>
          <w:color w:val="auto"/>
        </w:rPr>
      </w:pPr>
    </w:p>
    <w:p>
      <w:pPr>
        <w:ind w:left="80" w:firstLine="1215"/>
        <w:spacing w:after="0" w:line="215" w:lineRule="auto"/>
        <w:rPr>
          <w:sz w:val="20"/>
          <w:szCs w:val="20"/>
          <w:color w:val="auto"/>
        </w:rPr>
      </w:pPr>
      <w:r>
        <w:rPr>
          <w:rFonts w:ascii="Times New Roman" w:cs="Times New Roman" w:eastAsia="Times New Roman" w:hAnsi="Times New Roman"/>
          <w:sz w:val="20"/>
          <w:szCs w:val="20"/>
          <w:color w:val="auto"/>
        </w:rPr>
        <w:t>“Permitted Employee Stock Purchase Loans Forgiveness and Collateral Release Event” means the termination by the Borrower of the agreements and documents (other than provisions that expressly survive the termination thereof) entered into by the</w:t>
      </w:r>
    </w:p>
    <w:p>
      <w:pPr>
        <w:ind w:left="80"/>
        <w:spacing w:after="0" w:line="212" w:lineRule="auto"/>
        <w:rPr>
          <w:sz w:val="20"/>
          <w:szCs w:val="20"/>
          <w:color w:val="auto"/>
        </w:rPr>
      </w:pPr>
      <w:r>
        <w:rPr>
          <w:rFonts w:ascii="Times New Roman" w:cs="Times New Roman" w:eastAsia="Times New Roman" w:hAnsi="Times New Roman"/>
          <w:sz w:val="20"/>
          <w:szCs w:val="20"/>
          <w:color w:val="auto"/>
        </w:rPr>
        <w:t>Borrower in connection with any Permitted Employee Stock Purchase Loan (and release and termination by the Borrower of all collateral</w:t>
      </w:r>
    </w:p>
    <w:p>
      <w:pPr>
        <w:spacing w:after="0" w:line="1" w:lineRule="exact"/>
        <w:rPr>
          <w:sz w:val="20"/>
          <w:szCs w:val="20"/>
          <w:color w:val="auto"/>
        </w:rPr>
      </w:pPr>
    </w:p>
    <w:p>
      <w:pPr>
        <w:ind w:left="80"/>
        <w:spacing w:after="0" w:line="215" w:lineRule="auto"/>
        <w:rPr>
          <w:sz w:val="20"/>
          <w:szCs w:val="20"/>
          <w:color w:val="auto"/>
        </w:rPr>
      </w:pPr>
      <w:r>
        <w:rPr>
          <w:rFonts w:ascii="Times New Roman" w:cs="Times New Roman" w:eastAsia="Times New Roman" w:hAnsi="Times New Roman"/>
          <w:sz w:val="19"/>
          <w:szCs w:val="19"/>
          <w:color w:val="auto"/>
        </w:rPr>
        <w:t>and Liens, if any, provided thereunder and release, termination or removal by the Borrower of all personal recourse, if any, of the applicable borrower thereunder) upon the principal and accrued interest of such Permitted Employee Stock Purchase Loan being either (i) forgiven in</w:t>
      </w:r>
    </w:p>
    <w:p>
      <w:pPr>
        <w:ind w:left="80"/>
        <w:spacing w:after="0"/>
        <w:rPr>
          <w:sz w:val="20"/>
          <w:szCs w:val="20"/>
          <w:color w:val="auto"/>
        </w:rPr>
      </w:pPr>
      <w:r>
        <w:rPr>
          <w:rFonts w:ascii="Times New Roman" w:cs="Times New Roman" w:eastAsia="Times New Roman" w:hAnsi="Times New Roman"/>
          <w:sz w:val="20"/>
          <w:szCs w:val="20"/>
          <w:color w:val="auto"/>
        </w:rPr>
        <w:t>full pursuant to an approval by the board of directors (or similar governing body) of the Borrower or (ii) paid in full.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Indebtedness” means:</w:t>
      </w:r>
    </w:p>
    <w:p>
      <w:pPr>
        <w:spacing w:after="0" w:line="175" w:lineRule="exact"/>
        <w:rPr>
          <w:sz w:val="20"/>
          <w:szCs w:val="20"/>
          <w:color w:val="auto"/>
        </w:rPr>
      </w:pPr>
    </w:p>
    <w:p>
      <w:pPr>
        <w:ind w:left="1940" w:hanging="312"/>
        <w:spacing w:after="0"/>
        <w:tabs>
          <w:tab w:leader="none" w:pos="1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188" w:lineRule="exact"/>
        <w:rPr>
          <w:rFonts w:ascii="Times New Roman" w:cs="Times New Roman" w:eastAsia="Times New Roman" w:hAnsi="Times New Roman"/>
          <w:sz w:val="20"/>
          <w:szCs w:val="20"/>
          <w:color w:val="auto"/>
        </w:rPr>
      </w:pPr>
    </w:p>
    <w:p>
      <w:pPr>
        <w:ind w:left="80" w:firstLine="1548"/>
        <w:spacing w:after="0" w:line="233" w:lineRule="auto"/>
        <w:tabs>
          <w:tab w:leader="none" w:pos="194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Indebtedness permitted under the defined term “Permitted Investments” (other than by reference to this defined term “Permitted Indebtedness” (or any sub-clause hereof));</w:t>
      </w:r>
    </w:p>
    <w:p>
      <w:pPr>
        <w:spacing w:after="0" w:line="160" w:lineRule="exact"/>
        <w:rPr>
          <w:rFonts w:ascii="Times New Roman" w:cs="Times New Roman" w:eastAsia="Times New Roman" w:hAnsi="Times New Roman"/>
          <w:sz w:val="20"/>
          <w:szCs w:val="20"/>
          <w:color w:val="auto"/>
        </w:rPr>
      </w:pPr>
    </w:p>
    <w:p>
      <w:pPr>
        <w:jc w:val="both"/>
        <w:ind w:left="80" w:firstLine="1548"/>
        <w:spacing w:after="0" w:line="216" w:lineRule="auto"/>
        <w:tabs>
          <w:tab w:leader="none" w:pos="194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existing as of the Closing Date which is disclosed in Schedule 1A and any extensions, renewals or replacements thereof; provided, that, with respect to any such extension, renewal or replacement, (i) the outstanding principal amount of such Indebtedness is not increased except by an amount equal to fees and expenses and any premium reasonably incurred (and any paid-in-kind interest provided) in connection with any such extension, renewal or replacement, and (ii) the terms of such Indebtedness are not modified to impose materially more burdensome terms, taken as a whole, upon the Borrower or any Subsidiary, as the case may be (it being understood that an increase in the interest rate, fees or other pricing applicable thereto shall not be deemed to be materially more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43" w:lineRule="exact"/>
        <w:rPr>
          <w:sz w:val="20"/>
          <w:szCs w:val="20"/>
          <w:color w:val="auto"/>
        </w:rPr>
      </w:pPr>
    </w:p>
    <w:p>
      <w:pPr>
        <w:ind w:left="80"/>
        <w:spacing w:after="0" w:line="233" w:lineRule="auto"/>
        <w:rPr>
          <w:sz w:val="20"/>
          <w:szCs w:val="20"/>
          <w:color w:val="auto"/>
        </w:rPr>
      </w:pPr>
      <w:r>
        <w:rPr>
          <w:rFonts w:ascii="Times New Roman" w:cs="Times New Roman" w:eastAsia="Times New Roman" w:hAnsi="Times New Roman"/>
          <w:sz w:val="20"/>
          <w:szCs w:val="20"/>
          <w:color w:val="auto"/>
        </w:rPr>
        <w:t>burdensome so long as such interest rate, fees or other pricing does not exceed the then applicable market interest rate, fees and other pricing);</w:t>
      </w:r>
    </w:p>
    <w:p>
      <w:pPr>
        <w:spacing w:after="0" w:line="161" w:lineRule="exact"/>
        <w:rPr>
          <w:sz w:val="20"/>
          <w:szCs w:val="20"/>
          <w:color w:val="auto"/>
        </w:rPr>
      </w:pPr>
    </w:p>
    <w:p>
      <w:pPr>
        <w:jc w:val="both"/>
        <w:ind w:left="80" w:firstLine="1548"/>
        <w:spacing w:after="0" w:line="216"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incurred (i) in the ordinary course of business of the Borrower and its Subsidiaries in the nature of trade payables owing to suppliers and other trade creditors on negotiated trade terms in connection with purchases of goods and services, which may be overdue or subject to good faith disputes and for which adequate reserves in accordance with GAAP have been set aside on the books of the Borrower and its Subsidiaries, and (ii) in respect of performance, surety or appeal bonds provided in the ordinary course of business, but excluding (in each case), Indebtedness incurred through the borrowing of money or Contingent Obligations in respect thereof;</w:t>
      </w:r>
    </w:p>
    <w:p>
      <w:pPr>
        <w:spacing w:after="0" w:line="162" w:lineRule="exact"/>
        <w:rPr>
          <w:rFonts w:ascii="Times New Roman" w:cs="Times New Roman" w:eastAsia="Times New Roman" w:hAnsi="Times New Roman"/>
          <w:sz w:val="20"/>
          <w:szCs w:val="20"/>
          <w:color w:val="auto"/>
        </w:rPr>
      </w:pPr>
    </w:p>
    <w:p>
      <w:pPr>
        <w:ind w:left="80" w:firstLine="1548"/>
        <w:spacing w:after="0"/>
        <w:tabs>
          <w:tab w:leader="none" w:pos="193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which are a “Permitted Investment” (other than by reference to “Permitted Indebtedness” (or any sub-clause hereof));</w:t>
      </w:r>
    </w:p>
    <w:p>
      <w:pPr>
        <w:spacing w:after="0" w:line="143" w:lineRule="exact"/>
        <w:rPr>
          <w:rFonts w:ascii="Times New Roman" w:cs="Times New Roman" w:eastAsia="Times New Roman" w:hAnsi="Times New Roman"/>
          <w:sz w:val="20"/>
          <w:szCs w:val="20"/>
          <w:color w:val="auto"/>
        </w:rPr>
      </w:pPr>
    </w:p>
    <w:p>
      <w:pPr>
        <w:jc w:val="both"/>
        <w:ind w:left="80" w:firstLine="1548"/>
        <w:spacing w:after="0" w:line="223"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money Indebtedness and Capital Leases in an aggregate amount of up to </w:t>
      </w:r>
      <w:r>
        <w:rPr>
          <w:rFonts w:ascii="Times New Roman" w:cs="Times New Roman" w:eastAsia="Times New Roman" w:hAnsi="Times New Roman"/>
          <w:sz w:val="20"/>
          <w:szCs w:val="20"/>
          <w:b w:val="1"/>
          <w:bCs w:val="1"/>
          <w:color w:val="FF0000"/>
          <w:strike w:val="1"/>
        </w:rPr>
        <w:t>Five</w:t>
      </w:r>
      <w:r>
        <w:rPr>
          <w:rFonts w:ascii="Times New Roman" w:cs="Times New Roman" w:eastAsia="Times New Roman" w:hAnsi="Times New Roman"/>
          <w:sz w:val="20"/>
          <w:szCs w:val="20"/>
          <w:b w:val="1"/>
          <w:bCs w:val="1"/>
          <w:u w:val="single" w:color="auto"/>
          <w:color w:val="0000FF"/>
        </w:rPr>
        <w:t>Ten</w:t>
      </w:r>
      <w:r>
        <w:rPr>
          <w:rFonts w:ascii="Times New Roman" w:cs="Times New Roman" w:eastAsia="Times New Roman" w:hAnsi="Times New Roman"/>
          <w:sz w:val="20"/>
          <w:szCs w:val="20"/>
          <w:color w:val="auto"/>
        </w:rPr>
        <w:t xml:space="preserve"> Million Dollars ($</w:t>
      </w:r>
      <w:r>
        <w:rPr>
          <w:rFonts w:ascii="Times New Roman" w:cs="Times New Roman" w:eastAsia="Times New Roman" w:hAnsi="Times New Roman"/>
          <w:sz w:val="20"/>
          <w:szCs w:val="20"/>
          <w:b w:val="1"/>
          <w:bCs w:val="1"/>
          <w:color w:val="FF0000"/>
          <w:strike w:val="1"/>
        </w:rPr>
        <w:t>5,000,000</w:t>
      </w:r>
      <w:r>
        <w:rPr>
          <w:rFonts w:ascii="Times New Roman" w:cs="Times New Roman" w:eastAsia="Times New Roman" w:hAnsi="Times New Roman"/>
          <w:sz w:val="20"/>
          <w:szCs w:val="20"/>
          <w:b w:val="1"/>
          <w:bCs w:val="1"/>
          <w:u w:val="single" w:color="auto"/>
          <w:color w:val="0000FF"/>
        </w:rPr>
        <w:t>10,000,000</w:t>
      </w:r>
      <w:r>
        <w:rPr>
          <w:rFonts w:ascii="Times New Roman" w:cs="Times New Roman" w:eastAsia="Times New Roman" w:hAnsi="Times New Roman"/>
          <w:sz w:val="20"/>
          <w:szCs w:val="20"/>
          <w:color w:val="auto"/>
        </w:rPr>
        <w:t>) outstanding at any time, in each case, secured by a Lien described in clause (ix) of the “Permitted Liens”; provided, that, such Indebtedness does not exceed the lesser of the cost or fair market value of the equipment or other property financed with such Indebtedness;</w:t>
      </w:r>
    </w:p>
    <w:p>
      <w:pPr>
        <w:spacing w:after="0" w:line="161" w:lineRule="exact"/>
        <w:rPr>
          <w:rFonts w:ascii="Times New Roman" w:cs="Times New Roman" w:eastAsia="Times New Roman" w:hAnsi="Times New Roman"/>
          <w:sz w:val="20"/>
          <w:szCs w:val="20"/>
          <w:color w:val="auto"/>
        </w:rPr>
      </w:pPr>
    </w:p>
    <w:p>
      <w:pPr>
        <w:ind w:left="2580" w:hanging="952"/>
        <w:spacing w:after="0"/>
        <w:tabs>
          <w:tab w:leader="none" w:pos="2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under corporate credit cards;</w:t>
      </w:r>
    </w:p>
    <w:p>
      <w:pPr>
        <w:spacing w:after="0" w:line="188" w:lineRule="exact"/>
        <w:rPr>
          <w:rFonts w:ascii="Times New Roman" w:cs="Times New Roman" w:eastAsia="Times New Roman" w:hAnsi="Times New Roman"/>
          <w:sz w:val="20"/>
          <w:szCs w:val="20"/>
          <w:color w:val="auto"/>
        </w:rPr>
      </w:pPr>
    </w:p>
    <w:p>
      <w:pPr>
        <w:jc w:val="both"/>
        <w:ind w:left="80" w:right="20" w:firstLine="1548"/>
        <w:spacing w:after="0" w:line="226" w:lineRule="auto"/>
        <w:tabs>
          <w:tab w:leader="none" w:pos="25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reimbursement obligations in connection with letters of credit, bank guarantees or bank warranties that are solely secured by cash or Cash Equivalent Investments and are issued on behalf of the Borrower or any Subsidiary, in an aggregate amount not to exceed </w:t>
      </w:r>
      <w:r>
        <w:rPr>
          <w:rFonts w:ascii="Times New Roman" w:cs="Times New Roman" w:eastAsia="Times New Roman" w:hAnsi="Times New Roman"/>
          <w:sz w:val="20"/>
          <w:szCs w:val="20"/>
          <w:b w:val="1"/>
          <w:bCs w:val="1"/>
          <w:color w:val="FF0000"/>
          <w:strike w:val="1"/>
        </w:rPr>
        <w:t>Five</w:t>
      </w:r>
      <w:r>
        <w:rPr>
          <w:rFonts w:ascii="Times New Roman" w:cs="Times New Roman" w:eastAsia="Times New Roman" w:hAnsi="Times New Roman"/>
          <w:sz w:val="20"/>
          <w:szCs w:val="20"/>
          <w:b w:val="1"/>
          <w:bCs w:val="1"/>
          <w:u w:val="single" w:color="auto"/>
          <w:color w:val="0000FF"/>
        </w:rPr>
        <w:t>Ten</w:t>
      </w:r>
      <w:r>
        <w:rPr>
          <w:rFonts w:ascii="Times New Roman" w:cs="Times New Roman" w:eastAsia="Times New Roman" w:hAnsi="Times New Roman"/>
          <w:sz w:val="20"/>
          <w:szCs w:val="20"/>
          <w:color w:val="auto"/>
        </w:rPr>
        <w:t xml:space="preserve"> Million Dollars ($</w:t>
      </w:r>
      <w:r>
        <w:rPr>
          <w:rFonts w:ascii="Times New Roman" w:cs="Times New Roman" w:eastAsia="Times New Roman" w:hAnsi="Times New Roman"/>
          <w:sz w:val="20"/>
          <w:szCs w:val="20"/>
          <w:b w:val="1"/>
          <w:bCs w:val="1"/>
          <w:color w:val="FF0000"/>
          <w:strike w:val="1"/>
        </w:rPr>
        <w:t>5,000,000</w:t>
      </w:r>
      <w:r>
        <w:rPr>
          <w:rFonts w:ascii="Times New Roman" w:cs="Times New Roman" w:eastAsia="Times New Roman" w:hAnsi="Times New Roman"/>
          <w:sz w:val="20"/>
          <w:szCs w:val="20"/>
          <w:b w:val="1"/>
          <w:bCs w:val="1"/>
          <w:u w:val="single" w:color="auto"/>
          <w:color w:val="0000FF"/>
        </w:rPr>
        <w:t>10,000,000</w:t>
      </w:r>
      <w:r>
        <w:rPr>
          <w:rFonts w:ascii="Times New Roman" w:cs="Times New Roman" w:eastAsia="Times New Roman" w:hAnsi="Times New Roman"/>
          <w:sz w:val="20"/>
          <w:szCs w:val="20"/>
          <w:color w:val="auto"/>
        </w:rPr>
        <w:t>) at any time;</w:t>
      </w:r>
    </w:p>
    <w:p>
      <w:pPr>
        <w:spacing w:after="0" w:line="160" w:lineRule="exact"/>
        <w:rPr>
          <w:rFonts w:ascii="Times New Roman" w:cs="Times New Roman" w:eastAsia="Times New Roman" w:hAnsi="Times New Roman"/>
          <w:sz w:val="20"/>
          <w:szCs w:val="20"/>
          <w:color w:val="auto"/>
        </w:rPr>
      </w:pPr>
    </w:p>
    <w:p>
      <w:pPr>
        <w:jc w:val="both"/>
        <w:ind w:left="80" w:firstLine="1548"/>
        <w:spacing w:after="0" w:line="222"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any agreement providing for treasury, depositary or cash management services, including in connection with automated clearing house transfers of funds or any similar transactions, securities settlements, foreign exchange contracts, assumed settlement, netting services, overdraft protections and other cash management, intercompany cash pooling and similar arrangements, in each case in the ordinary course of business;</w:t>
      </w:r>
    </w:p>
    <w:p>
      <w:pPr>
        <w:spacing w:after="0" w:line="148" w:lineRule="exact"/>
        <w:rPr>
          <w:rFonts w:ascii="Times New Roman" w:cs="Times New Roman" w:eastAsia="Times New Roman" w:hAnsi="Times New Roman"/>
          <w:sz w:val="20"/>
          <w:szCs w:val="20"/>
          <w:color w:val="auto"/>
        </w:rPr>
      </w:pPr>
    </w:p>
    <w:p>
      <w:pPr>
        <w:jc w:val="both"/>
        <w:ind w:left="80" w:firstLine="1548"/>
        <w:spacing w:after="0" w:line="220" w:lineRule="auto"/>
        <w:tabs>
          <w:tab w:leader="none" w:pos="193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of the Borrower solely in respect of directly mitigating floating interest rate risks of the Borrower associated with the Loans, covering a notional amount not to exceed the aggregate amount of the Loans; provided, that, (i) such obligations are (or were) entered into by such Person in the ordinary course of business and (ii) the applicable Hedging Agreement does not contain any provision exonerating the non-defaulting party from its obligation to make payments on outstanding transactions to the defaulting party;</w:t>
      </w:r>
    </w:p>
    <w:p>
      <w:pPr>
        <w:spacing w:after="0" w:line="160" w:lineRule="exact"/>
        <w:rPr>
          <w:rFonts w:ascii="Times New Roman" w:cs="Times New Roman" w:eastAsia="Times New Roman" w:hAnsi="Times New Roman"/>
          <w:sz w:val="20"/>
          <w:szCs w:val="20"/>
          <w:color w:val="auto"/>
        </w:rPr>
      </w:pPr>
    </w:p>
    <w:p>
      <w:pPr>
        <w:jc w:val="both"/>
        <w:ind w:left="80" w:firstLine="1548"/>
        <w:spacing w:after="0" w:line="226"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bona fide financing of insurance premiums or self-insurance obligations (which must be commercially reasonable and consistent with insurance practices generally) or (ii) take-or-pay obligations contained in supply or similar agreements, in each case, in the ordinary course of business;</w:t>
      </w:r>
    </w:p>
    <w:p>
      <w:pPr>
        <w:spacing w:after="0" w:line="146" w:lineRule="exact"/>
        <w:rPr>
          <w:rFonts w:ascii="Times New Roman" w:cs="Times New Roman" w:eastAsia="Times New Roman" w:hAnsi="Times New Roman"/>
          <w:sz w:val="20"/>
          <w:szCs w:val="20"/>
          <w:color w:val="auto"/>
        </w:rPr>
      </w:pPr>
    </w:p>
    <w:p>
      <w:pPr>
        <w:jc w:val="both"/>
        <w:ind w:left="80" w:firstLine="1548"/>
        <w:spacing w:after="0" w:line="230" w:lineRule="auto"/>
        <w:tabs>
          <w:tab w:leader="none" w:pos="258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143"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w:t>
      </w: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66"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224" w:lineRule="exact"/>
        <w:rPr>
          <w:sz w:val="20"/>
          <w:szCs w:val="20"/>
          <w:color w:val="auto"/>
        </w:rPr>
      </w:pPr>
    </w:p>
    <w:p>
      <w:pPr>
        <w:ind w:left="2600" w:hanging="972"/>
        <w:spacing w:after="0"/>
        <w:tabs>
          <w:tab w:leader="none" w:pos="26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Convertible Debt in an aggregate principal amount not to exceed One Hundred Fifty Million</w:t>
      </w:r>
    </w:p>
    <w:p>
      <w:pPr>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 ($150,000,000); and</w:t>
      </w:r>
    </w:p>
    <w:p>
      <w:pPr>
        <w:spacing w:after="0" w:line="166"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unsecured Indebtedness in an aggregate amount not to exceed Five Million Dollars ($5,000,000) at any</w:t>
      </w:r>
    </w:p>
    <w:p>
      <w:pPr>
        <w:spacing w:after="0" w:line="6" w:lineRule="exact"/>
        <w:rPr>
          <w:rFonts w:ascii="Times New Roman" w:cs="Times New Roman" w:eastAsia="Times New Roman" w:hAnsi="Times New Roman"/>
          <w:sz w:val="19"/>
          <w:szCs w:val="19"/>
          <w:color w:val="auto"/>
        </w:rPr>
      </w:pPr>
    </w:p>
    <w:p>
      <w:pPr>
        <w:ind w:left="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time outstanding.</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Investment” means:</w:t>
      </w:r>
    </w:p>
    <w:p>
      <w:pPr>
        <w:spacing w:after="0" w:line="189" w:lineRule="exact"/>
        <w:rPr>
          <w:sz w:val="20"/>
          <w:szCs w:val="20"/>
          <w:color w:val="auto"/>
        </w:rPr>
      </w:pPr>
    </w:p>
    <w:p>
      <w:pPr>
        <w:ind w:left="1940" w:hanging="312"/>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existing on the Closing Date and identified in Schedule 1B;</w:t>
      </w:r>
    </w:p>
    <w:p>
      <w:pPr>
        <w:spacing w:after="0" w:line="188"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cash and Cash Equivalent Investments;</w:t>
      </w:r>
    </w:p>
    <w:p>
      <w:pPr>
        <w:spacing w:after="0" w:line="175" w:lineRule="exact"/>
        <w:rPr>
          <w:rFonts w:ascii="Times New Roman" w:cs="Times New Roman" w:eastAsia="Times New Roman" w:hAnsi="Times New Roman"/>
          <w:sz w:val="20"/>
          <w:szCs w:val="20"/>
          <w:color w:val="auto"/>
        </w:rPr>
      </w:pPr>
    </w:p>
    <w:p>
      <w:pPr>
        <w:ind w:firstLine="1628"/>
        <w:spacing w:after="0"/>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61" w:lineRule="exact"/>
        <w:rPr>
          <w:rFonts w:ascii="Times New Roman" w:cs="Times New Roman" w:eastAsia="Times New Roman" w:hAnsi="Times New Roman"/>
          <w:sz w:val="20"/>
          <w:szCs w:val="20"/>
          <w:color w:val="auto"/>
        </w:rPr>
      </w:pPr>
    </w:p>
    <w:p>
      <w:pPr>
        <w:ind w:firstLine="1628"/>
        <w:spacing w:after="0" w:line="233" w:lineRule="auto"/>
        <w:tabs>
          <w:tab w:leader="none" w:pos="193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deferred portion of the sales price received by the Borrower or any Subsidiary in connection with any Permitted Transfers;</w:t>
      </w:r>
    </w:p>
    <w:p>
      <w:pPr>
        <w:spacing w:after="0" w:line="160" w:lineRule="exact"/>
        <w:rPr>
          <w:rFonts w:ascii="Times New Roman" w:cs="Times New Roman" w:eastAsia="Times New Roman" w:hAnsi="Times New Roman"/>
          <w:sz w:val="20"/>
          <w:szCs w:val="20"/>
          <w:color w:val="auto"/>
        </w:rPr>
      </w:pPr>
    </w:p>
    <w:p>
      <w:pPr>
        <w:jc w:val="both"/>
        <w:ind w:firstLine="1628"/>
        <w:spacing w:after="0" w:line="226"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in any Person that is a Loan Party prior to giving effect to such Investment, (ii) Investments by any Subsidiary that is not a Loan Party in any other Subsidiary that is not a Loan Party, and (iii) Investments by Loan Parties in Subsidiaries that are not Loan Parties, in the case of this clause (iii), in an aggregate amount not to exceed Five Million Dollars ($5,000,000) per fiscal year;</w:t>
      </w:r>
    </w:p>
    <w:p>
      <w:pPr>
        <w:spacing w:after="0" w:line="160" w:lineRule="exact"/>
        <w:rPr>
          <w:rFonts w:ascii="Times New Roman" w:cs="Times New Roman" w:eastAsia="Times New Roman" w:hAnsi="Times New Roman"/>
          <w:sz w:val="20"/>
          <w:szCs w:val="20"/>
          <w:color w:val="auto"/>
        </w:rPr>
      </w:pPr>
    </w:p>
    <w:p>
      <w:pPr>
        <w:ind w:firstLine="1628"/>
        <w:spacing w:after="0"/>
        <w:tabs>
          <w:tab w:leader="none" w:pos="193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(i) accounts receivable arising, (ii) notes receivable or trade debt granted, or (iii) deposits made, in each case, in connection with the purchase price of goods or services and in the ordinary course of business;</w:t>
      </w:r>
    </w:p>
    <w:p>
      <w:pPr>
        <w:spacing w:after="0" w:line="147" w:lineRule="exact"/>
        <w:rPr>
          <w:rFonts w:ascii="Times New Roman" w:cs="Times New Roman" w:eastAsia="Times New Roman" w:hAnsi="Times New Roman"/>
          <w:sz w:val="20"/>
          <w:szCs w:val="20"/>
          <w:color w:val="auto"/>
        </w:rPr>
      </w:pPr>
    </w:p>
    <w:p>
      <w:pPr>
        <w:ind w:left="2580" w:hanging="952"/>
        <w:spacing w:after="0"/>
        <w:tabs>
          <w:tab w:leader="none" w:pos="2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permitted by clause (x) of the defined term “Permitted Indebtedness”;</w:t>
      </w:r>
    </w:p>
    <w:p>
      <w:pPr>
        <w:spacing w:after="0" w:line="188" w:lineRule="exact"/>
        <w:rPr>
          <w:rFonts w:ascii="Times New Roman" w:cs="Times New Roman" w:eastAsia="Times New Roman" w:hAnsi="Times New Roman"/>
          <w:sz w:val="20"/>
          <w:szCs w:val="20"/>
          <w:color w:val="auto"/>
        </w:rPr>
      </w:pPr>
    </w:p>
    <w:p>
      <w:pPr>
        <w:ind w:right="20" w:firstLine="1628"/>
        <w:spacing w:after="0"/>
        <w:tabs>
          <w:tab w:leader="none" w:pos="258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endorsement of negotiable instruments for deposit or collection or similar transaction in the ordinary course of business;</w:t>
      </w:r>
    </w:p>
    <w:p>
      <w:pPr>
        <w:spacing w:after="0" w:line="147"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628"/>
        <w:spacing w:after="0" w:line="226"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loans by the Borrower to its employees on an arms-length basis for travel advances and relocation costs in the ordinary course of business, in an aggregate amount not to exceed One Million Five Hundred Thousand Dollars ($1,500,000) in any fiscal year;</w:t>
      </w:r>
    </w:p>
    <w:p>
      <w:pPr>
        <w:spacing w:after="0" w:line="160"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Deposit Accounts or securities accounts, subject to compliance with Section 7.12;</w:t>
      </w:r>
    </w:p>
    <w:p>
      <w:pPr>
        <w:spacing w:after="0" w:line="188" w:lineRule="exact"/>
        <w:rPr>
          <w:rFonts w:ascii="Times New Roman" w:cs="Times New Roman" w:eastAsia="Times New Roman" w:hAnsi="Times New Roman"/>
          <w:sz w:val="20"/>
          <w:szCs w:val="20"/>
          <w:color w:val="auto"/>
        </w:rPr>
      </w:pPr>
    </w:p>
    <w:p>
      <w:pPr>
        <w:ind w:left="2580" w:hanging="952"/>
        <w:spacing w:after="0"/>
        <w:tabs>
          <w:tab w:leader="none" w:pos="25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169"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security deposits with utilities, landlords and other like Persons made in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course of business;</w:t>
      </w:r>
    </w:p>
    <w:p>
      <w:pPr>
        <w:spacing w:after="0" w:line="166" w:lineRule="exact"/>
        <w:rPr>
          <w:rFonts w:ascii="Times New Roman" w:cs="Times New Roman" w:eastAsia="Times New Roman" w:hAnsi="Times New Roman"/>
          <w:sz w:val="20"/>
          <w:szCs w:val="20"/>
          <w:color w:val="auto"/>
        </w:rPr>
      </w:pPr>
    </w:p>
    <w:p>
      <w:pPr>
        <w:jc w:val="both"/>
        <w:ind w:firstLine="1628"/>
        <w:spacing w:after="0" w:line="217" w:lineRule="auto"/>
        <w:tabs>
          <w:tab w:leader="none" w:pos="258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joint ventures, minority investments, or strategic alliances in the ordinary course of the Borrower’s business consisting of the licensing of technology, the development of technology or the providing of technical support, in an aggregate amount not to exceed Two Million Dollars ($2,000,000) during any fiscal year; provided that in connection with any such Investment, (1) the Borrower shall provide to the Agent at least ten (10) Business Days’ prior written notice of such Investment, which notice shall include a reasonably detailed description of such Investment together with</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4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any other financial information, financial analysis, documentation, and other information relating to such Investment upon Agent’s reasonable request; (2) no Event of Default has occurred and is continuing or would exist immediately after giving effect to such Investment;</w:t>
      </w:r>
    </w:p>
    <w:p>
      <w:pPr>
        <w:ind w:firstLine="8"/>
        <w:spacing w:after="0" w:line="228" w:lineRule="auto"/>
        <w:tabs>
          <w:tab w:leader="none" w:pos="29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Investment shall only involve assets comprising the same or a related line of business as the Borrower and its Subsidiaries (or any reasonable extensions or expansions thereof); and (4) such Investment shall have been approved by the Borrower’s board of directors;</w:t>
      </w:r>
    </w:p>
    <w:p>
      <w:pPr>
        <w:spacing w:after="0" w:line="148"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Permitted Borrower Equity Buybacks;</w:t>
      </w:r>
    </w:p>
    <w:p>
      <w:pPr>
        <w:spacing w:after="0" w:line="188"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Investments in an aggregate amount not to exceed Five Million Dollars ($5,000,000) in any fiscal year;</w:t>
      </w:r>
    </w:p>
    <w:p>
      <w:pPr>
        <w:spacing w:after="0" w:line="181" w:lineRule="exact"/>
        <w:rPr>
          <w:rFonts w:ascii="Times New Roman" w:cs="Times New Roman" w:eastAsia="Times New Roman" w:hAnsi="Times New Roman"/>
          <w:sz w:val="19"/>
          <w:szCs w:val="19"/>
          <w:color w:val="auto"/>
        </w:rPr>
      </w:pPr>
    </w:p>
    <w:p>
      <w:pPr>
        <w:ind w:left="2600" w:hanging="972"/>
        <w:spacing w:after="0"/>
        <w:tabs>
          <w:tab w:leader="none" w:pos="260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Employee Stock Purchase Loans Forgiveness and Collateral Release Events, to the extent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constituting an Investment; and</w:t>
      </w:r>
    </w:p>
    <w:p>
      <w:pPr>
        <w:spacing w:after="0" w:line="166" w:lineRule="exact"/>
        <w:rPr>
          <w:rFonts w:ascii="Times New Roman" w:cs="Times New Roman" w:eastAsia="Times New Roman" w:hAnsi="Times New Roman"/>
          <w:sz w:val="20"/>
          <w:szCs w:val="20"/>
          <w:color w:val="auto"/>
        </w:rPr>
      </w:pPr>
    </w:p>
    <w:p>
      <w:pPr>
        <w:jc w:val="both"/>
        <w:ind w:firstLine="1628"/>
        <w:spacing w:after="0" w:line="226" w:lineRule="auto"/>
        <w:tabs>
          <w:tab w:leader="none" w:pos="258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(including, for the avoidance of doubt, the entry into, payment of any premium with respect to, and the settlement of) any Permitted Convertible Debt, any Permitted Bond Hedge Transaction or any Permitted Warrant Transaction, in each case solely as permitted by this Agreement.</w:t>
      </w:r>
    </w:p>
    <w:p>
      <w:pPr>
        <w:spacing w:after="0" w:line="16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“Permitted Licenses” means (i) nonexclusive licenses and nonexclusive sublicenses, (ii) exclusive licenses with respect to global contract manufacturing and distribution agreements </w:t>
      </w:r>
      <w:r>
        <w:rPr>
          <w:rFonts w:ascii="Times New Roman" w:cs="Times New Roman" w:eastAsia="Times New Roman" w:hAnsi="Times New Roman"/>
          <w:sz w:val="20"/>
          <w:szCs w:val="20"/>
          <w:b w:val="1"/>
          <w:bCs w:val="1"/>
          <w:color w:val="FF0000"/>
        </w:rPr>
        <w:t>and</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color w:val="auto"/>
        </w:rPr>
        <w:t xml:space="preserve"> (iii) exclusive licenses with respect to discrete geographical areas,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-57785</wp:posOffset>
            </wp:positionV>
            <wp:extent cx="2425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2425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case, of Intellectual Property granted in the ordinary course of business</w:t>
      </w:r>
      <w:r>
        <w:rPr>
          <w:rFonts w:ascii="Times New Roman" w:cs="Times New Roman" w:eastAsia="Times New Roman" w:hAnsi="Times New Roman"/>
          <w:sz w:val="20"/>
          <w:szCs w:val="20"/>
          <w:b w:val="1"/>
          <w:bCs w:val="1"/>
          <w:u w:val="single" w:color="auto"/>
          <w:color w:val="0000FF"/>
        </w:rPr>
        <w:t>, and (iv) Caterpillar License</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Liens” means:</w:t>
      </w:r>
    </w:p>
    <w:p>
      <w:pPr>
        <w:spacing w:after="0" w:line="175" w:lineRule="exact"/>
        <w:rPr>
          <w:sz w:val="20"/>
          <w:szCs w:val="20"/>
          <w:color w:val="auto"/>
        </w:rPr>
      </w:pPr>
    </w:p>
    <w:p>
      <w:pPr>
        <w:ind w:left="1940" w:hanging="312"/>
        <w:spacing w:after="0"/>
        <w:tabs>
          <w:tab w:leader="none" w:pos="19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183"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made in the ordinary course of business to secure liabilities to insurance carriers, insurance companies and</w:t>
      </w:r>
    </w:p>
    <w:p>
      <w:pPr>
        <w:spacing w:after="0"/>
        <w:rPr>
          <w:sz w:val="20"/>
          <w:szCs w:val="20"/>
          <w:color w:val="auto"/>
        </w:rPr>
      </w:pPr>
      <w:r>
        <w:rPr>
          <w:rFonts w:ascii="Times New Roman" w:cs="Times New Roman" w:eastAsia="Times New Roman" w:hAnsi="Times New Roman"/>
          <w:sz w:val="20"/>
          <w:szCs w:val="20"/>
          <w:color w:val="auto"/>
        </w:rPr>
        <w:t>brokers;</w:t>
      </w:r>
    </w:p>
    <w:p>
      <w:pPr>
        <w:spacing w:after="0" w:line="153" w:lineRule="exact"/>
        <w:rPr>
          <w:sz w:val="20"/>
          <w:szCs w:val="20"/>
          <w:color w:val="auto"/>
        </w:rPr>
      </w:pPr>
    </w:p>
    <w:p>
      <w:pPr>
        <w:jc w:val="both"/>
        <w:ind w:firstLine="1628"/>
        <w:spacing w:after="0" w:line="226" w:lineRule="auto"/>
        <w:tabs>
          <w:tab w:leader="none" w:pos="194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existing as of the Closing Date and disclosed in Schedule 1C and any replacements, renewals or extensions thereof; provided, that, with respect to any such replacement, renewal or extension, (i) the property covered thereby is not increased, (ii) the principal amount secured or benefited thereby is not increased except by an amount equal to fees and expenses reasonably incurred (or any paid-in-kind interest provided) in connection with any such replacement, renewal or extension, or the terms modified to impose materially more burdensome terms, taken as a whole, upon the Borrower or any Subsidiary, as the case may be (it being understood that an increase in the interest rate, fees and other pricing applicable thereto shall not be deemed to be materially more burdensome so long as such interest rate, fees and other pricing do not exceed the then applicable market interest rate, fees and other pricing), (iii) the direct or any contingent obligor with respect thereto is not changed and (iv) any replacement, renewal or extension of the underlying Indebtedness is Permitted Indebtedness;</w:t>
      </w:r>
    </w:p>
    <w:p>
      <w:pPr>
        <w:spacing w:after="0" w:line="163" w:lineRule="exact"/>
        <w:rPr>
          <w:rFonts w:ascii="Times New Roman" w:cs="Times New Roman" w:eastAsia="Times New Roman" w:hAnsi="Times New Roman"/>
          <w:sz w:val="19"/>
          <w:szCs w:val="19"/>
          <w:color w:val="auto"/>
        </w:rPr>
      </w:pPr>
    </w:p>
    <w:p>
      <w:pPr>
        <w:jc w:val="both"/>
        <w:ind w:firstLine="1628"/>
        <w:spacing w:after="0" w:line="226" w:lineRule="auto"/>
        <w:tabs>
          <w:tab w:leader="none" w:pos="193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suppliers, carriers, warehousemen, mechanics, materialmen and landlords and other similar Liens granted in the ordinary course of business and for amounts not overdue or are being diligently contested in good faith by appropriate proceedings and for which adequate reserves in accordance with GAAP shall have been set aside on its books;</w:t>
      </w:r>
    </w:p>
    <w:p>
      <w:pPr>
        <w:spacing w:after="0" w:line="146" w:lineRule="exact"/>
        <w:rPr>
          <w:rFonts w:ascii="Times New Roman" w:cs="Times New Roman" w:eastAsia="Times New Roman" w:hAnsi="Times New Roman"/>
          <w:sz w:val="20"/>
          <w:szCs w:val="20"/>
          <w:color w:val="auto"/>
        </w:rPr>
      </w:pPr>
    </w:p>
    <w:p>
      <w:pPr>
        <w:jc w:val="both"/>
        <w:ind w:firstLine="1628"/>
        <w:spacing w:after="0" w:line="230" w:lineRule="auto"/>
        <w:tabs>
          <w:tab w:leader="none" w:pos="193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deposits made in the ordinary course of business in connection with worker’s compensation, unemployment insurance or other forms of governmental insurance or benefits, or to secure performance of tenders, statutory obligations, bids, leases or other similar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4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obligations (other than for borrowed money) entered into in the ordinary course of business or to secure obligations on surety and appeal bonds or performance bonds;</w:t>
      </w:r>
    </w:p>
    <w:p>
      <w:pPr>
        <w:spacing w:after="0" w:line="161" w:lineRule="exact"/>
        <w:rPr>
          <w:sz w:val="20"/>
          <w:szCs w:val="20"/>
          <w:color w:val="auto"/>
        </w:rPr>
      </w:pPr>
    </w:p>
    <w:p>
      <w:pPr>
        <w:ind w:right="20" w:firstLine="1628"/>
        <w:spacing w:after="0"/>
        <w:tabs>
          <w:tab w:leader="none" w:pos="19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judgments for the payment of money (or appeal or other surety bonds relating to such judgments) not constituting an Event of Default under Section 9.6;</w:t>
      </w:r>
    </w:p>
    <w:p>
      <w:pPr>
        <w:spacing w:after="0" w:line="147" w:lineRule="exact"/>
        <w:rPr>
          <w:rFonts w:ascii="Times New Roman" w:cs="Times New Roman" w:eastAsia="Times New Roman" w:hAnsi="Times New Roman"/>
          <w:sz w:val="20"/>
          <w:szCs w:val="20"/>
          <w:color w:val="auto"/>
        </w:rPr>
      </w:pPr>
    </w:p>
    <w:p>
      <w:pPr>
        <w:ind w:firstLine="1628"/>
        <w:spacing w:after="0"/>
        <w:tabs>
          <w:tab w:leader="none" w:pos="258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zoning restrictions, minor defects or irregularities in title and other similar encumbrances not interfering in any material respect with the value or use of the property to which such Lien is attached;</w:t>
      </w:r>
    </w:p>
    <w:p>
      <w:pPr>
        <w:spacing w:after="0" w:line="161" w:lineRule="exact"/>
        <w:rPr>
          <w:rFonts w:ascii="Times New Roman" w:cs="Times New Roman" w:eastAsia="Times New Roman" w:hAnsi="Times New Roman"/>
          <w:sz w:val="20"/>
          <w:szCs w:val="20"/>
          <w:color w:val="auto"/>
        </w:rPr>
      </w:pPr>
    </w:p>
    <w:p>
      <w:pPr>
        <w:jc w:val="both"/>
        <w:ind w:firstLine="1628"/>
        <w:spacing w:after="0" w:line="226" w:lineRule="auto"/>
        <w:tabs>
          <w:tab w:leader="none" w:pos="258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 not at the time delinquent or that are thereafter payable without penalty or (B) that are being diligently contested in good faith by appropriate proceedings and for which adequate reserves in accordance with GAAP shall have been set aside on the Loan Parties’ books;</w:t>
      </w:r>
    </w:p>
    <w:p>
      <w:pPr>
        <w:spacing w:after="0" w:line="160" w:lineRule="exact"/>
        <w:rPr>
          <w:rFonts w:ascii="Times New Roman" w:cs="Times New Roman" w:eastAsia="Times New Roman" w:hAnsi="Times New Roman"/>
          <w:sz w:val="20"/>
          <w:szCs w:val="20"/>
          <w:color w:val="auto"/>
        </w:rPr>
      </w:pPr>
    </w:p>
    <w:p>
      <w:pPr>
        <w:jc w:val="both"/>
        <w:ind w:firstLine="1628"/>
        <w:spacing w:after="0" w:line="217" w:lineRule="auto"/>
        <w:tabs>
          <w:tab w:leader="none" w:pos="19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purchase money Indebtedness and Capital Leases, in each case, permitted by clause (vi) of “Permitted Indebtedness”; provided, that, (i) such liens exist prior to the acquisition of, or attach substantially simultaneously with, or within ninety (90) days after, the acquisition, lease, repair, improvement or construction of, such property financed or leased by such Indebtedness and (ii) such liens do not extend to any property of the Borrower or the applicable Subsidiary other than the property (and proceeds thereof) acquired, leased or built, or the improvements or repairs, financed by such Indebtedness;</w:t>
      </w:r>
    </w:p>
    <w:p>
      <w:pPr>
        <w:spacing w:after="0" w:line="161" w:lineRule="exact"/>
        <w:rPr>
          <w:rFonts w:ascii="Times New Roman" w:cs="Times New Roman" w:eastAsia="Times New Roman" w:hAnsi="Times New Roman"/>
          <w:sz w:val="20"/>
          <w:szCs w:val="20"/>
          <w:color w:val="auto"/>
        </w:rPr>
      </w:pPr>
    </w:p>
    <w:p>
      <w:pPr>
        <w:ind w:firstLine="1628"/>
        <w:spacing w:after="0"/>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payments of custom duties that are promptly paid on or before the date they become due;</w:t>
      </w:r>
    </w:p>
    <w:p>
      <w:pPr>
        <w:spacing w:after="0" w:line="142"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and Cash Equivalent Investments securing Indebtedness permitted by clause (viii) of “Permitted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w:t>
      </w:r>
    </w:p>
    <w:p>
      <w:pPr>
        <w:spacing w:after="0" w:line="166" w:lineRule="exact"/>
        <w:rPr>
          <w:rFonts w:ascii="Times New Roman" w:cs="Times New Roman" w:eastAsia="Times New Roman" w:hAnsi="Times New Roman"/>
          <w:sz w:val="20"/>
          <w:szCs w:val="20"/>
          <w:color w:val="auto"/>
        </w:rPr>
      </w:pPr>
    </w:p>
    <w:p>
      <w:pPr>
        <w:jc w:val="both"/>
        <w:ind w:firstLine="1628"/>
        <w:spacing w:after="0" w:line="226" w:lineRule="auto"/>
        <w:tabs>
          <w:tab w:leader="none" w:pos="258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bankers’ liens, statutory and common law rights of setoff and other similar rights as to deposits of cash and securities in favor of Agents and other depository institutions; and (ii) Liens of a collection bank arising under Section 4-210 of the UCC on items in the course of collection;</w:t>
      </w:r>
    </w:p>
    <w:p>
      <w:pPr>
        <w:spacing w:after="0" w:line="160"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Licenses;</w:t>
      </w:r>
    </w:p>
    <w:p>
      <w:pPr>
        <w:spacing w:after="0" w:line="175" w:lineRule="exact"/>
        <w:rPr>
          <w:rFonts w:ascii="Times New Roman" w:cs="Times New Roman" w:eastAsia="Times New Roman" w:hAnsi="Times New Roman"/>
          <w:sz w:val="20"/>
          <w:szCs w:val="20"/>
          <w:color w:val="auto"/>
        </w:rPr>
      </w:pPr>
    </w:p>
    <w:p>
      <w:pPr>
        <w:jc w:val="both"/>
        <w:ind w:firstLine="1628"/>
        <w:spacing w:after="0" w:line="244" w:lineRule="auto"/>
        <w:tabs>
          <w:tab w:leader="none" w:pos="2585"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nonexclusive licenses or sublicenses, leases or subleases of property (in each case, other than with respect to Intellectual Property) granted in the ordinary course of business (if, solely with respect to outbound licenses and leases of owned property, such leases and licenses do not prohibit the Borrower or any Subsidiary from granting the Agent a security interest in such property); </w:t>
      </w:r>
      <w:r>
        <w:rPr>
          <w:rFonts w:ascii="Times New Roman" w:cs="Times New Roman" w:eastAsia="Times New Roman" w:hAnsi="Times New Roman"/>
          <w:sz w:val="19"/>
          <w:szCs w:val="19"/>
          <w:b w:val="1"/>
          <w:bCs w:val="1"/>
          <w:color w:val="0000FF"/>
        </w:rPr>
        <w:t>and</w:t>
      </w:r>
    </w:p>
    <w:p>
      <w:pPr>
        <w:spacing w:after="0" w:line="143" w:lineRule="exact"/>
        <w:rPr>
          <w:rFonts w:ascii="Times New Roman" w:cs="Times New Roman" w:eastAsia="Times New Roman" w:hAnsi="Times New Roman"/>
          <w:sz w:val="19"/>
          <w:szCs w:val="19"/>
          <w:color w:val="auto"/>
        </w:rPr>
      </w:pPr>
    </w:p>
    <w:p>
      <w:pPr>
        <w:ind w:left="2600" w:hanging="972"/>
        <w:spacing w:after="0"/>
        <w:tabs>
          <w:tab w:leader="none" w:pos="2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firstLine="1628"/>
        <w:spacing w:after="0"/>
        <w:tabs>
          <w:tab w:leader="none" w:pos="258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otherwise permitted by the other clauses of “Permitted Liens” securing obligations in an aggregate principal amount not to exceed Five Million Dollars ($5,000,000)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6693535</wp:posOffset>
            </wp:positionH>
            <wp:positionV relativeFrom="paragraph">
              <wp:posOffset>-680085</wp:posOffset>
            </wp:positionV>
            <wp:extent cx="2336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233680" cy="8255"/>
                    </a:xfrm>
                    <a:prstGeom prst="rect">
                      <a:avLst/>
                    </a:prstGeom>
                    <a:noFill/>
                  </pic:spPr>
                </pic:pic>
              </a:graphicData>
            </a:graphic>
          </wp:anchor>
        </w:drawing>
      </w:r>
    </w:p>
    <w:p>
      <w:pPr>
        <w:spacing w:after="0" w:line="1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“Permitted Transfers” means:</w:t>
      </w:r>
    </w:p>
    <w:p>
      <w:pPr>
        <w:spacing w:after="0" w:line="189" w:lineRule="exact"/>
        <w:rPr>
          <w:sz w:val="20"/>
          <w:szCs w:val="20"/>
          <w:color w:val="auto"/>
        </w:rPr>
      </w:pPr>
    </w:p>
    <w:p>
      <w:pPr>
        <w:ind w:left="1940" w:hanging="312"/>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Inventory in the ordinary course of business,</w:t>
      </w:r>
    </w:p>
    <w:p>
      <w:pPr>
        <w:spacing w:after="0" w:line="175" w:lineRule="exact"/>
        <w:rPr>
          <w:rFonts w:ascii="Times New Roman" w:cs="Times New Roman" w:eastAsia="Times New Roman" w:hAnsi="Times New Roman"/>
          <w:sz w:val="20"/>
          <w:szCs w:val="20"/>
          <w:color w:val="auto"/>
        </w:rPr>
      </w:pPr>
    </w:p>
    <w:p>
      <w:pPr>
        <w:ind w:firstLine="1628"/>
        <w:spacing w:after="0"/>
        <w:tabs>
          <w:tab w:leader="none" w:pos="194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obsolete, damaged, worn out or surplus property in the ordinary course of business or property which is no longer used or useful in the business activities of the Borrower or its Subsidiaries,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243" w:lineRule="exact"/>
        <w:rPr>
          <w:sz w:val="20"/>
          <w:szCs w:val="20"/>
          <w:color w:val="auto"/>
        </w:rPr>
      </w:pPr>
    </w:p>
    <w:p>
      <w:pPr>
        <w:ind w:left="1960" w:hanging="332"/>
        <w:spacing w:after="0"/>
        <w:tabs>
          <w:tab w:leader="none" w:pos="1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permitted by Section 7.7,</w:t>
      </w:r>
    </w:p>
    <w:p>
      <w:pPr>
        <w:spacing w:after="0" w:line="175"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consisting of Permitted Liens,</w:t>
      </w:r>
    </w:p>
    <w:p>
      <w:pPr>
        <w:spacing w:after="0" w:line="188" w:lineRule="exact"/>
        <w:rPr>
          <w:rFonts w:ascii="Times New Roman" w:cs="Times New Roman" w:eastAsia="Times New Roman" w:hAnsi="Times New Roman"/>
          <w:sz w:val="20"/>
          <w:szCs w:val="20"/>
          <w:color w:val="auto"/>
        </w:rPr>
      </w:pPr>
    </w:p>
    <w:p>
      <w:pPr>
        <w:ind w:left="1940" w:hanging="312"/>
        <w:spacing w:after="0"/>
        <w:tabs>
          <w:tab w:leader="none" w:pos="19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consisting of Permitted Investments,</w:t>
      </w:r>
    </w:p>
    <w:p>
      <w:pPr>
        <w:spacing w:after="0" w:line="188" w:lineRule="exact"/>
        <w:rPr>
          <w:rFonts w:ascii="Times New Roman" w:cs="Times New Roman" w:eastAsia="Times New Roman" w:hAnsi="Times New Roman"/>
          <w:sz w:val="20"/>
          <w:szCs w:val="20"/>
          <w:color w:val="auto"/>
        </w:rPr>
      </w:pPr>
    </w:p>
    <w:p>
      <w:pPr>
        <w:ind w:right="20" w:firstLine="1628"/>
        <w:spacing w:after="0" w:line="233" w:lineRule="auto"/>
        <w:tabs>
          <w:tab w:leader="none" w:pos="19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consisting of unpaid and overdue accounts receivables in connection with the collection, compromise or settlement thereof in the ordinary course of business and not as part of a financing transaction,</w:t>
      </w:r>
    </w:p>
    <w:p>
      <w:pPr>
        <w:spacing w:after="0" w:line="160" w:lineRule="exact"/>
        <w:rPr>
          <w:rFonts w:ascii="Times New Roman" w:cs="Times New Roman" w:eastAsia="Times New Roman" w:hAnsi="Times New Roman"/>
          <w:sz w:val="20"/>
          <w:szCs w:val="20"/>
          <w:color w:val="auto"/>
        </w:rPr>
      </w:pPr>
    </w:p>
    <w:p>
      <w:pPr>
        <w:ind w:left="2580" w:hanging="952"/>
        <w:spacing w:after="0"/>
        <w:tabs>
          <w:tab w:leader="none" w:pos="25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Licenses,</w:t>
      </w:r>
    </w:p>
    <w:p>
      <w:pPr>
        <w:spacing w:after="0" w:line="188" w:lineRule="exact"/>
        <w:rPr>
          <w:rFonts w:ascii="Times New Roman" w:cs="Times New Roman" w:eastAsia="Times New Roman" w:hAnsi="Times New Roman"/>
          <w:sz w:val="20"/>
          <w:szCs w:val="20"/>
          <w:color w:val="auto"/>
        </w:rPr>
      </w:pPr>
    </w:p>
    <w:p>
      <w:pPr>
        <w:ind w:right="20" w:firstLine="1628"/>
        <w:spacing w:after="0" w:line="233" w:lineRule="auto"/>
        <w:tabs>
          <w:tab w:leader="none" w:pos="258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cash or Cash Equivalent Investments in the ordinary course of business and not otherwise prohibited by this Agreement or the other Loan Documents,</w:t>
      </w:r>
    </w:p>
    <w:p>
      <w:pPr>
        <w:spacing w:after="0" w:line="160" w:lineRule="exact"/>
        <w:rPr>
          <w:rFonts w:ascii="Times New Roman" w:cs="Times New Roman" w:eastAsia="Times New Roman" w:hAnsi="Times New Roman"/>
          <w:sz w:val="20"/>
          <w:szCs w:val="20"/>
          <w:color w:val="auto"/>
        </w:rPr>
      </w:pPr>
    </w:p>
    <w:p>
      <w:pPr>
        <w:ind w:firstLine="1628"/>
        <w:spacing w:after="0"/>
        <w:tabs>
          <w:tab w:leader="none" w:pos="19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or other disposition of any rights to Intellectual Property that are not material or are no longer used or useful in any material respect in the business of the Borrower and its Subsidiaries,</w:t>
      </w:r>
    </w:p>
    <w:p>
      <w:pPr>
        <w:spacing w:after="0" w:line="147" w:lineRule="exact"/>
        <w:rPr>
          <w:rFonts w:ascii="Times New Roman" w:cs="Times New Roman" w:eastAsia="Times New Roman" w:hAnsi="Times New Roman"/>
          <w:sz w:val="20"/>
          <w:szCs w:val="20"/>
          <w:color w:val="auto"/>
        </w:rPr>
      </w:pPr>
    </w:p>
    <w:p>
      <w:pPr>
        <w:ind w:firstLine="1628"/>
        <w:spacing w:after="0"/>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to any Loan Party or any Subsidiary; provided, that, if the transferor of such property is a Loan Party, the transferee thereof must be a Loan Party,</w:t>
      </w:r>
    </w:p>
    <w:p>
      <w:pPr>
        <w:spacing w:after="0" w:line="161" w:lineRule="exact"/>
        <w:rPr>
          <w:rFonts w:ascii="Times New Roman" w:cs="Times New Roman" w:eastAsia="Times New Roman" w:hAnsi="Times New Roman"/>
          <w:sz w:val="20"/>
          <w:szCs w:val="20"/>
          <w:color w:val="auto"/>
        </w:rPr>
      </w:pPr>
    </w:p>
    <w:p>
      <w:pPr>
        <w:ind w:firstLine="1628"/>
        <w:spacing w:after="0" w:line="233" w:lineRule="auto"/>
        <w:tabs>
          <w:tab w:leader="none" w:pos="193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to the extent that (i) such property is exchanged for credit against the purchase price of similar replacement property or (ii) the proceeds of such Transfer are applied to the purchase price of such replacement property,</w:t>
      </w:r>
    </w:p>
    <w:p>
      <w:pPr>
        <w:spacing w:after="0" w:line="160" w:lineRule="exact"/>
        <w:rPr>
          <w:rFonts w:ascii="Times New Roman" w:cs="Times New Roman" w:eastAsia="Times New Roman" w:hAnsi="Times New Roman"/>
          <w:sz w:val="20"/>
          <w:szCs w:val="20"/>
          <w:color w:val="auto"/>
        </w:rPr>
      </w:pPr>
    </w:p>
    <w:p>
      <w:pPr>
        <w:ind w:left="2580" w:hanging="952"/>
        <w:spacing w:after="0"/>
        <w:tabs>
          <w:tab w:leader="none" w:pos="25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1" w:lineRule="exact"/>
        <w:rPr>
          <w:rFonts w:ascii="Times New Roman" w:cs="Times New Roman" w:eastAsia="Times New Roman" w:hAnsi="Times New Roman"/>
          <w:sz w:val="20"/>
          <w:szCs w:val="20"/>
          <w:color w:val="auto"/>
        </w:rPr>
      </w:pPr>
    </w:p>
    <w:p>
      <w:pPr>
        <w:ind w:left="2600" w:hanging="972"/>
        <w:spacing w:after="0"/>
        <w:tabs>
          <w:tab w:leader="none" w:pos="26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Transfers of assets having a fair market value of not more than One Million Dollars ($1,000,000) in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aggregate in any fiscal year; and</w:t>
      </w:r>
    </w:p>
    <w:p>
      <w:pPr>
        <w:spacing w:after="0" w:line="166" w:lineRule="exact"/>
        <w:rPr>
          <w:rFonts w:ascii="Times New Roman" w:cs="Times New Roman" w:eastAsia="Times New Roman" w:hAnsi="Times New Roman"/>
          <w:sz w:val="19"/>
          <w:szCs w:val="19"/>
          <w:color w:val="auto"/>
        </w:rPr>
      </w:pPr>
    </w:p>
    <w:p>
      <w:pPr>
        <w:jc w:val="both"/>
        <w:ind w:firstLine="1628"/>
        <w:spacing w:after="0" w:line="220" w:lineRule="auto"/>
        <w:tabs>
          <w:tab w:leader="none" w:pos="258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disposition, unwinding or terminating of Hedging Agreements not entered into for speculative purposes or the transactions contemplated thereby, (ii) the issuance or sale of any Permitted Convertible Debt by the Borrower, (iii) the sale of any Permitted Warrant Transaction by the Borrower, (iv) the purchase of any Permitted Bond Hedge Transaction by the Borrower or (v) the performance by the Borrower of its obligations under any Permitted Convertible Debt, any Permitted Warrant Transaction or any Permitted Bond Hedge Transaction.</w:t>
      </w:r>
    </w:p>
    <w:p>
      <w:pPr>
        <w:spacing w:after="0" w:line="147"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auto"/>
        </w:rPr>
        <w:t>“Permitted Warrant Transaction” means any call option, warrant or right to purchase (or substantively equivalent derivative transaction) relating to the Borrower’s common stock (or other securities or property following a merger event or other change of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common stock of the Borrower) and/or cash (in an amount determined by reference to the price of such common stock) sold by Borrower substantially concurrently with any purchase by the Borrower of a related Permitted Bond Hedge Transaction.</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“Person” means any individual, sole proprietorship, partnership, joint venture, trust, unincorporated organization, association, corporation, limited liability company, institution, other entity or government.</w:t>
      </w:r>
    </w:p>
    <w:p>
      <w:pPr>
        <w:spacing w:after="0" w:line="148"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“Pledge Agreement” means the Pledge Agreement dated as of the Closing Date between Borrower and Agent, as the same may from time to time be amended, restated, modified or otherwise supplemented.</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43" w:lineRule="exact"/>
        <w:rPr>
          <w:sz w:val="20"/>
          <w:szCs w:val="20"/>
          <w:color w:val="auto"/>
        </w:rPr>
      </w:pPr>
    </w:p>
    <w:p>
      <w:pPr>
        <w:ind w:right="20" w:firstLine="1296"/>
        <w:spacing w:after="0" w:line="233" w:lineRule="auto"/>
        <w:rPr>
          <w:sz w:val="20"/>
          <w:szCs w:val="20"/>
          <w:color w:val="auto"/>
        </w:rPr>
      </w:pPr>
      <w:r>
        <w:rPr>
          <w:rFonts w:ascii="Times New Roman" w:cs="Times New Roman" w:eastAsia="Times New Roman" w:hAnsi="Times New Roman"/>
          <w:sz w:val="20"/>
          <w:szCs w:val="20"/>
          <w:color w:val="auto"/>
        </w:rPr>
        <w:t>“Qualified Cash” means an amount equal to the aggregate amount of the Loan Parties’ Cash held in accounts subject to an Account Control Agreement in favor of Agent.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“Receivables” means (i) all of each Loan Party’s Accounts, Instruments, Documents, Chattel Paper, Supporting Obligations,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letters of credit, proceeds of any letter of credit, and Letter of Credit Rights, and (ii) all customer lists, software, and business records related thereto.</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“Redemption Conditions” means, with respect to any redemption by any of the Loan Parties of any Permitted Convertible</w:t>
      </w:r>
    </w:p>
    <w:p>
      <w:pPr>
        <w:ind w:right="20"/>
        <w:spacing w:after="0" w:line="215" w:lineRule="auto"/>
        <w:rPr>
          <w:sz w:val="20"/>
          <w:szCs w:val="20"/>
          <w:color w:val="auto"/>
        </w:rPr>
      </w:pPr>
      <w:r>
        <w:rPr>
          <w:rFonts w:ascii="Times New Roman" w:cs="Times New Roman" w:eastAsia="Times New Roman" w:hAnsi="Times New Roman"/>
          <w:sz w:val="19"/>
          <w:szCs w:val="19"/>
          <w:color w:val="auto"/>
        </w:rPr>
        <w:t>Debt, satisfaction of each of the following events: (a) no default or Event of Default shall exist or result therefrom, and (b) both immediately before and at all times after such redemption, the Loan Parties’ Qualified Cash shall be no less than one hundred fifty percent (150%) of the</w:t>
      </w:r>
    </w:p>
    <w:p>
      <w:pPr>
        <w:spacing w:after="0"/>
        <w:rPr>
          <w:sz w:val="20"/>
          <w:szCs w:val="20"/>
          <w:color w:val="auto"/>
        </w:rPr>
      </w:pPr>
      <w:r>
        <w:rPr>
          <w:rFonts w:ascii="Times New Roman" w:cs="Times New Roman" w:eastAsia="Times New Roman" w:hAnsi="Times New Roman"/>
          <w:sz w:val="20"/>
          <w:szCs w:val="20"/>
          <w:color w:val="auto"/>
        </w:rPr>
        <w:t>outstanding principal amount of the Term Loan Advances.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“Register” has the meaning specified in Section 11.7.</w:t>
      </w:r>
    </w:p>
    <w:p>
      <w:pPr>
        <w:spacing w:after="0" w:line="175"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“Required Lenders” means at any time, the holders of more than fifty percent (50%) of the sum of the aggregate unpaid principal amount of the Term Loan Advances then outstanding.</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“Sanctioned Country” means, at any time, a country or territory which is the subject or target of any Sanctions.</w:t>
      </w:r>
    </w:p>
    <w:p>
      <w:pPr>
        <w:spacing w:after="0" w:line="175"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auto"/>
        </w:rPr>
        <w:t>“Sanctioned Person” means, at any time, (a) any Person listed in any Sanctions-related list of designated Persons maintained by the Office of Foreign Assets Control of the U.S. Department of the Treasury or the U.S. Department of State, or by the United Nations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Security Council, the European Union or any EU member state, (b) any Person operating, organized or resident in a Sanctioned Country or (c) any Person controlled by any such Person.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“Sanctions” means economic or financial sanctions or trade embargoes imposed, administered or enforced from time to time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(a) the U.S. government, including those administered by the Office of Foreign Assets Control of the U.S. Department of the Treasury or the U.S. Department of State, or (b) the United Nations Security Council, the European Union or Her Majesty’s Treasury of the United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Kingdom.</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“Second Amendment Effective Date” means November 1, 2022.</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“Secured Obligations” means each Loan Party’s obligations under this Agreement and any Loan Document (other than the Warrant), including any obligation to pay any amount now owing or later arising.</w:t>
      </w:r>
    </w:p>
    <w:p>
      <w:pPr>
        <w:spacing w:after="0" w:line="161"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“Subordinated Indebtedness” means Indebtedness subordinated to the Secured Obligations in amounts and on terms and conditions satisfactory to Agent in its reasonable discretion and subject to a subordination agreement in form and substance satisfactory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in its reasonable discretion.</w:t>
      </w:r>
    </w:p>
    <w:p>
      <w:pPr>
        <w:spacing w:after="0" w:line="167" w:lineRule="exact"/>
        <w:rPr>
          <w:sz w:val="20"/>
          <w:szCs w:val="20"/>
          <w:color w:val="auto"/>
        </w:rPr>
      </w:pPr>
    </w:p>
    <w:p>
      <w:pPr>
        <w:ind w:right="20" w:firstLine="1296"/>
        <w:spacing w:after="0" w:line="215" w:lineRule="auto"/>
        <w:rPr>
          <w:sz w:val="20"/>
          <w:szCs w:val="20"/>
          <w:color w:val="auto"/>
        </w:rPr>
      </w:pPr>
      <w:r>
        <w:rPr>
          <w:rFonts w:ascii="Times New Roman" w:cs="Times New Roman" w:eastAsia="Times New Roman" w:hAnsi="Times New Roman"/>
          <w:sz w:val="20"/>
          <w:szCs w:val="20"/>
          <w:color w:val="auto"/>
        </w:rPr>
        <w:t>“Subsidiary” means an entity, whether a corporation, partnership, limited liability company, joint venture or otherwise, in which Loan Party owns or controls, either directly or indirectly, fifty percent (50%) or more of the outstanding voting securities,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entity listed on Schedule 1 hereto.</w:t>
      </w:r>
    </w:p>
    <w:p>
      <w:pPr>
        <w:spacing w:after="0" w:line="153"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“T12M Revenue” means Borrower’s revenue (determined in accordance with GAAP), measured on a trailing twelve (12) month basis as of the date of the most recently delivered monthly financial statement in accordance with Section 7.1(a).</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4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“Taxes” means all present or future taxes, levies, imposts, duties, deductions, withholdings (including backup withholding), assessments, fees or other charges imposed by any governmental authority, including any interest, additions to tax or penalties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auto"/>
        </w:rPr>
        <w:t>“Term Commitment” means as to any Lender, the obligation of such Lender, if any, to make a Term Loan Advance to the Borrower in a principal amount not to exceed the amount set forth under the heading “Term Commitment” opposite such Lender’s name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1.1.</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“Term Loan Advance” means each Tranche 1 Advance, Tranche 2 Advance and any other Term Loan funds advanced under</w:t>
      </w:r>
    </w:p>
    <w:p>
      <w:pPr>
        <w:spacing w:after="0"/>
        <w:rPr>
          <w:sz w:val="20"/>
          <w:szCs w:val="20"/>
          <w:color w:val="auto"/>
        </w:rPr>
      </w:pPr>
      <w:r>
        <w:rPr>
          <w:rFonts w:ascii="Times New Roman" w:cs="Times New Roman" w:eastAsia="Times New Roman" w:hAnsi="Times New Roman"/>
          <w:sz w:val="20"/>
          <w:szCs w:val="20"/>
          <w:color w:val="auto"/>
        </w:rPr>
        <w:t>this Agreement.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“Term Loan Interest Rate” means for any day a per annum rate of interest equal to the greater of either (i) (x) the prime rate</w:t>
      </w:r>
    </w:p>
    <w:p>
      <w:pPr>
        <w:jc w:val="both"/>
        <w:spacing w:after="0" w:line="221" w:lineRule="auto"/>
        <w:rPr>
          <w:sz w:val="20"/>
          <w:szCs w:val="20"/>
          <w:color w:val="auto"/>
        </w:rPr>
      </w:pPr>
      <w:r>
        <w:rPr>
          <w:rFonts w:ascii="Times New Roman" w:cs="Times New Roman" w:eastAsia="Times New Roman" w:hAnsi="Times New Roman"/>
          <w:sz w:val="20"/>
          <w:szCs w:val="20"/>
          <w:color w:val="auto"/>
        </w:rPr>
        <w:t>as reported in The Wall Street Journal plus (y) six and fifteenth one hundredths percent (6.15%), and (ii) nine and forty one hundredths percent (9.40%).</w:t>
      </w:r>
    </w:p>
    <w:p>
      <w:pPr>
        <w:spacing w:after="0" w:line="16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“Term Loan Maturity Date” means May 1, 2026; provided that if such day is not a Business Day, the Term Loan Maturity Date shall be the immediately preceding Business Day.</w:t>
      </w:r>
    </w:p>
    <w:p>
      <w:pPr>
        <w:spacing w:after="0" w:line="161" w:lineRule="exact"/>
        <w:rPr>
          <w:sz w:val="20"/>
          <w:szCs w:val="20"/>
          <w:color w:val="auto"/>
        </w:rPr>
      </w:pPr>
    </w:p>
    <w:p>
      <w:pPr>
        <w:ind w:right="540" w:firstLine="1296"/>
        <w:spacing w:after="0" w:line="295" w:lineRule="auto"/>
        <w:rPr>
          <w:sz w:val="20"/>
          <w:szCs w:val="20"/>
          <w:color w:val="auto"/>
        </w:rPr>
      </w:pPr>
      <w:r>
        <w:rPr>
          <w:rFonts w:ascii="Times New Roman" w:cs="Times New Roman" w:eastAsia="Times New Roman" w:hAnsi="Times New Roman"/>
          <w:sz w:val="19"/>
          <w:szCs w:val="19"/>
          <w:color w:val="auto"/>
        </w:rPr>
        <w:t>“Termination Date” means the date on which all Obligations (other than contingent indemnity and reimbursement obligations for which no claim has been asserted) have been paid in full in cash and the Term Commitment shall have been terminated.</w:t>
      </w:r>
    </w:p>
    <w:p>
      <w:pPr>
        <w:spacing w:after="0" w:line="13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“Testing Period” means each fiscal quarter, in which Borrower has failed to maintain its unrestricted Qualified Cash in an amount greater than or equal to Sixty Million Dollars ($60,000,000), to be tested on the last day of each month in such fiscal quarter and measured as the average amount for the last five days of each month.</w:t>
      </w:r>
    </w:p>
    <w:p>
      <w:pPr>
        <w:spacing w:after="0" w:line="161"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color w:val="auto"/>
        </w:rPr>
        <w:t>“Trademark License” means any written agreement granting any right to use any Trademark or Trademark registration, now owned or hereafter acquired by any Loan Party or in which any Loan Party now holds or hereafter acquires any interest.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“Trademarks” means all trademarks (registered, common law or otherwise) and any applications in connection therewith,</w:t>
      </w:r>
    </w:p>
    <w:p>
      <w:pPr>
        <w:jc w:val="both"/>
        <w:spacing w:after="0" w:line="221" w:lineRule="auto"/>
        <w:rPr>
          <w:sz w:val="20"/>
          <w:szCs w:val="20"/>
          <w:color w:val="auto"/>
        </w:rPr>
      </w:pPr>
      <w:r>
        <w:rPr>
          <w:rFonts w:ascii="Times New Roman" w:cs="Times New Roman" w:eastAsia="Times New Roman" w:hAnsi="Times New Roman"/>
          <w:sz w:val="20"/>
          <w:szCs w:val="20"/>
          <w:color w:val="auto"/>
        </w:rPr>
        <w:t>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“UCC” means the Uniform Commercial Code as the same is, from time to time, in effect in the State of California; provided,</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that in the event that, by reason of mandatory provisions of law, any or all of the attachment, perfection or priority of, or remedies with respect to, Agent’s Lien on any Collateral is governed by the Uniform Commercial Code as the same is, from time to time, in effect in a</w:t>
      </w:r>
    </w:p>
    <w:p>
      <w:pPr>
        <w:spacing w:after="0" w:line="223" w:lineRule="auto"/>
        <w:rPr>
          <w:sz w:val="20"/>
          <w:szCs w:val="20"/>
          <w:color w:val="auto"/>
        </w:rPr>
      </w:pPr>
      <w:r>
        <w:rPr>
          <w:rFonts w:ascii="Times New Roman" w:cs="Times New Roman" w:eastAsia="Times New Roman" w:hAnsi="Times New Roman"/>
          <w:sz w:val="19"/>
          <w:szCs w:val="19"/>
          <w:color w:val="auto"/>
        </w:rPr>
        <w:t>jurisdiction other than the State of California, then the term “UCC” shall mean the Uniform Commercial Code as in effect, from time to time,</w:t>
      </w:r>
    </w:p>
    <w:p>
      <w:pPr>
        <w:jc w:val="both"/>
        <w:spacing w:after="0" w:line="221" w:lineRule="auto"/>
        <w:rPr>
          <w:sz w:val="20"/>
          <w:szCs w:val="20"/>
          <w:color w:val="auto"/>
        </w:rPr>
      </w:pPr>
      <w:r>
        <w:rPr>
          <w:rFonts w:ascii="Times New Roman" w:cs="Times New Roman" w:eastAsia="Times New Roman" w:hAnsi="Times New Roman"/>
          <w:sz w:val="20"/>
          <w:szCs w:val="20"/>
          <w:color w:val="auto"/>
        </w:rPr>
        <w:t>in such other jurisdiction solely for purposes of the provisions thereof relating to such attachment, perfection, priority or remedies and for purposes of definitions related to such provisions.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“U.S. Person” means any Person that is a “United States person” as defined in Section 7701(a)(30) of the Code.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The following terms are defined in the Sections or subsections referenced opposite such terms: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07" w:lineRule="exact"/>
        <w:rPr>
          <w:sz w:val="20"/>
          <w:szCs w:val="20"/>
          <w:color w:val="auto"/>
        </w:rPr>
      </w:pPr>
    </w:p>
    <w:tbl>
      <w:tblPr>
        <w:tblLayout w:type="fixed"/>
        <w:tblInd w:w="1930" w:type="dxa"/>
        <w:tblCellMar>
          <w:top w:w="0" w:type="dxa"/>
          <w:left w:w="0" w:type="dxa"/>
          <w:bottom w:w="0" w:type="dxa"/>
          <w:right w:w="0" w:type="dxa"/>
        </w:tblCellMar>
      </w:tblPr>
      <w:tr>
        <w:trPr>
          <w:trHeight w:val="257"/>
        </w:trPr>
        <w:tc>
          <w:tcPr>
            <w:tcW w:w="2700" w:type="dxa"/>
            <w:vAlign w:val="bottom"/>
            <w:tcBorders>
              <w:left w:val="single" w:sz="8" w:color="auto"/>
              <w:bottom w:val="single" w:sz="8" w:color="666666"/>
              <w:right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20"/>
                <w:szCs w:val="20"/>
                <w:b w:val="1"/>
                <w:bCs w:val="1"/>
                <w:color w:val="FFFFFF"/>
              </w:rPr>
              <w:t>Defined Term</w:t>
            </w:r>
          </w:p>
        </w:tc>
        <w:tc>
          <w:tcPr>
            <w:tcW w:w="2420" w:type="dxa"/>
            <w:vAlign w:val="bottom"/>
            <w:tcBorders>
              <w:bottom w:val="single" w:sz="8" w:color="666666"/>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20"/>
                <w:szCs w:val="20"/>
                <w:b w:val="1"/>
                <w:bCs w:val="1"/>
                <w:color w:val="FFFFFF"/>
              </w:rPr>
              <w:t>Section</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Agent</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Assignee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11.14</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Borrower</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Claims</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11.11</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Collateral</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3.1</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Confidential Information</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11.13</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End of Term Charge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2.6</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Event of Default</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9</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7.1</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Indemnified Person</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6.3</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Lenders</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6.3</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Maximum Rate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2.3</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Open-Source License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5.10</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Prepayment Charge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2.5</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Publicity Materials</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11.19</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Register</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11.7</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Rights to Payment</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3.1</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Tranche 1 Advance</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2.2(a)</w:t>
            </w:r>
          </w:p>
        </w:tc>
      </w:tr>
      <w:tr>
        <w:trPr>
          <w:trHeight w:val="250"/>
        </w:trPr>
        <w:tc>
          <w:tcPr>
            <w:tcW w:w="2700" w:type="dxa"/>
            <w:vAlign w:val="bottom"/>
            <w:tcBorders>
              <w:left w:val="single" w:sz="8" w:color="666666"/>
              <w:bottom w:val="single" w:sz="8" w:color="666666"/>
              <w:right w:val="single" w:sz="8" w:color="666666"/>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Tranche 2 Advance</w:t>
            </w:r>
          </w:p>
        </w:tc>
        <w:tc>
          <w:tcPr>
            <w:tcW w:w="2420" w:type="dxa"/>
            <w:vAlign w:val="bottom"/>
            <w:tcBorders>
              <w:bottom w:val="single" w:sz="8" w:color="666666"/>
              <w:right w:val="single" w:sz="8" w:color="666666"/>
            </w:tcBorders>
          </w:tcPr>
          <w:p>
            <w:pPr>
              <w:ind w:left="60"/>
              <w:spacing w:after="0"/>
              <w:rPr>
                <w:sz w:val="20"/>
                <w:szCs w:val="20"/>
                <w:color w:val="auto"/>
              </w:rPr>
            </w:pPr>
            <w:r>
              <w:rPr>
                <w:rFonts w:ascii="Times New Roman" w:cs="Times New Roman" w:eastAsia="Times New Roman" w:hAnsi="Times New Roman"/>
                <w:sz w:val="20"/>
                <w:szCs w:val="20"/>
                <w:color w:val="auto"/>
              </w:rPr>
              <w:t>2.2(a)</w:t>
            </w:r>
          </w:p>
        </w:tc>
      </w:tr>
      <w:tr>
        <w:trPr>
          <w:trHeight w:val="250"/>
        </w:trPr>
        <w:tc>
          <w:tcPr>
            <w:tcW w:w="2700" w:type="dxa"/>
            <w:vAlign w:val="bottom"/>
            <w:tcBorders>
              <w:left w:val="single" w:sz="8" w:color="666666"/>
              <w:bottom w:val="single" w:sz="8" w:color="666666"/>
              <w:right w:val="single" w:sz="8" w:color="666666"/>
            </w:tcBorders>
            <w:shd w:val="clear" w:color="auto" w:fill="CCCCCC"/>
          </w:tcPr>
          <w:p>
            <w:pPr>
              <w:ind w:left="80"/>
              <w:spacing w:after="0"/>
              <w:rPr>
                <w:sz w:val="20"/>
                <w:szCs w:val="20"/>
                <w:color w:val="auto"/>
              </w:rPr>
            </w:pPr>
            <w:r>
              <w:rPr>
                <w:rFonts w:ascii="Times New Roman" w:cs="Times New Roman" w:eastAsia="Times New Roman" w:hAnsi="Times New Roman"/>
                <w:sz w:val="20"/>
                <w:szCs w:val="20"/>
                <w:b w:val="1"/>
                <w:bCs w:val="1"/>
                <w:color w:val="auto"/>
              </w:rPr>
              <w:t>Transfer</w:t>
            </w:r>
          </w:p>
        </w:tc>
        <w:tc>
          <w:tcPr>
            <w:tcW w:w="2420" w:type="dxa"/>
            <w:vAlign w:val="bottom"/>
            <w:tcBorders>
              <w:bottom w:val="single" w:sz="8" w:color="666666"/>
              <w:right w:val="single" w:sz="8" w:color="666666"/>
            </w:tcBorders>
            <w:shd w:val="clear" w:color="auto" w:fill="CCCCCC"/>
          </w:tcPr>
          <w:p>
            <w:pPr>
              <w:ind w:left="60"/>
              <w:spacing w:after="0"/>
              <w:rPr>
                <w:sz w:val="20"/>
                <w:szCs w:val="20"/>
                <w:color w:val="auto"/>
              </w:rPr>
            </w:pPr>
            <w:r>
              <w:rPr>
                <w:rFonts w:ascii="Times New Roman" w:cs="Times New Roman" w:eastAsia="Times New Roman" w:hAnsi="Times New Roman"/>
                <w:sz w:val="20"/>
                <w:szCs w:val="20"/>
                <w:color w:val="auto"/>
              </w:rPr>
              <w:t>7.8</w:t>
            </w:r>
          </w:p>
        </w:tc>
      </w:tr>
    </w:tbl>
    <w:p>
      <w:pPr>
        <w:spacing w:after="0" w:line="200" w:lineRule="exact"/>
        <w:rPr>
          <w:sz w:val="20"/>
          <w:szCs w:val="20"/>
          <w:color w:val="auto"/>
        </w:rPr>
      </w:pPr>
    </w:p>
    <w:p>
      <w:pPr>
        <w:spacing w:after="0" w:line="31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1.3 Unless otherwise specified, all references in this Agreement or any Annex or Schedule hereto to a “Section,” “subsection,” “Exhibit,” “Annex,” or “Schedule” shall refer to the corresponding Section, subsection, Exhibit, Annex, or Schedule in or to this Agreement.</w:t>
      </w:r>
    </w:p>
    <w:p>
      <w:pPr>
        <w:spacing w:after="0" w:line="211" w:lineRule="auto"/>
        <w:rPr>
          <w:sz w:val="20"/>
          <w:szCs w:val="20"/>
          <w:color w:val="auto"/>
        </w:rPr>
      </w:pPr>
      <w:r>
        <w:rPr>
          <w:rFonts w:ascii="Times New Roman" w:cs="Times New Roman" w:eastAsia="Times New Roman" w:hAnsi="Times New Roman"/>
          <w:sz w:val="20"/>
          <w:szCs w:val="20"/>
          <w:color w:val="auto"/>
        </w:rPr>
        <w:t>Unless otherwise specifically provided herein, any accounting term used in this Agreement or the other Loan Documents shall have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meaning customarily given such term in accordance with GAAP, and all financial computations hereunder shall be computed in accordance with GAAP, consistently applied. Unless otherwise defined herein or in the other Loan Documents, terms that are used herein or in the other</w:t>
      </w:r>
    </w:p>
    <w:p>
      <w:pPr>
        <w:spacing w:after="0" w:line="222" w:lineRule="auto"/>
        <w:rPr>
          <w:sz w:val="20"/>
          <w:szCs w:val="20"/>
          <w:color w:val="auto"/>
        </w:rPr>
      </w:pPr>
      <w:r>
        <w:rPr>
          <w:rFonts w:ascii="Times New Roman" w:cs="Times New Roman" w:eastAsia="Times New Roman" w:hAnsi="Times New Roman"/>
          <w:sz w:val="19"/>
          <w:szCs w:val="19"/>
          <w:color w:val="auto"/>
        </w:rPr>
        <w:t>Loan Documents and defined in the UCC shall have the meanings given to them in the UCC. For all purposes under the Loan Documents, in</w:t>
      </w:r>
    </w:p>
    <w:p>
      <w:pPr>
        <w:spacing w:after="0" w:line="204" w:lineRule="auto"/>
        <w:rPr>
          <w:sz w:val="20"/>
          <w:szCs w:val="20"/>
          <w:color w:val="auto"/>
        </w:rPr>
      </w:pPr>
      <w:r>
        <w:rPr>
          <w:rFonts w:ascii="Times New Roman" w:cs="Times New Roman" w:eastAsia="Times New Roman" w:hAnsi="Times New Roman"/>
          <w:sz w:val="20"/>
          <w:szCs w:val="20"/>
          <w:color w:val="auto"/>
        </w:rPr>
        <w:t>connection with any division or plan of division under Delaware law (or any comparable event under a different jurisdiction’s laws): (a) if any asset, right, obligation or liability of any Person becomes the asset, right, obligation or liability of a different Person, then it shall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THE LOAN</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[Reserved]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Term Loan Advances.</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Subject to the terms and conditions of this Agreement, the Lenders will severally (and not jointly) make in an amount not to exceed its respective Term Commitment, and Borrower agrees to draw, a Term Loan Advance of Twenty Million Dollars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ectPr>
          <w:pgSz w:w="11900" w:h="16838" w:orient="portrait"/>
          <w:cols w:equalWidth="0" w:num="1">
            <w:col w:w="11240"/>
          </w:cols>
          <w:pgMar w:left="320" w:top="1440" w:right="339" w:bottom="1440" w:gutter="0" w:footer="0" w:header="0"/>
        </w:sectPr>
      </w:pP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243"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($20,000,000) on the Closing Date (the “Initial Tranche 1 Advance”). Subject to the terms and conditions of this Agreement, on or before March 15, 2023, Borrower may request, additional Term Loan Advances in an aggregate principal amount of Twenty Million</w:t>
      </w:r>
    </w:p>
    <w:p>
      <w:pPr>
        <w:ind w:left="660"/>
        <w:spacing w:after="0" w:line="222" w:lineRule="auto"/>
        <w:rPr>
          <w:sz w:val="20"/>
          <w:szCs w:val="20"/>
          <w:color w:val="auto"/>
        </w:rPr>
      </w:pPr>
      <w:r>
        <w:rPr>
          <w:rFonts w:ascii="Times New Roman" w:cs="Times New Roman" w:eastAsia="Times New Roman" w:hAnsi="Times New Roman"/>
          <w:sz w:val="19"/>
          <w:szCs w:val="19"/>
          <w:color w:val="auto"/>
        </w:rPr>
        <w:t>Dollars ($20,000,000) (the “Subsequent Tranche 1 Advance”, together with the Initial Tranche 1 Advance, collectively referred to as</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“Tranche 1 Advance”). Further, subject to the (i) terms and conditions of this Agreement, and (ii) achievement of the Performance Milestone by the Borrower, on or before June 15, 2023, Borrower may request, additional Term Loan Advances in an aggregate</w:t>
      </w:r>
    </w:p>
    <w:p>
      <w:pPr>
        <w:ind w:left="660"/>
        <w:spacing w:after="0" w:line="211" w:lineRule="auto"/>
        <w:rPr>
          <w:sz w:val="20"/>
          <w:szCs w:val="20"/>
          <w:color w:val="auto"/>
        </w:rPr>
      </w:pPr>
      <w:r>
        <w:rPr>
          <w:rFonts w:ascii="Times New Roman" w:cs="Times New Roman" w:eastAsia="Times New Roman" w:hAnsi="Times New Roman"/>
          <w:sz w:val="20"/>
          <w:szCs w:val="20"/>
          <w:color w:val="auto"/>
        </w:rPr>
        <w:t>principal amount of Ten Million Dollars ($10,000,000) (the “Tranche 2 Advance”). The minimum amount of each Subsequent</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Tranche 1 Advance and each Tranche 2 Advance shall be Two Million Five Hundred Thousand Dollars ($2,500,000). The aggregate outstanding Term Loan Advances may be up to the Maximum Term Loan Amount.</w:t>
      </w:r>
    </w:p>
    <w:p>
      <w:pPr>
        <w:spacing w:after="0" w:line="162" w:lineRule="exact"/>
        <w:rPr>
          <w:sz w:val="20"/>
          <w:szCs w:val="20"/>
          <w:color w:val="auto"/>
        </w:rPr>
      </w:pPr>
    </w:p>
    <w:p>
      <w:pPr>
        <w:jc w:val="both"/>
        <w:ind w:left="660" w:firstLine="644"/>
        <w:spacing w:after="0" w:line="222" w:lineRule="auto"/>
        <w:tabs>
          <w:tab w:leader="none" w:pos="199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20" w:lineRule="auto"/>
        <w:tabs>
          <w:tab w:leader="none" w:pos="259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 Interest Rate. The principal balance of each Term Loan Advance shall bear interest thereon from such Advance Date at the Term Loan Interest Rate based on a year consisting of 360 days, with interest computed daily based on the actual number of days elapsed. The Term Loan Interest Rate will float and change on the day the “prime rate” as reported in The Wall Street Journal or if such publication is not available, a similar national publication, changes from time to time.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09" w:lineRule="auto"/>
        <w:tabs>
          <w:tab w:leader="none" w:pos="194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plus all accrued but unpaid interest (the “Monthly Repayment”)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the Term Loan Maturity Date. Notwithstanding the foregoing sentence, in the event that Borrower achieves the Interest Only Milestone, then Borrower shall not be required to make the Monthly Repayment and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43"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Agent notifies Borrower of such; provided, further, that, with respect to clause (ii) above, in the event that the Lenders or Agent informs Borrower that the Lenders will not initiate a debit entry to Borrower’s account for certain amount of such out-of-pocket legal</w:t>
      </w:r>
    </w:p>
    <w:p>
      <w:pPr>
        <w:ind w:left="660"/>
        <w:spacing w:after="0" w:line="228" w:lineRule="auto"/>
        <w:rPr>
          <w:sz w:val="20"/>
          <w:szCs w:val="20"/>
          <w:color w:val="auto"/>
        </w:rPr>
      </w:pPr>
      <w:r>
        <w:rPr>
          <w:rFonts w:ascii="Times New Roman" w:cs="Times New Roman" w:eastAsia="Times New Roman" w:hAnsi="Times New Roman"/>
          <w:sz w:val="20"/>
          <w:szCs w:val="20"/>
          <w:color w:val="auto"/>
        </w:rPr>
        <w:t>fees and costs incurred by Agent or the Lenders, Borrower shall pay to the Lenders such amount in full in immediately available funds within three (3) Business Days.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jurisdiction shall deem applicable hereto (which under the laws of the State of California shall be deemed to be the laws relating to permissible rates of interest on commercial loans) (the “Maximum Rate”). If a court of competent jurisdiction shall finally determine that</w:t>
      </w:r>
    </w:p>
    <w:p>
      <w:pPr>
        <w:spacing w:after="0" w:line="211" w:lineRule="auto"/>
        <w:rPr>
          <w:sz w:val="20"/>
          <w:szCs w:val="20"/>
          <w:color w:val="auto"/>
        </w:rPr>
      </w:pPr>
      <w:r>
        <w:rPr>
          <w:rFonts w:ascii="Times New Roman" w:cs="Times New Roman" w:eastAsia="Times New Roman" w:hAnsi="Times New Roman"/>
          <w:sz w:val="20"/>
          <w:szCs w:val="20"/>
          <w:color w:val="auto"/>
        </w:rPr>
        <w:t>Borrower has actually paid to the Lenders an amount of interest in excess of the amount that would have been payable if all of the Secured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had at all times borne interest at the Maximum Rate, then such excess interest actually paid by Borrower shall be applied as follows: first, to the payment of the Secured Obligations consisting of the outstanding principal; second, after all principal is repaid,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payment of the Lenders’ accrued interest, costs, expenses, professional fees and any other Secured Obligations; and third, after all Secured Obligations are repaid, the excess (if any) shall be refunded to Borrower.</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2.4 Default Interest. In the event any payment is not paid on the scheduled payment date, other than due to a failure of any ACH debit due solely to an administrative or operational error of Agent or Lender or the Borrower’s bank if the Borrower had the funds to make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payment when due and makes the payment within three (3) Business Days following the Borrower’s knowledge of such failure to pay an amount equal to four percent (4%) of the past due amount shall be payable on demand. In addition, upon the occurrence and during the</w:t>
      </w:r>
    </w:p>
    <w:p>
      <w:pPr>
        <w:spacing w:after="0" w:line="211" w:lineRule="auto"/>
        <w:rPr>
          <w:sz w:val="20"/>
          <w:szCs w:val="20"/>
          <w:color w:val="auto"/>
        </w:rPr>
      </w:pPr>
      <w:r>
        <w:rPr>
          <w:rFonts w:ascii="Times New Roman" w:cs="Times New Roman" w:eastAsia="Times New Roman" w:hAnsi="Times New Roman"/>
          <w:sz w:val="20"/>
          <w:szCs w:val="20"/>
          <w:color w:val="auto"/>
        </w:rPr>
        <w:t>continuation of an Event of Default hereunder, all Secured Obligations, including principal, interest, compounded interest, and professional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fees, shall bear interest at a rate per annum equal to the rate set forth in Section 2.2(c) plus four percent (4%) per annum. In the event any interest is not paid when due hereunder, delinquent interest shall be added to principal and shall bear interest on interest, compounded 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 set forth in Section 2.2(c) or Section 2.4, as applicable.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2.5 Prepayment. At its option, Borrower may prepay all, or a portion of the outstanding Advances by paying the entire principal balance (or such portion thereof), all accrued and unpaid interest thereon, together with a prepayment charge equal to the following</w:t>
      </w:r>
    </w:p>
    <w:p>
      <w:pPr>
        <w:spacing w:after="0" w:line="212" w:lineRule="auto"/>
        <w:rPr>
          <w:sz w:val="20"/>
          <w:szCs w:val="20"/>
          <w:color w:val="auto"/>
        </w:rPr>
      </w:pPr>
      <w:r>
        <w:rPr>
          <w:rFonts w:ascii="Times New Roman" w:cs="Times New Roman" w:eastAsia="Times New Roman" w:hAnsi="Times New Roman"/>
          <w:sz w:val="20"/>
          <w:szCs w:val="20"/>
          <w:color w:val="auto"/>
        </w:rPr>
        <w:t>percentage of the Advance amount being prepaid: with respect to each Advance, if such Advance amounts are prepaid in any of the first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twelve (12) months following the Closing Date, two and one-half percent (2.50%); after twelve (12) months following the Closing Date but prior to twenty four (24) months following the Closing Date, one and one-half percent (1.50%); and thereafter but prior to and excluding the</w:t>
      </w:r>
    </w:p>
    <w:p>
      <w:pPr>
        <w:spacing w:after="0" w:line="223" w:lineRule="auto"/>
        <w:rPr>
          <w:sz w:val="20"/>
          <w:szCs w:val="20"/>
          <w:color w:val="auto"/>
        </w:rPr>
      </w:pPr>
      <w:r>
        <w:rPr>
          <w:rFonts w:ascii="Times New Roman" w:cs="Times New Roman" w:eastAsia="Times New Roman" w:hAnsi="Times New Roman"/>
          <w:sz w:val="19"/>
          <w:szCs w:val="19"/>
          <w:color w:val="auto"/>
        </w:rPr>
        <w:t>Term Loan Maturity Date, one percent (1.00%) (each, a “Prepayment Charge”). If at any time Borrower elects to make a prepayment, and at</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time, there are outstanding Advances under multiple Tranches, the Prepayment Charge shall be determined by applying the amount of such prepayment in the following order: first, to the outstanding principal amount (and accrued but unpaid interest thereon) of Advances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outstanding under the Tranche with the latest initial funding date; second, to the outstanding principal amount (and accrued but unpaid interest thereon) of Advances outstanding under the Tranche with the next latest initial funding date and so on until the entire principal</w:t>
      </w:r>
    </w:p>
    <w:p>
      <w:pPr>
        <w:spacing w:after="0" w:line="211" w:lineRule="auto"/>
        <w:rPr>
          <w:sz w:val="20"/>
          <w:szCs w:val="20"/>
          <w:color w:val="auto"/>
        </w:rPr>
      </w:pPr>
      <w:r>
        <w:rPr>
          <w:rFonts w:ascii="Times New Roman" w:cs="Times New Roman" w:eastAsia="Times New Roman" w:hAnsi="Times New Roman"/>
          <w:sz w:val="20"/>
          <w:szCs w:val="20"/>
          <w:color w:val="auto"/>
        </w:rPr>
        <w:t>balance of all Advances made hereunder (and all accrued but unpaid interest thereon) is paid in full. Borrower agrees that the Prepayment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Charge is a reasonable calculation of the Lenders’ lost profits in view of the difficulties and impracticality of determining actual damages resulting from an early repayment of the Advances. Borrower shall prepay the outstanding amount of all principal and accrued interest</w:t>
      </w:r>
    </w:p>
    <w:p>
      <w:pPr>
        <w:spacing w:after="0" w:line="211" w:lineRule="auto"/>
        <w:rPr>
          <w:sz w:val="20"/>
          <w:szCs w:val="20"/>
          <w:color w:val="auto"/>
        </w:rPr>
      </w:pPr>
      <w:r>
        <w:rPr>
          <w:rFonts w:ascii="Times New Roman" w:cs="Times New Roman" w:eastAsia="Times New Roman" w:hAnsi="Times New Roman"/>
          <w:sz w:val="20"/>
          <w:szCs w:val="20"/>
          <w:color w:val="auto"/>
        </w:rPr>
        <w:t>through the prepayment date and the Prepayment Charge upon the occurrence of a Change in Control or any other prepayment hereunder.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amounts paid under this Section shall be applied by Agent to the then unpaid amount of any Secured Obligations (including principal and interest) pro rata to all scheduled amounts owed. For the avoidance of doubt, if a payment hereunder becomes due and payable on a day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is not a Business Day, the due date thereof shall be the immediately preceding Business Day.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4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2.6 End of Term Charge. On the earliest to occur of (i) the Term Loan Maturity Date, (ii) the date that Borrower prepays the outstanding Secured Obligations (other than any inchoate indemnity obligations and any other obligations which, by their terms, are to</w:t>
      </w:r>
    </w:p>
    <w:p>
      <w:pPr>
        <w:spacing w:after="0" w:line="212" w:lineRule="auto"/>
        <w:rPr>
          <w:sz w:val="20"/>
          <w:szCs w:val="20"/>
          <w:color w:val="auto"/>
        </w:rPr>
      </w:pPr>
      <w:r>
        <w:rPr>
          <w:rFonts w:ascii="Times New Roman" w:cs="Times New Roman" w:eastAsia="Times New Roman" w:hAnsi="Times New Roman"/>
          <w:sz w:val="20"/>
          <w:szCs w:val="20"/>
          <w:color w:val="auto"/>
        </w:rPr>
        <w:t>survive the termination of this Agreement) in full, and (iii) the date that the Secured Obligations become due and payable in full pursuant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terms of this Agreement, Borrower shall pay Lenders a charge of seven and forty-five one hundredths percent (7.45%) of the aggregate original principal amount of the Term Loan Advances made hereunder (the “End of Term Charge”). Notwithstanding the required payment</w:t>
      </w:r>
    </w:p>
    <w:p>
      <w:pPr>
        <w:spacing w:after="0" w:line="211" w:lineRule="auto"/>
        <w:rPr>
          <w:sz w:val="20"/>
          <w:szCs w:val="20"/>
          <w:color w:val="auto"/>
        </w:rPr>
      </w:pPr>
      <w:r>
        <w:rPr>
          <w:rFonts w:ascii="Times New Roman" w:cs="Times New Roman" w:eastAsia="Times New Roman" w:hAnsi="Times New Roman"/>
          <w:sz w:val="20"/>
          <w:szCs w:val="20"/>
          <w:color w:val="auto"/>
        </w:rPr>
        <w:t>date of such End of Term Charge, the applicable pro rata portion of the End of Term Charge shall be deemed earned by Lenders on the date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the applicable Term Loan Advance is made. For the avoidance of doubt, if a payment hereunder becomes due and payable on a day that is not a Business Day, the due date thereof shall be the immediately preceding Business Day.</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2.7 Pro Rata Treatment. Each payment (including prepayment) on account of any fee and any reduction of the Term Loan Advances shall be made pro rata according to the Term Commitments of the relevant Lender.</w:t>
      </w:r>
    </w:p>
    <w:p>
      <w:pPr>
        <w:spacing w:after="0" w:line="14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2.8 Taxes; Increased Costs. The Borrower, the Agent and the Lenders each hereby agree to the terms and conditions set forth on Addendum 1 attached hereto.</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2.9 Treatment of Prepayment Charge and End of Term Charge. Borrower agrees that any Prepayment Charge and any End of Term Charge payable shall be presumed to be the liquidated damages sustained by each Lender as the result of the early termination, and</w:t>
      </w:r>
    </w:p>
    <w:p>
      <w:pPr>
        <w:spacing w:after="0" w:line="224" w:lineRule="auto"/>
        <w:rPr>
          <w:sz w:val="20"/>
          <w:szCs w:val="20"/>
          <w:color w:val="auto"/>
        </w:rPr>
      </w:pPr>
      <w:r>
        <w:rPr>
          <w:rFonts w:ascii="Times New Roman" w:cs="Times New Roman" w:eastAsia="Times New Roman" w:hAnsi="Times New Roman"/>
          <w:sz w:val="19"/>
          <w:szCs w:val="19"/>
          <w:color w:val="auto"/>
        </w:rPr>
        <w:t>Borrower agrees that it is reasonable under the circumstances currently existing and existing as of the Closing Date. The Prepayment Charge</w:t>
      </w:r>
    </w:p>
    <w:p>
      <w:pPr>
        <w:spacing w:after="0" w:line="215" w:lineRule="auto"/>
        <w:rPr>
          <w:sz w:val="20"/>
          <w:szCs w:val="20"/>
          <w:color w:val="auto"/>
        </w:rPr>
      </w:pPr>
      <w:r>
        <w:rPr>
          <w:rFonts w:ascii="Times New Roman" w:cs="Times New Roman" w:eastAsia="Times New Roman" w:hAnsi="Times New Roman"/>
          <w:sz w:val="19"/>
          <w:szCs w:val="19"/>
          <w:color w:val="auto"/>
        </w:rPr>
        <w:t>and the End of Term Charge shall also be payable in the event the Secured Obligations (and/or this Agreement) are satisfied or released by foreclosure (whether by power of judicial proceeding), deed in lieu of foreclosure, or by any other means. Each Loan Party expressly waives</w:t>
      </w:r>
    </w:p>
    <w:p>
      <w:pPr>
        <w:spacing w:after="0" w:line="211" w:lineRule="auto"/>
        <w:rPr>
          <w:sz w:val="20"/>
          <w:szCs w:val="20"/>
          <w:color w:val="auto"/>
        </w:rPr>
      </w:pPr>
      <w:r>
        <w:rPr>
          <w:rFonts w:ascii="Times New Roman" w:cs="Times New Roman" w:eastAsia="Times New Roman" w:hAnsi="Times New Roman"/>
          <w:sz w:val="20"/>
          <w:szCs w:val="20"/>
          <w:color w:val="auto"/>
        </w:rPr>
        <w:t>(to the fullest extent it may lawfully do so) the provisions of any present or future statute or law that prohibits or may prohibit the collection</w:t>
      </w:r>
    </w:p>
    <w:p>
      <w:pPr>
        <w:spacing w:after="0" w:line="215" w:lineRule="auto"/>
        <w:rPr>
          <w:sz w:val="20"/>
          <w:szCs w:val="20"/>
          <w:color w:val="auto"/>
        </w:rPr>
      </w:pPr>
      <w:r>
        <w:rPr>
          <w:rFonts w:ascii="Times New Roman" w:cs="Times New Roman" w:eastAsia="Times New Roman" w:hAnsi="Times New Roman"/>
          <w:sz w:val="19"/>
          <w:szCs w:val="19"/>
          <w:color w:val="auto"/>
        </w:rPr>
        <w:t>of the foregoing Prepayment Charge and End of Term Charge in connection with any such acceleration. Borrower agrees (to the fullest extent that each may lawfully do so): (a) each of the Prepayment Charge and the End of Term Charge is reasonable and is the product of an arm’s</w:t>
      </w:r>
    </w:p>
    <w:p>
      <w:pPr>
        <w:spacing w:after="0" w:line="211" w:lineRule="auto"/>
        <w:rPr>
          <w:sz w:val="20"/>
          <w:szCs w:val="20"/>
          <w:color w:val="auto"/>
        </w:rPr>
      </w:pPr>
      <w:r>
        <w:rPr>
          <w:rFonts w:ascii="Times New Roman" w:cs="Times New Roman" w:eastAsia="Times New Roman" w:hAnsi="Times New Roman"/>
          <w:sz w:val="20"/>
          <w:szCs w:val="20"/>
          <w:color w:val="auto"/>
        </w:rPr>
        <w:t>length transaction between sophisticated business people, ably represented by counsel; (b) each of the Prepayment Charge and the End of</w:t>
      </w:r>
    </w:p>
    <w:p>
      <w:pPr>
        <w:spacing w:after="0" w:line="204" w:lineRule="auto"/>
        <w:rPr>
          <w:sz w:val="20"/>
          <w:szCs w:val="20"/>
          <w:color w:val="auto"/>
        </w:rPr>
      </w:pPr>
      <w:r>
        <w:rPr>
          <w:rFonts w:ascii="Times New Roman" w:cs="Times New Roman" w:eastAsia="Times New Roman" w:hAnsi="Times New Roman"/>
          <w:sz w:val="20"/>
          <w:szCs w:val="20"/>
          <w:color w:val="auto"/>
        </w:rPr>
        <w:t>Term Charge shall be payable notwithstanding the then prevailing market rates at the time payment is made; (c) there has been a course of conduct between the Lenders and Borrower giving specific consideration in this transaction for such agreement to pay the Prepayment</w:t>
      </w:r>
    </w:p>
    <w:p>
      <w:pPr>
        <w:spacing w:after="0" w:line="223" w:lineRule="auto"/>
        <w:rPr>
          <w:sz w:val="20"/>
          <w:szCs w:val="20"/>
          <w:color w:val="auto"/>
        </w:rPr>
      </w:pPr>
      <w:r>
        <w:rPr>
          <w:rFonts w:ascii="Times New Roman" w:cs="Times New Roman" w:eastAsia="Times New Roman" w:hAnsi="Times New Roman"/>
          <w:sz w:val="19"/>
          <w:szCs w:val="19"/>
          <w:color w:val="auto"/>
        </w:rPr>
        <w:t>Charge and the End of Term Charge as a charge (and not interest) in the event of prepayment or acceleration; (d) Borrower shall be estopped</w:t>
      </w:r>
    </w:p>
    <w:p>
      <w:pPr>
        <w:spacing w:after="0" w:line="204" w:lineRule="auto"/>
        <w:rPr>
          <w:sz w:val="20"/>
          <w:szCs w:val="20"/>
          <w:color w:val="auto"/>
        </w:rPr>
      </w:pPr>
      <w:r>
        <w:rPr>
          <w:rFonts w:ascii="Times New Roman" w:cs="Times New Roman" w:eastAsia="Times New Roman" w:hAnsi="Times New Roman"/>
          <w:sz w:val="20"/>
          <w:szCs w:val="20"/>
          <w:color w:val="auto"/>
        </w:rPr>
        <w:t>from claiming differently than as agreed to in this paragraph. Borrower expressly acknowledges that their agreement to pay each of the Prepayment Charge and the End of Term Charge to the Lenders as herein described was on the Closing Date and continues to be a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inducement to the Lenders to provide the Term Loan Advances.</w:t>
      </w: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SECURITY INTEREST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As security for the prompt and complete payment when due (whether on the payment dates or otherwise) of all the Secured</w:t>
      </w:r>
    </w:p>
    <w:p>
      <w:pPr>
        <w:ind w:right="20"/>
        <w:spacing w:after="0" w:line="215" w:lineRule="auto"/>
        <w:rPr>
          <w:sz w:val="20"/>
          <w:szCs w:val="20"/>
          <w:color w:val="auto"/>
        </w:rPr>
      </w:pPr>
      <w:r>
        <w:rPr>
          <w:rFonts w:ascii="Times New Roman" w:cs="Times New Roman" w:eastAsia="Times New Roman" w:hAnsi="Times New Roman"/>
          <w:sz w:val="19"/>
          <w:szCs w:val="19"/>
          <w:color w:val="auto"/>
        </w:rPr>
        <w:t>Obligations, each Loan Party grants to Agent a security interest in all of such Loan Party’s right, title, and interest in, to and under all of each Loan Party’s personal property and other assets including without limitation the following (except as set forth herein) whether now owned or</w:t>
      </w:r>
    </w:p>
    <w:p>
      <w:pPr>
        <w:spacing w:after="0" w:line="222" w:lineRule="auto"/>
        <w:rPr>
          <w:sz w:val="20"/>
          <w:szCs w:val="20"/>
          <w:color w:val="auto"/>
        </w:rPr>
      </w:pPr>
      <w:r>
        <w:rPr>
          <w:rFonts w:ascii="Times New Roman" w:cs="Times New Roman" w:eastAsia="Times New Roman" w:hAnsi="Times New Roman"/>
          <w:sz w:val="19"/>
          <w:szCs w:val="19"/>
          <w:color w:val="auto"/>
        </w:rPr>
        <w:t>hereafter acquired (collectively, the “Collateral”): (a) Receivables; (b) Equipment; (c) Fixtures; (d) General Intangibles (including Intellectual</w:t>
      </w:r>
    </w:p>
    <w:p>
      <w:pPr>
        <w:spacing w:after="0" w:line="204" w:lineRule="auto"/>
        <w:rPr>
          <w:sz w:val="20"/>
          <w:szCs w:val="20"/>
          <w:color w:val="auto"/>
        </w:rPr>
      </w:pPr>
      <w:r>
        <w:rPr>
          <w:rFonts w:ascii="Times New Roman" w:cs="Times New Roman" w:eastAsia="Times New Roman" w:hAnsi="Times New Roman"/>
          <w:sz w:val="20"/>
          <w:szCs w:val="20"/>
          <w:color w:val="auto"/>
        </w:rPr>
        <w:t>Property); (e) Inventory; (f) Investment Property; (g) Deposit Accounts; (h) Cash; (i) Goods; and all other tangible and intangible personal property of each Loan Party whether now or hereafter owned or existing, leased, consigned by or to, or acquired by, any Loan Party and</w:t>
      </w:r>
    </w:p>
    <w:p>
      <w:pPr>
        <w:spacing w:after="0" w:line="211" w:lineRule="auto"/>
        <w:rPr>
          <w:sz w:val="20"/>
          <w:szCs w:val="20"/>
          <w:color w:val="auto"/>
        </w:rPr>
      </w:pPr>
      <w:r>
        <w:rPr>
          <w:rFonts w:ascii="Times New Roman" w:cs="Times New Roman" w:eastAsia="Times New Roman" w:hAnsi="Times New Roman"/>
          <w:sz w:val="20"/>
          <w:szCs w:val="20"/>
          <w:color w:val="auto"/>
        </w:rPr>
        <w:t>wherever located, and any of the Loan Parties’ property in the possession or under the control of Agent; and, to the extent not otherwise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included, all Proceeds of each of the foregoing and all accessions to, substitutions and replacements for, and rents, profits and products of each of the foregoing.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43"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3.2 Notwithstanding the broad grant of the security interest set forth in Section 3.1, above, the Collateral shall not include any Excluded Property.</w:t>
      </w:r>
    </w:p>
    <w:p>
      <w:pPr>
        <w:spacing w:after="0" w:line="1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CONDITIONS PRECEDENT TO LOAN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obligations of the Lenders to make the Loan hereunder are subject to the satisfaction by Borrower of the following conditions: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Initial Advance. On or prior to the Closing Date, Borrower shall have delivered to Agent the following:</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the Loan Documents, Account Control Agreement from Silicon Valley Bank,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legal opinion of Borrower’s counsel in form and substance reasonably acceptable to Agent,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copy of resolutions of each of the Loan Parties’ Board evidencing approval of (i) the Loan and other transactions evidenced by the Loan Documents; and (ii) with respect to the Borrower, the Warrant and transactions evidenced thereby;</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copies of the Certificate of Incorporation or Certificate of Formation, as applicable, and the Bylaws or the operating agreement, as applicable, as amended through the Closing Date, of each Loan Party;</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for each of the Loan Parties’ from its state of incorporation and similar certificates from all other jurisdictions in which it does business and where the failure to be qualified could have a Material Adverse Effect;</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5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Due Diligence Fee, Initial Facility Charge and reimbursement of Agent’s and the Lenders’ current expenses reimbursable pursuant to this Agreement, which amounts may be deducted from the initial Advance;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as Agent may reasonably request.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All Advances. On each Advance Date:</w:t>
      </w:r>
    </w:p>
    <w:p>
      <w:pPr>
        <w:spacing w:after="0" w:line="189" w:lineRule="exact"/>
        <w:rPr>
          <w:sz w:val="20"/>
          <w:szCs w:val="20"/>
          <w:color w:val="auto"/>
        </w:rPr>
      </w:pPr>
    </w:p>
    <w:p>
      <w:pPr>
        <w:jc w:val="both"/>
        <w:ind w:left="660" w:firstLine="644"/>
        <w:spacing w:after="0" w:line="226" w:lineRule="auto"/>
        <w:tabs>
          <w:tab w:leader="none" w:pos="194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43"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Tranche 2 Advance, Borrower shall have achieved the Performance Milestone;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4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49"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4.4 Post-Close Obligations. Notwithstanding any provision herein or in any other Loan Document to the contrary, to the extent not actually delivered on or prior to the Closing Date, Borrower shall use commercially reasonable efforts to deliver to Agent (or its designated agent):</w:t>
      </w:r>
    </w:p>
    <w:p>
      <w:pPr>
        <w:spacing w:after="0" w:line="162" w:lineRule="exact"/>
        <w:rPr>
          <w:sz w:val="20"/>
          <w:szCs w:val="20"/>
          <w:color w:val="auto"/>
        </w:rPr>
      </w:pPr>
    </w:p>
    <w:p>
      <w:pPr>
        <w:ind w:left="660" w:firstLine="644"/>
        <w:spacing w:after="0" w:line="269" w:lineRule="auto"/>
        <w:tabs>
          <w:tab w:leader="none" w:pos="194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of the Closing Date (or such later date as the Agent may agree to in writing), duly executed landlord’s consent for each of Borrower’s leased locations at 350 Treat Avenue, San Francisco, California, by the landlord thereof.</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of the Closing Date (or such later date as the Agent may agree to in writing), all certificates of insurance and copies of each insurance policy required hereunder together with additional insured endorsements for liability and lender’s loss payable endorsements for all risk property damage insurance as required hereunder.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7" w:lineRule="auto"/>
        <w:tabs>
          <w:tab w:leader="none" w:pos="194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twenty (20) days of the Closing Date (or such later date as the Agent may agree to in writing), duly executed Account Control Agreements for each of Loan Parties’ Deposit Accounts, or accounts holding Investment Property, except for Excluded Accounts.</w:t>
      </w:r>
    </w:p>
    <w:p>
      <w:pPr>
        <w:spacing w:after="0" w:line="163"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 OF BORROWER</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that: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5.1 Corporate Status. Each Loan Party is a corporation or a limited liability company, as allocable, duly organized, legally existing and in good standing under the laws its state of incorporation or formation, as applicable, and is duly qualified as a foreign</w:t>
      </w:r>
    </w:p>
    <w:p>
      <w:pPr>
        <w:spacing w:after="0" w:line="212" w:lineRule="auto"/>
        <w:rPr>
          <w:sz w:val="20"/>
          <w:szCs w:val="20"/>
          <w:color w:val="auto"/>
        </w:rPr>
      </w:pPr>
      <w:r>
        <w:rPr>
          <w:rFonts w:ascii="Times New Roman" w:cs="Times New Roman" w:eastAsia="Times New Roman" w:hAnsi="Times New Roman"/>
          <w:sz w:val="20"/>
          <w:szCs w:val="20"/>
          <w:color w:val="auto"/>
        </w:rPr>
        <w:t>corporation or limited liability company, as applicable, in all jurisdictions in which the nature of its business or location of its properties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require such qualifications and where the failure to be qualified could reasonably be expected to have a Material Adverse Effect. Each Loan Party’s present name, former names (if any), locations, place of formation, Tax identification number (to the extent such Loan Party has a Tax</w:t>
      </w:r>
    </w:p>
    <w:p>
      <w:pPr>
        <w:ind w:right="20"/>
        <w:spacing w:after="0" w:line="221" w:lineRule="auto"/>
        <w:rPr>
          <w:sz w:val="20"/>
          <w:szCs w:val="20"/>
          <w:color w:val="auto"/>
        </w:rPr>
      </w:pPr>
      <w:r>
        <w:rPr>
          <w:rFonts w:ascii="Times New Roman" w:cs="Times New Roman" w:eastAsia="Times New Roman" w:hAnsi="Times New Roman"/>
          <w:sz w:val="20"/>
          <w:szCs w:val="20"/>
          <w:color w:val="auto"/>
        </w:rPr>
        <w:t>identification number), organizational identification number and other information are correctly set forth in Exhibit B, as may be updated by the Loan Parties in a written notice (including any Compliance Certificate) provided to Agent after the Closing Date.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Collateral. Each Loan Party owns the Collateral and the Intellectual Property, free of all Liens, except for Permitted Liens.</w:t>
      </w:r>
    </w:p>
    <w:p>
      <w:pPr>
        <w:spacing w:after="0"/>
        <w:rPr>
          <w:sz w:val="20"/>
          <w:szCs w:val="20"/>
          <w:color w:val="auto"/>
        </w:rPr>
      </w:pPr>
      <w:r>
        <w:rPr>
          <w:rFonts w:ascii="Times New Roman" w:cs="Times New Roman" w:eastAsia="Times New Roman" w:hAnsi="Times New Roman"/>
          <w:sz w:val="20"/>
          <w:szCs w:val="20"/>
          <w:color w:val="auto"/>
        </w:rPr>
        <w:t>Each Loan Party has the power and authority to grant to Agent a Lien in the Collateral as security for the Secured Obligations.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5.3 Consents. Each Loan Party’s execution, delivery and performance of this Agreement and all other Loan Documents, and Borrower’s execution of the Warrant, (i) have been duly authorized by all necessary corporate or limited liability company action of such</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Loan Party, (ii) will not result in the creation or imposition of any Lien upon the Collateral, other than Permitted Liens and the Liens created by this Agreement and the other Loan Documents, (iii) do not violate (A) any provisions of such Loan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24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Party’s Certificate or Articles of Incorporation or Articles of Organization (as applicable), bylaws, operating agreements, or (B) any, law, regulation, order, injunction, judgment, decree or writ to which such Loan Party is subject in any respect, and (iv) except as described 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5.4 Material Adverse Effect. No Material Adverse Effect has occurred and is continuing. No Loan Party is not aware of any event likely to occur that is reasonably expected to result in a Material Adverse Effect.</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5.5 Actions Before Governmental Authorities. There are no actions, suits or proceedings at law or in equity or by or before any governmental authority now pending or, to the knowledge of any Loan Party, threatened against or affecting any Loan Party or its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is reasonably expected to result in a Material Adverse Effect.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color w:val="auto"/>
        </w:rPr>
        <w:t>Laws.</w:t>
      </w:r>
    </w:p>
    <w:p>
      <w:pPr>
        <w:spacing w:after="0" w:line="175" w:lineRule="exact"/>
        <w:rPr>
          <w:sz w:val="20"/>
          <w:szCs w:val="20"/>
          <w:color w:val="auto"/>
        </w:rPr>
      </w:pPr>
    </w:p>
    <w:p>
      <w:pPr>
        <w:jc w:val="both"/>
        <w:ind w:left="660" w:firstLine="644"/>
        <w:spacing w:after="0" w:line="220" w:lineRule="auto"/>
        <w:tabs>
          <w:tab w:leader="none" w:pos="19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nor any of its Subsidiaries is in violation of any law, rule or regulation, or in default with respect to any judgment, writ, injunction or decree of any governmental authority, where such violation or default is reasonably expected to result in a Material Adverse Effect. No Loan Party is in default in any manner under any provision of any agreement or instrument evidencing material Indebtedness in any material respect, or any other material agreement to which it is a party or by which it is bound that is reasonably expected to result in a Material Adverse Effect.</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1" w:lineRule="auto"/>
        <w:tabs>
          <w:tab w:leader="none" w:pos="19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Borrower, any of its Subsidiaries, or, to the knowledge of the Borrower,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243"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activities in violation of any applicable anti-money laundering, economic sanctions and anti-bribery laws and regulations laws and regulations or (b) for any payment to any governmental official or employee, political party, official of a political party, candidate for</w:t>
      </w:r>
    </w:p>
    <w:p>
      <w:pPr>
        <w:ind w:left="660"/>
        <w:spacing w:after="0" w:line="228" w:lineRule="auto"/>
        <w:rPr>
          <w:sz w:val="20"/>
          <w:szCs w:val="20"/>
          <w:color w:val="auto"/>
        </w:rPr>
      </w:pPr>
      <w:r>
        <w:rPr>
          <w:rFonts w:ascii="Times New Roman" w:cs="Times New Roman" w:eastAsia="Times New Roman" w:hAnsi="Times New Roman"/>
          <w:sz w:val="20"/>
          <w:szCs w:val="20"/>
          <w:color w:val="auto"/>
        </w:rPr>
        <w:t>political office, or anyone else acting in an official capacity, in order to obtain, retain or direct business or obtain any improper advantage, in violation of the United States Foreign Corrupt Practices Act of 1977, as amended.</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5.7 Information Correct and Current. No information, report, Advance Request, financial statement, exhibit or schedule furnished, by or on behalf of the Borrower to Agent in connection with any Loan Document or included therein or delivered pursuant thereto</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contained, or, when taken as a whole, contains, or shall contain, any material misstatement of fact or, when taken together with all other such information or documents, omitted, omits or shall omit to state any material fact necessary to make the statements therein, in the light of the</w:t>
      </w:r>
    </w:p>
    <w:p>
      <w:pPr>
        <w:spacing w:after="0" w:line="222" w:lineRule="auto"/>
        <w:rPr>
          <w:sz w:val="20"/>
          <w:szCs w:val="20"/>
          <w:color w:val="auto"/>
        </w:rPr>
      </w:pPr>
      <w:r>
        <w:rPr>
          <w:rFonts w:ascii="Times New Roman" w:cs="Times New Roman" w:eastAsia="Times New Roman" w:hAnsi="Times New Roman"/>
          <w:sz w:val="19"/>
          <w:szCs w:val="19"/>
          <w:color w:val="auto"/>
        </w:rPr>
        <w:t>circumstances under which they were, are or shall be made, not materially misleading at the time such statement was made or deemed made.</w:t>
      </w:r>
    </w:p>
    <w:p>
      <w:pPr>
        <w:spacing w:after="0" w:line="204" w:lineRule="auto"/>
        <w:rPr>
          <w:sz w:val="20"/>
          <w:szCs w:val="20"/>
          <w:color w:val="auto"/>
        </w:rPr>
      </w:pPr>
      <w:r>
        <w:rPr>
          <w:rFonts w:ascii="Times New Roman" w:cs="Times New Roman" w:eastAsia="Times New Roman" w:hAnsi="Times New Roman"/>
          <w:sz w:val="20"/>
          <w:szCs w:val="20"/>
          <w:color w:val="auto"/>
        </w:rPr>
        <w:t>Additionally, any and all financial or business projections provided by the Borrower to Agent, whether prior to or after the Closing Date, shall be (i) provided in good faith and based on the most current data and information available to the Borrower, and (ii) the most current of</w:t>
      </w:r>
    </w:p>
    <w:p>
      <w:pPr>
        <w:spacing w:after="0" w:line="211" w:lineRule="auto"/>
        <w:rPr>
          <w:sz w:val="20"/>
          <w:szCs w:val="20"/>
          <w:color w:val="auto"/>
        </w:rPr>
      </w:pPr>
      <w:r>
        <w:rPr>
          <w:rFonts w:ascii="Times New Roman" w:cs="Times New Roman" w:eastAsia="Times New Roman" w:hAnsi="Times New Roman"/>
          <w:sz w:val="20"/>
          <w:szCs w:val="20"/>
          <w:color w:val="auto"/>
        </w:rPr>
        <w:t>such projections provided to the Borrower’s Board (it being understood that the projections and forecasts provided by the Borrower in good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faith and based upon reasonable assumptions are not viewed as facts, that such projections are subject to significant uncertainties and contingencies, many of which are beyond the control of the Borrower, that no assurance is given that any particular projections will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realized, and that actual results during the period or periods covered by such projections and forecasts may differ from the projected or forecasted results).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5.8 Tax Matters. Except as described on Schedule 5.8, (a) Borrower and its Subsidiaries have filed all federal and state income Tax returns and other material Tax returns that they are required to file, (b) Borrower and its Subsidiaries have duly paid all federal and state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income Taxes and other material Taxes or installments thereof that they are required to pay, except Taxes being contested in good faith by appropriate proceedings and for which Borrower and its Subsidiaries maintain adequate reserves in accordance with GAAP, and (c)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best of each Loan Party’s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5.9 Intellectual Property Claims. The Loan Parties are the sole owner of, or otherwise have the right to use, the Intellectual Property material to their business. Except as described on Schedule 5.9, and as may be updated by the Borrower in a written notice provided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from time to time after the Closing Date, (i) to the Loan Parties’ knowledge, each of the material Copyrights, Trademarks and Patents (other than patent applications) is valid and enforceable, (ii) no material part of the Intellectual Property has been judged invalid or unenforceable,</w:t>
      </w:r>
    </w:p>
    <w:p>
      <w:pPr>
        <w:spacing w:after="0" w:line="211" w:lineRule="auto"/>
        <w:rPr>
          <w:sz w:val="20"/>
          <w:szCs w:val="20"/>
          <w:color w:val="auto"/>
        </w:rPr>
      </w:pPr>
      <w:r>
        <w:rPr>
          <w:rFonts w:ascii="Times New Roman" w:cs="Times New Roman" w:eastAsia="Times New Roman" w:hAnsi="Times New Roman"/>
          <w:sz w:val="20"/>
          <w:szCs w:val="20"/>
          <w:color w:val="auto"/>
        </w:rPr>
        <w:t>in whole or in part, and (iii) except as set forth in the most recently delivered Compliance Certificate in accordance with Section 7.1(d), no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claim has been made to a Loan Party in writing that any material part of the Intellectual Property violates the rights of any third party. Exhibit C (and as may be updated by the Borrower in a written notice provided from time to time after the Closing Date) is a true, correct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complete list of each of the Loan Parties’ registered Patents and filed Patent applications, registered Trademarks, registered Copyrights, and material agreements under which a Loan Party licenses Intellectual Property from third parties (other than shrink-wrap software licenses,</w:t>
      </w:r>
    </w:p>
    <w:p>
      <w:pPr>
        <w:spacing w:after="0" w:line="211" w:lineRule="auto"/>
        <w:rPr>
          <w:sz w:val="20"/>
          <w:szCs w:val="20"/>
          <w:color w:val="auto"/>
        </w:rPr>
      </w:pPr>
      <w:r>
        <w:rPr>
          <w:rFonts w:ascii="Times New Roman" w:cs="Times New Roman" w:eastAsia="Times New Roman" w:hAnsi="Times New Roman"/>
          <w:sz w:val="20"/>
          <w:szCs w:val="20"/>
          <w:color w:val="auto"/>
        </w:rPr>
        <w:t>licenses that are commercially available to the public, open source licenses, licenses disclosed in writing to Agent as required under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and immaterial Intellectual Property licensed to a Loan party in the ordinary course of business), together with application or registration numbers, as applicable, owned by a Loan Party, in each case as of the Closing Date. The Loan Parties are not in material breach</w:t>
      </w:r>
    </w:p>
    <w:p>
      <w:pPr>
        <w:spacing w:after="0" w:line="211" w:lineRule="auto"/>
        <w:rPr>
          <w:sz w:val="20"/>
          <w:szCs w:val="20"/>
          <w:color w:val="auto"/>
        </w:rPr>
      </w:pPr>
      <w:r>
        <w:rPr>
          <w:rFonts w:ascii="Times New Roman" w:cs="Times New Roman" w:eastAsia="Times New Roman" w:hAnsi="Times New Roman"/>
          <w:sz w:val="20"/>
          <w:szCs w:val="20"/>
          <w:color w:val="auto"/>
        </w:rPr>
        <w:t>of, nor have the Loan Parties failed to perform any material obligations under, any of the foregoing contracts, licenses or agreements and,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Borrower’s knowledge, no third party to any such contract, license or agreement is in material breach thereof or has failed to perform any material obligations thereunder.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5.10 Intellectual Property. Except as described on Schedule 5.10, the Loan Parties have all material rights with respect to Intellectual Property necessary or material in the operation or conduct of the Loan Parties’ business as currently conducted and proposed to be conducted by Loan Parties. Without limiting the generality of the foregoing, and in the case of Licenses, except for restrictions that are unenforceable under Division 9 of the UCC, other applicable law, or restrictions that are permitted hereunder, the Loan Parties have the right, to the extent required to operate their business, to freely transfer, license or assign Intellectual Property necessary or material in the operation or conduct of their business as currently conducted and currently proposed to be conducted by them, without condition, restriction or payment of any kind (other than payments in the ordinary course of business) to any third party, and the Loan Parties own or have the right to use, pursuant to valid licenses, all software development tools, library functions, compilers and all other third-party software and other items that are material to their business and used in the design, development, promotion, sale, license, manufacture, import, export, use or distribution of Borrower Products that are material to the Loan Parties’ business except customary covenants in inbound license agreements and equipment leases where a Loan Party is the licensee or lessee. No material software or other material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could require disclosure or distribution in source code form.</w:t>
      </w:r>
    </w:p>
    <w:p>
      <w:pPr>
        <w:spacing w:after="0" w:line="18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5.11 Borrower Products. Except as described on Schedule 5.11, no material Intellectual Property owned by any Loan Party or Borrower Product has been or is subject to any actual or, to the knowledge of Borrower, threatened litigation, proceeding (including any</w:t>
      </w:r>
    </w:p>
    <w:p>
      <w:pPr>
        <w:spacing w:after="0" w:line="212" w:lineRule="auto"/>
        <w:rPr>
          <w:sz w:val="20"/>
          <w:szCs w:val="20"/>
          <w:color w:val="auto"/>
        </w:rPr>
      </w:pPr>
      <w:r>
        <w:rPr>
          <w:rFonts w:ascii="Times New Roman" w:cs="Times New Roman" w:eastAsia="Times New Roman" w:hAnsi="Times New Roman"/>
          <w:sz w:val="20"/>
          <w:szCs w:val="20"/>
          <w:color w:val="auto"/>
        </w:rPr>
        <w:t>proceeding in the United States Patent and Trademark Office or any corresponding foreign office or agency) or outstanding decree, order,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judgment, settlement agreement or stipulation that restricts in any manner Borrower’s use, transfer or licensing thereof or that may affect the validity, use or enforceability thereof. There is no decree, order, judgment, agreement, stipulation, arbitral award or other provision entered</w:t>
      </w:r>
    </w:p>
    <w:p>
      <w:pPr>
        <w:jc w:val="both"/>
        <w:spacing w:after="0" w:line="215" w:lineRule="auto"/>
        <w:rPr>
          <w:sz w:val="20"/>
          <w:szCs w:val="20"/>
          <w:color w:val="auto"/>
        </w:rPr>
      </w:pPr>
      <w:r>
        <w:rPr>
          <w:rFonts w:ascii="Times New Roman" w:cs="Times New Roman" w:eastAsia="Times New Roman" w:hAnsi="Times New Roman"/>
          <w:sz w:val="19"/>
          <w:szCs w:val="19"/>
          <w:color w:val="auto"/>
        </w:rPr>
        <w:t>into in connection with any litigation or proceeding that obligates any Loan Party to grant licenses or ownership interest in any future Intellectual Property related to the operation or conduct of the business of the Loan Parties or Borrower Products. No Loan Party has received</w:t>
      </w:r>
    </w:p>
    <w:p>
      <w:pPr>
        <w:spacing w:after="0" w:line="211" w:lineRule="auto"/>
        <w:rPr>
          <w:sz w:val="20"/>
          <w:szCs w:val="20"/>
          <w:color w:val="auto"/>
        </w:rPr>
      </w:pPr>
      <w:r>
        <w:rPr>
          <w:rFonts w:ascii="Times New Roman" w:cs="Times New Roman" w:eastAsia="Times New Roman" w:hAnsi="Times New Roman"/>
          <w:sz w:val="20"/>
          <w:szCs w:val="20"/>
          <w:color w:val="auto"/>
        </w:rPr>
        <w:t>any written notice or claim, or, to the knowledge of the Loan Parties, oral notice or claim, challenging or questioning any Loan Party’s</w:t>
      </w:r>
    </w:p>
    <w:p>
      <w:pPr>
        <w:jc w:val="both"/>
        <w:spacing w:after="0" w:line="204" w:lineRule="auto"/>
        <w:rPr>
          <w:sz w:val="20"/>
          <w:szCs w:val="20"/>
          <w:color w:val="auto"/>
        </w:rPr>
      </w:pPr>
      <w:r>
        <w:rPr>
          <w:rFonts w:ascii="Times New Roman" w:cs="Times New Roman" w:eastAsia="Times New Roman" w:hAnsi="Times New Roman"/>
          <w:sz w:val="20"/>
          <w:szCs w:val="20"/>
          <w:color w:val="auto"/>
        </w:rPr>
        <w:t>ownership in any material Intellectual Property (or written notice of any claim challenging or questioning the ownership in any licensed Intellectual Property of the owner thereof) or suggesting that any third party has any claim of legal or beneficial ownership with respect</w:t>
      </w:r>
    </w:p>
    <w:p>
      <w:pPr>
        <w:spacing w:after="0" w:line="211" w:lineRule="auto"/>
        <w:rPr>
          <w:sz w:val="20"/>
          <w:szCs w:val="20"/>
          <w:color w:val="auto"/>
        </w:rPr>
      </w:pPr>
      <w:r>
        <w:rPr>
          <w:rFonts w:ascii="Times New Roman" w:cs="Times New Roman" w:eastAsia="Times New Roman" w:hAnsi="Times New Roman"/>
          <w:sz w:val="20"/>
          <w:szCs w:val="20"/>
          <w:color w:val="auto"/>
        </w:rPr>
        <w:t>thereto nor, to any Loan Party’s knowledge, is there a reasonable basis for any such claim. To the Loan Parties’ knowledge, no Loan Party’s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use of its material Intellectual Property nor the production and sale of Borrower Products materially infringes the Intellectual Property or other rights of others.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5.12</w:t>
        <w:tab/>
        <w:t>Financial Accounts. Exhibit D, as may be updated by Loan Parties in a written notice provided to Agent after the Closing</w:t>
      </w:r>
    </w:p>
    <w:p>
      <w:pPr>
        <w:jc w:val="both"/>
        <w:spacing w:after="0" w:line="204" w:lineRule="auto"/>
        <w:rPr>
          <w:sz w:val="20"/>
          <w:szCs w:val="20"/>
          <w:color w:val="auto"/>
        </w:rPr>
      </w:pPr>
      <w:r>
        <w:rPr>
          <w:rFonts w:ascii="Times New Roman" w:cs="Times New Roman" w:eastAsia="Times New Roman" w:hAnsi="Times New Roman"/>
          <w:sz w:val="20"/>
          <w:szCs w:val="20"/>
          <w:color w:val="auto"/>
        </w:rPr>
        <w:t>Date, is a true, correct and complete list of (a) all banks and other financial institutions at which any Loan Party or any Subsidiary maintains Deposit Accounts and (b) all institutions at which any Loan Party or any Subsidiary maintains an account holding Investment Property, and</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such exhibit correctly identifies the name, address and telephone number of each bank or other institution, the name in which the account is held, a description of the purpose of the account, and the complete account number therefor.</w:t>
      </w:r>
    </w:p>
    <w:p>
      <w:pPr>
        <w:spacing w:after="0" w:line="14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5.13 Employee Loans. Other than loans constituting Permitted Investments, no Loan Party has outstanding loans to any employee, officer or director of such Loan Party nor has any Loan Party</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guaranteed the payment of any loan made to an employee, officer or director of such Loan by a third party.</w:t>
      </w:r>
    </w:p>
    <w:p>
      <w:pPr>
        <w:spacing w:after="0" w:line="175"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5.14 Capitalization and Subsidiaries. The Borrower’s capitalization as of the Closing Date is set forth on Schedule 5.14. The Loan Parties do not own any stock, partnership interest or other securities of any Person, except for Permitted Investments. Attached as Schedule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5.14, as may be updated by Loan Parties in a written notice provided after the Closing Date, is a true, correct and complete list of each Subsidiary of the Borrower.</w:t>
      </w:r>
    </w:p>
    <w:p>
      <w:pPr>
        <w:spacing w:after="0" w:line="15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INSURANCE; INDEMNIFICATION</w:t>
      </w:r>
    </w:p>
    <w:p>
      <w:pPr>
        <w:spacing w:after="0" w:line="193"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6.1 Coverage. The Loan Parties shall cause to be carried and maintained commercial general liability insurance, on an occurrence form, against risks customarily insured against in the Loan Parties’ line of business. Such risks shall include the risks of bodily</w:t>
      </w:r>
    </w:p>
    <w:p>
      <w:pPr>
        <w:spacing w:after="0" w:line="212" w:lineRule="auto"/>
        <w:rPr>
          <w:sz w:val="20"/>
          <w:szCs w:val="20"/>
          <w:color w:val="auto"/>
        </w:rPr>
      </w:pPr>
      <w:r>
        <w:rPr>
          <w:rFonts w:ascii="Times New Roman" w:cs="Times New Roman" w:eastAsia="Times New Roman" w:hAnsi="Times New Roman"/>
          <w:sz w:val="20"/>
          <w:szCs w:val="20"/>
          <w:color w:val="auto"/>
        </w:rPr>
        <w:t>injury, including death, property damage, personal injury, advertising injury, and contractual liability per the terms of the indemnification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found in Section 6.3. The Loan Parties must maintain a minimum of Two Million Dollars ($2,000,000) of commercial general liability insurance for each occurrence. The Loan Parties have and agree to maintain a minimum of Two Million Dollars ($2,000,000) of</w:t>
      </w:r>
    </w:p>
    <w:p>
      <w:pPr>
        <w:spacing w:after="0" w:line="211" w:lineRule="auto"/>
        <w:rPr>
          <w:sz w:val="20"/>
          <w:szCs w:val="20"/>
          <w:color w:val="auto"/>
        </w:rPr>
      </w:pPr>
      <w:r>
        <w:rPr>
          <w:rFonts w:ascii="Times New Roman" w:cs="Times New Roman" w:eastAsia="Times New Roman" w:hAnsi="Times New Roman"/>
          <w:sz w:val="20"/>
          <w:szCs w:val="20"/>
          <w:color w:val="auto"/>
        </w:rPr>
        <w:t>directors’ and officers’ insurance for each occurrence and Four Million Dollars ($4,000,000) in the aggregate. So long as there are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Secured Obligations outstanding, the Loan Parties shall also cause to be carried and maintained insurance upon the Collateral, insuring against all risks of physical loss or damage howsoever caused, in an amount not less than the full replacement cost of the Collateral, provided</w:t>
      </w:r>
    </w:p>
    <w:p>
      <w:pPr>
        <w:spacing w:after="0" w:line="211" w:lineRule="auto"/>
        <w:rPr>
          <w:sz w:val="20"/>
          <w:szCs w:val="20"/>
          <w:color w:val="auto"/>
        </w:rPr>
      </w:pPr>
      <w:r>
        <w:rPr>
          <w:rFonts w:ascii="Times New Roman" w:cs="Times New Roman" w:eastAsia="Times New Roman" w:hAnsi="Times New Roman"/>
          <w:sz w:val="20"/>
          <w:szCs w:val="20"/>
          <w:color w:val="auto"/>
        </w:rPr>
        <w:t>that such insurance may be subject to standard exceptions and deductibles. If the Loan Parties fail to obtain the insurance called for by this</w:t>
      </w:r>
    </w:p>
    <w:p>
      <w:pPr>
        <w:spacing w:after="0" w:line="215" w:lineRule="auto"/>
        <w:rPr>
          <w:sz w:val="20"/>
          <w:szCs w:val="20"/>
          <w:color w:val="auto"/>
        </w:rPr>
      </w:pPr>
      <w:r>
        <w:rPr>
          <w:rFonts w:ascii="Times New Roman" w:cs="Times New Roman" w:eastAsia="Times New Roman" w:hAnsi="Times New Roman"/>
          <w:sz w:val="19"/>
          <w:szCs w:val="19"/>
          <w:color w:val="auto"/>
        </w:rPr>
        <w:t>Section 6.1 or fails to pay any premium thereon or fails to pay any other amount which the Loan Parties are obligated to pay under this Agreement or any other Loan Document or which may be required to preserve the Collateral, Agent may obtain such insurance or make such</w:t>
      </w:r>
    </w:p>
    <w:p>
      <w:pPr>
        <w:spacing w:after="0" w:line="211" w:lineRule="auto"/>
        <w:rPr>
          <w:sz w:val="20"/>
          <w:szCs w:val="20"/>
          <w:color w:val="auto"/>
        </w:rPr>
      </w:pPr>
      <w:r>
        <w:rPr>
          <w:rFonts w:ascii="Times New Roman" w:cs="Times New Roman" w:eastAsia="Times New Roman" w:hAnsi="Times New Roman"/>
          <w:sz w:val="20"/>
          <w:szCs w:val="20"/>
          <w:color w:val="auto"/>
        </w:rPr>
        <w:t>payment, and all amounts so paid by Agent are immediately due and payable, bearing interest at the then highest rate applicable to the</w:t>
      </w:r>
    </w:p>
    <w:p>
      <w:pPr>
        <w:spacing w:after="0" w:line="204" w:lineRule="auto"/>
        <w:rPr>
          <w:sz w:val="20"/>
          <w:szCs w:val="20"/>
          <w:color w:val="auto"/>
        </w:rPr>
      </w:pPr>
      <w:r>
        <w:rPr>
          <w:rFonts w:ascii="Times New Roman" w:cs="Times New Roman" w:eastAsia="Times New Roman" w:hAnsi="Times New Roman"/>
          <w:sz w:val="20"/>
          <w:szCs w:val="20"/>
          <w:color w:val="auto"/>
        </w:rPr>
        <w:t>Secured Obligations, and secured by the Collateral. Agent will make reasonable efforts to provide Borrower with notice of Agent obtaining such insurance at the time it is obtained or within a reasonable time thereafter. No payments by Agent are deemed an agreement to make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payments in the future or Agent’s waiver of any Event of Default.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6.2 Certificates. The Loan Parties shall deliver to Agent certificates of insurance that evidence their compliance with its insurance obligations in Section 6.1 and the obligations contained in this Section 6.2. The Loan Parties’ insurance certificate shall state Agent</w:t>
      </w:r>
    </w:p>
    <w:p>
      <w:pPr>
        <w:spacing w:after="0" w:line="212" w:lineRule="auto"/>
        <w:rPr>
          <w:sz w:val="20"/>
          <w:szCs w:val="20"/>
          <w:color w:val="auto"/>
        </w:rPr>
      </w:pPr>
      <w:r>
        <w:rPr>
          <w:rFonts w:ascii="Times New Roman" w:cs="Times New Roman" w:eastAsia="Times New Roman" w:hAnsi="Times New Roman"/>
          <w:sz w:val="20"/>
          <w:szCs w:val="20"/>
          <w:color w:val="auto"/>
        </w:rPr>
        <w:t>(shown as “Hercules Capital, Inc., as Agent”) is an additional insured for commercial general liability, a lenders loss payable for all risk</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property damage insurance, subject to the insurer’s approval, and a lenders loss payable for property insurance and additional insured for liability insurance for any future insurance that the Loan Parties may acquire from such insurer. Attached to the certificates of insurance will</w:t>
      </w:r>
    </w:p>
    <w:p>
      <w:pPr>
        <w:spacing w:after="0" w:line="211" w:lineRule="auto"/>
        <w:rPr>
          <w:sz w:val="20"/>
          <w:szCs w:val="20"/>
          <w:color w:val="auto"/>
        </w:rPr>
      </w:pPr>
      <w:r>
        <w:rPr>
          <w:rFonts w:ascii="Times New Roman" w:cs="Times New Roman" w:eastAsia="Times New Roman" w:hAnsi="Times New Roman"/>
          <w:sz w:val="20"/>
          <w:szCs w:val="20"/>
          <w:color w:val="auto"/>
        </w:rPr>
        <w:t>be additional insured endorsements for liability and lender’s loss payable endorsements for all risk property damage insurance. All</w:t>
      </w:r>
    </w:p>
    <w:p>
      <w:pPr>
        <w:spacing w:after="0" w:line="215" w:lineRule="auto"/>
        <w:rPr>
          <w:sz w:val="20"/>
          <w:szCs w:val="20"/>
          <w:color w:val="auto"/>
        </w:rPr>
      </w:pPr>
      <w:r>
        <w:rPr>
          <w:rFonts w:ascii="Times New Roman" w:cs="Times New Roman" w:eastAsia="Times New Roman" w:hAnsi="Times New Roman"/>
          <w:sz w:val="19"/>
          <w:szCs w:val="19"/>
          <w:color w:val="auto"/>
        </w:rPr>
        <w:t>certificates of insurance will provide for a minimum of thirty (30) days advance written notice to Agent of cancellation (other than cancellation for non-payment of premiums, for which ten (10) days’ advance written notice shall be sufficient) or any other change adverse to</w:t>
      </w:r>
    </w:p>
    <w:p>
      <w:pPr>
        <w:spacing w:after="0" w:line="215" w:lineRule="auto"/>
        <w:rPr>
          <w:sz w:val="20"/>
          <w:szCs w:val="20"/>
          <w:color w:val="auto"/>
        </w:rPr>
      </w:pPr>
      <w:r>
        <w:rPr>
          <w:rFonts w:ascii="Times New Roman" w:cs="Times New Roman" w:eastAsia="Times New Roman" w:hAnsi="Times New Roman"/>
          <w:sz w:val="19"/>
          <w:szCs w:val="19"/>
          <w:color w:val="auto"/>
        </w:rPr>
        <w:t>Agent’s interests. Any failure of Agent to scrutinize such insurance certificates for compliance is not a waiver of any of Agent’s rights, all of which are reserved. Upon Agent’s request, the Loan Parties shall provide Agent with copies of each insurance policy. The Loan Parties agree</w:t>
      </w:r>
    </w:p>
    <w:p>
      <w:pPr>
        <w:spacing w:after="0" w:line="228" w:lineRule="auto"/>
        <w:rPr>
          <w:sz w:val="20"/>
          <w:szCs w:val="20"/>
          <w:color w:val="auto"/>
        </w:rPr>
      </w:pPr>
      <w:r>
        <w:rPr>
          <w:rFonts w:ascii="Times New Roman" w:cs="Times New Roman" w:eastAsia="Times New Roman" w:hAnsi="Times New Roman"/>
          <w:sz w:val="20"/>
          <w:szCs w:val="20"/>
          <w:color w:val="auto"/>
        </w:rPr>
        <w:t>that upon entering or amending any insurance policy required hereunder, Loan Parties shall provide Agent with copies of such policies and shall promptly deliver to Agent updated insurance certificates with respect to such policies.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6.3 Indemnity. Each Loan Party agrees to indemnify and hold Agent, Lender and their officers, directors, employees, agents, in-house attorneys, representatives and shareholders (each, an “Indemnified Person”) harmless from and against any and all claims, costs,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expenses, damages and liabilities (including such claims, costs, expenses, damages and liabilities based on liability in tort, including strict liability in tort), including reasonable attorneys’ fees and disbursements and other costs of investigation or defense (including those incurred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any appeal) (collectively, “Liabilities”), that may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4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be instituted or asserted against or incurred by such Indemnified Person as the result of credit having been extended, suspended or terminated under this Agreement and the other Loan Documents or the administration of such credit, or in connection with or arising out of the</w:t>
      </w:r>
    </w:p>
    <w:p>
      <w:pPr>
        <w:spacing w:after="0" w:line="222" w:lineRule="auto"/>
        <w:rPr>
          <w:sz w:val="20"/>
          <w:szCs w:val="20"/>
          <w:color w:val="auto"/>
        </w:rPr>
      </w:pPr>
      <w:r>
        <w:rPr>
          <w:rFonts w:ascii="Times New Roman" w:cs="Times New Roman" w:eastAsia="Times New Roman" w:hAnsi="Times New Roman"/>
          <w:sz w:val="19"/>
          <w:szCs w:val="19"/>
          <w:color w:val="auto"/>
        </w:rPr>
        <w:t>transactions contemplated hereunder and thereunder, or any actions or failures to act in connection therewith, or arising out of the disposition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w:t>
      </w:r>
    </w:p>
    <w:p>
      <w:pPr>
        <w:spacing w:after="0" w:line="211" w:lineRule="auto"/>
        <w:rPr>
          <w:sz w:val="20"/>
          <w:szCs w:val="20"/>
          <w:color w:val="auto"/>
        </w:rPr>
      </w:pPr>
      <w:r>
        <w:rPr>
          <w:rFonts w:ascii="Times New Roman" w:cs="Times New Roman" w:eastAsia="Times New Roman" w:hAnsi="Times New Roman"/>
          <w:sz w:val="20"/>
          <w:szCs w:val="20"/>
          <w:color w:val="auto"/>
        </w:rPr>
        <w:t>arising from any non-Tax claim. In no event shall any Indemnified Person be liable on any theory of liability for any special, indirect,</w:t>
      </w:r>
    </w:p>
    <w:p>
      <w:pPr>
        <w:spacing w:after="0" w:line="204" w:lineRule="auto"/>
        <w:rPr>
          <w:sz w:val="20"/>
          <w:szCs w:val="20"/>
          <w:color w:val="auto"/>
        </w:rPr>
      </w:pPr>
      <w:r>
        <w:rPr>
          <w:rFonts w:ascii="Times New Roman" w:cs="Times New Roman" w:eastAsia="Times New Roman" w:hAnsi="Times New Roman"/>
          <w:sz w:val="20"/>
          <w:szCs w:val="20"/>
          <w:color w:val="auto"/>
        </w:rPr>
        <w:t>consequential or punitive damages (including any loss of profits, business or anticipated savings). This Section 6.3 shall survive the repayment of indebtedness under, and otherwise shall survive the expiration or other termination of, this Agreement, in each case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applicable statute of limitations.</w:t>
      </w:r>
    </w:p>
    <w:p>
      <w:pPr>
        <w:spacing w:after="0" w:line="16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COVENANTS OF BORROWER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agrees as follows: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color w:val="auto"/>
        </w:rPr>
        <w:t>Financial Reports. Borrower shall furnish to Agent the financial statements and reports listed hereinafter (the “Financial</w:t>
      </w:r>
    </w:p>
    <w:p>
      <w:pPr>
        <w:spacing w:after="0"/>
        <w:rPr>
          <w:sz w:val="20"/>
          <w:szCs w:val="20"/>
          <w:color w:val="auto"/>
        </w:rPr>
      </w:pPr>
      <w:r>
        <w:rPr>
          <w:rFonts w:ascii="Times New Roman" w:cs="Times New Roman" w:eastAsia="Times New Roman" w:hAnsi="Times New Roman"/>
          <w:sz w:val="20"/>
          <w:szCs w:val="20"/>
          <w:color w:val="auto"/>
        </w:rPr>
        <w:t>Statements”):</w:t>
      </w:r>
    </w:p>
    <w:p>
      <w:pPr>
        <w:spacing w:after="0" w:line="153" w:lineRule="exact"/>
        <w:rPr>
          <w:sz w:val="20"/>
          <w:szCs w:val="20"/>
          <w:color w:val="auto"/>
        </w:rPr>
      </w:pPr>
    </w:p>
    <w:p>
      <w:pPr>
        <w:jc w:val="both"/>
        <w:ind w:left="660" w:firstLine="644"/>
        <w:spacing w:after="0" w:line="215" w:lineRule="auto"/>
        <w:tabs>
          <w:tab w:leader="none" w:pos="19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 Monthly Financials Trigger Period, as soon as practicable and in any event within forty-five (45) days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any Loan Party)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15" w:lineRule="auto"/>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forty-five (45)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any Loan Party)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50" w:lineRule="exact"/>
        <w:rPr>
          <w:rFonts w:ascii="Times New Roman" w:cs="Times New Roman" w:eastAsia="Times New Roman" w:hAnsi="Times New Roman"/>
          <w:sz w:val="20"/>
          <w:szCs w:val="20"/>
          <w:color w:val="auto"/>
        </w:rPr>
      </w:pPr>
    </w:p>
    <w:p>
      <w:pPr>
        <w:jc w:val="both"/>
        <w:ind w:left="660" w:firstLine="644"/>
        <w:spacing w:after="0" w:line="216" w:lineRule="auto"/>
        <w:tabs>
          <w:tab w:leader="none" w:pos="19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ninety (90) days after the end of each fiscal year, unqualified (other than as to going concern qualification)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w:t>
      </w:r>
    </w:p>
    <w:p>
      <w:pPr>
        <w:spacing w:after="0" w:line="162"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thirty (30) days) after the end of each month, a Compliance Certificate in the form of Exhibit E;</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thirty (30) days) after the end of each month, a report showing agings of accounts receivable and accounts payable;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43" w:lineRule="exact"/>
        <w:rPr>
          <w:sz w:val="20"/>
          <w:szCs w:val="20"/>
          <w:color w:val="auto"/>
        </w:rPr>
      </w:pPr>
    </w:p>
    <w:p>
      <w:pPr>
        <w:jc w:val="both"/>
        <w:ind w:left="660" w:firstLine="644"/>
        <w:spacing w:after="0" w:line="222" w:lineRule="auto"/>
        <w:tabs>
          <w:tab w:leader="none" w:pos="1951"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sending or filing thereof, as the case may be, copies of any proxy statements, financial statements or material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48" w:lineRule="exact"/>
        <w:rPr>
          <w:rFonts w:ascii="Times New Roman" w:cs="Times New Roman" w:eastAsia="Times New Roman" w:hAnsi="Times New Roman"/>
          <w:sz w:val="20"/>
          <w:szCs w:val="20"/>
          <w:color w:val="auto"/>
        </w:rPr>
      </w:pPr>
    </w:p>
    <w:p>
      <w:pPr>
        <w:ind w:left="660" w:right="20" w:firstLine="644"/>
        <w:spacing w:after="0"/>
        <w:tabs>
          <w:tab w:leader="none" w:pos="194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same time and in the same manner as provided to the investors of the Borrower that are not members of the Borrower’s Board, such materials prepared and provided by the Borrower on a quarterly basis to such investors;</w:t>
      </w:r>
    </w:p>
    <w:p>
      <w:pPr>
        <w:spacing w:after="0" w:line="14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and business projections promptly following their approval by Borrower’s Board, and in any event, sixty</w:t>
      </w:r>
    </w:p>
    <w:p>
      <w:pPr>
        <w:ind w:left="1060" w:hanging="404"/>
        <w:spacing w:after="0" w:line="211" w:lineRule="auto"/>
        <w:tabs>
          <w:tab w:leader="none" w:pos="10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end of Borrower’s fiscal year, as well as budgets, operating plans and other financial information reasonably</w:t>
      </w:r>
    </w:p>
    <w:p>
      <w:pPr>
        <w:ind w:left="660"/>
        <w:spacing w:after="0"/>
        <w:rPr>
          <w:sz w:val="20"/>
          <w:szCs w:val="20"/>
          <w:color w:val="auto"/>
        </w:rPr>
      </w:pPr>
      <w:r>
        <w:rPr>
          <w:rFonts w:ascii="Times New Roman" w:cs="Times New Roman" w:eastAsia="Times New Roman" w:hAnsi="Times New Roman"/>
          <w:sz w:val="20"/>
          <w:szCs w:val="20"/>
          <w:color w:val="auto"/>
        </w:rPr>
        <w:t>requested by Agent;</w:t>
      </w:r>
    </w:p>
    <w:p>
      <w:pPr>
        <w:spacing w:after="0" w:line="167" w:lineRule="exact"/>
        <w:rPr>
          <w:sz w:val="20"/>
          <w:szCs w:val="20"/>
          <w:color w:val="auto"/>
        </w:rPr>
      </w:pPr>
    </w:p>
    <w:p>
      <w:pPr>
        <w:jc w:val="both"/>
        <w:ind w:left="660" w:firstLine="644"/>
        <w:spacing w:after="0" w:line="226" w:lineRule="auto"/>
        <w:tabs>
          <w:tab w:leader="none" w:pos="195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forty-five (45) days) after the end of each quarter, a key performance indicator report consisting of the following: unit sales and average sales price by product and customer type, bookings reports, and such other key performance indicators as reasonably requested by Lender; and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5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 (but in any event no more than three (3) Business Days) notice if Borrower or any Subsidiary has knowledge that Borrower, or any Subsidiary or controlled Affiliate of Borrower, is listed on the OFAC Lists or (a) is convicted on, (b) pleads </w:t>
      </w:r>
      <w:r>
        <w:rPr>
          <w:rFonts w:ascii="Times New Roman" w:cs="Times New Roman" w:eastAsia="Times New Roman" w:hAnsi="Times New Roman"/>
          <w:sz w:val="20"/>
          <w:szCs w:val="20"/>
          <w:i w:val="1"/>
          <w:iCs w:val="1"/>
          <w:color w:val="auto"/>
        </w:rPr>
        <w:t xml:space="preserve">nolo contendere </w:t>
      </w:r>
      <w:r>
        <w:rPr>
          <w:rFonts w:ascii="Times New Roman" w:cs="Times New Roman" w:eastAsia="Times New Roman" w:hAnsi="Times New Roman"/>
          <w:sz w:val="20"/>
          <w:szCs w:val="20"/>
          <w:color w:val="auto"/>
        </w:rPr>
        <w:t>to, (c) is indicted on, or (d) is arraigned and held over on charges involving money laundering or predicate crimes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money laundering.</w:t>
      </w:r>
    </w:p>
    <w:p>
      <w:pPr>
        <w:spacing w:after="0" w:line="148" w:lineRule="exact"/>
        <w:rPr>
          <w:sz w:val="20"/>
          <w:szCs w:val="20"/>
          <w:color w:val="auto"/>
        </w:rPr>
      </w:pPr>
    </w:p>
    <w:p>
      <w:pPr>
        <w:jc w:val="both"/>
        <w:ind w:left="500" w:hanging="285"/>
        <w:spacing w:after="0" w:line="230" w:lineRule="auto"/>
        <w:rPr>
          <w:sz w:val="20"/>
          <w:szCs w:val="20"/>
          <w:color w:val="auto"/>
        </w:rPr>
      </w:pPr>
      <w:r>
        <w:rPr>
          <w:rFonts w:ascii="Times New Roman" w:cs="Times New Roman" w:eastAsia="Times New Roman" w:hAnsi="Times New Roman"/>
          <w:sz w:val="20"/>
          <w:szCs w:val="20"/>
          <w:color w:val="auto"/>
        </w:rPr>
        <w:t>No Loan Party shall make any change in its (a) accounting policies or reporting practices (other than as permitted under GAAP or pursuant to applicable securities laws or regulations of the SEC), or (b) fiscal years or fiscal quarters. The fiscal year of Borrower shall end on December 31.</w:t>
      </w:r>
    </w:p>
    <w:p>
      <w:pPr>
        <w:spacing w:after="0" w:line="149" w:lineRule="exact"/>
        <w:rPr>
          <w:sz w:val="20"/>
          <w:szCs w:val="20"/>
          <w:color w:val="auto"/>
        </w:rPr>
      </w:pPr>
    </w:p>
    <w:p>
      <w:pPr>
        <w:jc w:val="right"/>
        <w:ind w:left="220"/>
        <w:spacing w:after="0" w:line="214" w:lineRule="auto"/>
        <w:rPr>
          <w:sz w:val="20"/>
          <w:szCs w:val="20"/>
          <w:color w:val="auto"/>
        </w:rPr>
      </w:pPr>
      <w:r>
        <w:rPr>
          <w:rFonts w:ascii="Times New Roman" w:cs="Times New Roman" w:eastAsia="Times New Roman" w:hAnsi="Times New Roman"/>
          <w:sz w:val="20"/>
          <w:szCs w:val="20"/>
          <w:color w:val="auto"/>
        </w:rPr>
        <w:t>The executed Compliance Certificate, and all Financial Statements required to be delivered pursuant to clauses (a), (b), (c) and (d) shall be sent via e-mail to financialstatements@htgc.com with a copy to legal@htgc.com and lkulchenko@htgc.com provided, that if e-mail is not available or sending such Financial Statements via e-mail is not possible, they shall be faxed to Agent at: (650) 473-9194, attention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Account Manager: Ouster, Inc.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Notwithstanding the foregoing, documents required to be delivered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xml:space="preserve"> (to the extent any such documents are included in materials</w:t>
      </w:r>
    </w:p>
    <w:p>
      <w:pPr>
        <w:spacing w:after="0" w:line="221" w:lineRule="auto"/>
        <w:rPr>
          <w:sz w:val="20"/>
          <w:szCs w:val="20"/>
          <w:color w:val="auto"/>
        </w:rPr>
      </w:pPr>
      <w:r>
        <w:rPr>
          <w:rFonts w:ascii="Times New Roman" w:cs="Times New Roman" w:eastAsia="Times New Roman" w:hAnsi="Times New Roman"/>
          <w:sz w:val="20"/>
          <w:szCs w:val="20"/>
          <w:color w:val="auto"/>
        </w:rPr>
        <w:t>otherwise filed with the SEC) may be delivered electronically and if so delivered, shall be deemed to have been delivered on the date on which Borrower makes such documents or materials publicly available.</w:t>
      </w:r>
    </w:p>
    <w:p>
      <w:pPr>
        <w:spacing w:after="0" w:line="2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Management Rights. The Loan Parties shall permit any representative that Agent or the Lenders authorizes, including its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attorneys and accountants, to inspect the Collateral and examine and make copies and abstracts of the books of account and records of the Loan Parties at reasonable times and upon reasonable notice during normal business hours;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so long as no Event of</w:t>
      </w:r>
    </w:p>
    <w:p>
      <w:pPr>
        <w:spacing w:after="0" w:line="211" w:lineRule="auto"/>
        <w:rPr>
          <w:sz w:val="20"/>
          <w:szCs w:val="20"/>
          <w:color w:val="auto"/>
        </w:rPr>
      </w:pPr>
      <w:r>
        <w:rPr>
          <w:rFonts w:ascii="Times New Roman" w:cs="Times New Roman" w:eastAsia="Times New Roman" w:hAnsi="Times New Roman"/>
          <w:sz w:val="20"/>
          <w:szCs w:val="20"/>
          <w:color w:val="auto"/>
        </w:rPr>
        <w:t>Default has occurred and is continuing, such examinations shall be limited to no more often than once per fiscal year. In addition, any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representative shall have the right to meet with management and officers of the Loan Parties to discuss such books of account and records. In addition, Agent or the Lenders shall be entitled at reasonable times and intervals to consult with and advise the management and officers of</w:t>
      </w:r>
    </w:p>
    <w:p>
      <w:pPr>
        <w:spacing w:after="0" w:line="211" w:lineRule="auto"/>
        <w:rPr>
          <w:sz w:val="20"/>
          <w:szCs w:val="20"/>
          <w:color w:val="auto"/>
        </w:rPr>
      </w:pPr>
      <w:r>
        <w:rPr>
          <w:rFonts w:ascii="Times New Roman" w:cs="Times New Roman" w:eastAsia="Times New Roman" w:hAnsi="Times New Roman"/>
          <w:sz w:val="20"/>
          <w:szCs w:val="20"/>
          <w:color w:val="auto"/>
        </w:rPr>
        <w:t>the Loan Parties concerning significant business issues affecting the Loan Parties. Such consultations shall not unreasonably interfere with</w:t>
      </w:r>
    </w:p>
    <w:p>
      <w:pPr>
        <w:spacing w:after="0" w:line="215" w:lineRule="auto"/>
        <w:rPr>
          <w:sz w:val="20"/>
          <w:szCs w:val="20"/>
          <w:color w:val="auto"/>
        </w:rPr>
      </w:pPr>
      <w:r>
        <w:rPr>
          <w:rFonts w:ascii="Times New Roman" w:cs="Times New Roman" w:eastAsia="Times New Roman" w:hAnsi="Times New Roman"/>
          <w:sz w:val="19"/>
          <w:szCs w:val="19"/>
          <w:color w:val="auto"/>
        </w:rPr>
        <w:t>the Loan Parties’ business operations. The parties intend that the rights granted Agent and the Lenders shall constitute “management rights” within the meaning of 29 C.F.R. Section 2510.3-101(d)(3)(ii), but that any advice, recommendations or participation by Agent or the Lenders</w:t>
      </w:r>
    </w:p>
    <w:p>
      <w:pPr>
        <w:spacing w:after="0"/>
        <w:rPr>
          <w:sz w:val="20"/>
          <w:szCs w:val="20"/>
          <w:color w:val="auto"/>
        </w:rPr>
      </w:pPr>
      <w:r>
        <w:rPr>
          <w:rFonts w:ascii="Times New Roman" w:cs="Times New Roman" w:eastAsia="Times New Roman" w:hAnsi="Times New Roman"/>
          <w:sz w:val="20"/>
          <w:szCs w:val="20"/>
          <w:color w:val="auto"/>
        </w:rPr>
        <w:t>with respect to any business issues shall not be deemed to give Agent or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nor be deemed an exercise by Agent or the Lenders of, control over the Loan Parties’ management or policies.</w:t>
      </w:r>
    </w:p>
    <w:p>
      <w:pPr>
        <w:spacing w:after="0" w:line="17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7.3 Further Assurances. Each Loan Party shall from time to time execute, deliver and file, alone or with Agent, any financing statements, security agreements, collateral assignments, notices, control agreements, or other documents to perfect or give the highest priority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Agent’s Lien on the Collateral. Each Loan Party shall from time to time procure any instruments or documents as may be reasonably requested by Agent, and take all further action that may be necessary, or that Agent may reasonably request, to perfect and protect the Liens</w:t>
      </w:r>
    </w:p>
    <w:p>
      <w:pPr>
        <w:spacing w:after="0" w:line="211" w:lineRule="auto"/>
        <w:rPr>
          <w:sz w:val="20"/>
          <w:szCs w:val="20"/>
          <w:color w:val="auto"/>
        </w:rPr>
      </w:pPr>
      <w:r>
        <w:rPr>
          <w:rFonts w:ascii="Times New Roman" w:cs="Times New Roman" w:eastAsia="Times New Roman" w:hAnsi="Times New Roman"/>
          <w:sz w:val="20"/>
          <w:szCs w:val="20"/>
          <w:color w:val="auto"/>
        </w:rPr>
        <w:t>granted hereby and thereby. In addition, and for such purposes only, each Loan Party hereby authorizes Agent to execute and deliver on 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behalf and to file such financing statements (including an indication that the financing statement covers “all assets or all personal property” of such Loan Party in accordance with Section 9-504 of the UCC) without the signature of the Loan Parties either in Agent’s name or in the</w:t>
      </w:r>
    </w:p>
    <w:p>
      <w:pPr>
        <w:spacing w:after="0" w:line="211" w:lineRule="auto"/>
        <w:rPr>
          <w:sz w:val="20"/>
          <w:szCs w:val="20"/>
          <w:color w:val="auto"/>
        </w:rPr>
      </w:pPr>
      <w:r>
        <w:rPr>
          <w:rFonts w:ascii="Times New Roman" w:cs="Times New Roman" w:eastAsia="Times New Roman" w:hAnsi="Times New Roman"/>
          <w:sz w:val="20"/>
          <w:szCs w:val="20"/>
          <w:color w:val="auto"/>
        </w:rPr>
        <w:t>name of Agent as agent and attorney-in-fact for the Loan Parties. Each Loan Party shall in good faith and in its reasonable commercial</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discretion, in each case subject to the terms of this Agreement, protect and defend its title to the Collateral and Agent’s Lien thereon against all Persons claiming any interest adverse to such Loan Party or Agent other than Permitted Liens.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color w:val="auto"/>
        </w:rPr>
        <w:t>Indebtedness. No Loan Party shall create, incur, assume, guarantee nor be or remain liable with respect to any Indebtedness,</w:t>
      </w:r>
    </w:p>
    <w:p>
      <w:pPr>
        <w:spacing w:after="0" w:line="204" w:lineRule="auto"/>
        <w:rPr>
          <w:sz w:val="20"/>
          <w:szCs w:val="20"/>
          <w:color w:val="auto"/>
        </w:rPr>
      </w:pPr>
      <w:r>
        <w:rPr>
          <w:rFonts w:ascii="Times New Roman" w:cs="Times New Roman" w:eastAsia="Times New Roman" w:hAnsi="Times New Roman"/>
          <w:sz w:val="20"/>
          <w:szCs w:val="20"/>
          <w:color w:val="auto"/>
        </w:rPr>
        <w:t>or permit any Subsidiary so to do, other than Permitted Indebtedness, or prepay any Indebtedness or take any actions which impose on any Loan Party an obligation to prepay any Indebtedness, except (a) for the conversion of Indebtedness into equity securities and the payment of</w:t>
      </w:r>
    </w:p>
    <w:p>
      <w:pPr>
        <w:spacing w:after="0" w:line="211" w:lineRule="auto"/>
        <w:rPr>
          <w:sz w:val="20"/>
          <w:szCs w:val="20"/>
          <w:color w:val="auto"/>
        </w:rPr>
      </w:pPr>
      <w:r>
        <w:rPr>
          <w:rFonts w:ascii="Times New Roman" w:cs="Times New Roman" w:eastAsia="Times New Roman" w:hAnsi="Times New Roman"/>
          <w:sz w:val="20"/>
          <w:szCs w:val="20"/>
          <w:color w:val="auto"/>
        </w:rPr>
        <w:t>cash in lieu of fractional shares in connection with such conversion, (b) for purchase money Indebtedness pursuant to its then-applicable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payment schedule or with other purchase money Indebtedness permitted hereunder, (c) for prepayment by (i) any Loan Party or Subsidiary of intercompany Indebtedness owed to Borrower, or (ii) by any Subsidiary that is not a Loan Party of intercompany Indebtedness owed by such</w:t>
      </w:r>
    </w:p>
    <w:p>
      <w:pPr>
        <w:spacing w:after="0" w:line="211" w:lineRule="auto"/>
        <w:rPr>
          <w:sz w:val="20"/>
          <w:szCs w:val="20"/>
          <w:color w:val="auto"/>
        </w:rPr>
      </w:pPr>
      <w:r>
        <w:rPr>
          <w:rFonts w:ascii="Times New Roman" w:cs="Times New Roman" w:eastAsia="Times New Roman" w:hAnsi="Times New Roman"/>
          <w:sz w:val="20"/>
          <w:szCs w:val="20"/>
          <w:color w:val="auto"/>
        </w:rPr>
        <w:t>Subsidiary to another Subsidiary that is not a Loan Party, (d) as may be permitted under the subordination agreement governing such</w:t>
      </w:r>
    </w:p>
    <w:p>
      <w:pPr>
        <w:spacing w:after="0" w:line="204" w:lineRule="auto"/>
        <w:rPr>
          <w:sz w:val="20"/>
          <w:szCs w:val="20"/>
          <w:color w:val="auto"/>
        </w:rPr>
      </w:pPr>
      <w:r>
        <w:rPr>
          <w:rFonts w:ascii="Times New Roman" w:cs="Times New Roman" w:eastAsia="Times New Roman" w:hAnsi="Times New Roman"/>
          <w:sz w:val="20"/>
          <w:szCs w:val="20"/>
          <w:color w:val="auto"/>
        </w:rPr>
        <w:t>Subordinated Indebtedness, (e) as otherwise permitted hereunder or approved in writing by Agent, and (f) Permitted Indebtedness with the proceeds of other Permitted Indebtedness. Notwithstanding anything to the contrary in the foregoing, the issuance of, performance of</w:t>
      </w:r>
    </w:p>
    <w:p>
      <w:pPr>
        <w:spacing w:after="0" w:line="211" w:lineRule="auto"/>
        <w:rPr>
          <w:sz w:val="20"/>
          <w:szCs w:val="20"/>
          <w:color w:val="auto"/>
        </w:rPr>
      </w:pPr>
      <w:r>
        <w:rPr>
          <w:rFonts w:ascii="Times New Roman" w:cs="Times New Roman" w:eastAsia="Times New Roman" w:hAnsi="Times New Roman"/>
          <w:sz w:val="20"/>
          <w:szCs w:val="20"/>
          <w:color w:val="auto"/>
        </w:rPr>
        <w:t>obligations under (including any payments of interest), and conversion, exercise, repurchase, redemption (including, for the avoidance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doubt, a required repurchase in connection with the redemption of Permitted Convertible Debt upon satisfaction of a condition related to the stock price of Borrower’s common stock), settlement or early termination or cancellation of (whether in whole or in part and including by</w:t>
      </w:r>
    </w:p>
    <w:p>
      <w:pPr>
        <w:spacing w:after="0" w:line="211" w:lineRule="auto"/>
        <w:rPr>
          <w:sz w:val="20"/>
          <w:szCs w:val="20"/>
          <w:color w:val="auto"/>
        </w:rPr>
      </w:pPr>
      <w:r>
        <w:rPr>
          <w:rFonts w:ascii="Times New Roman" w:cs="Times New Roman" w:eastAsia="Times New Roman" w:hAnsi="Times New Roman"/>
          <w:sz w:val="20"/>
          <w:szCs w:val="20"/>
          <w:color w:val="auto"/>
        </w:rPr>
        <w:t>netting or set-off) (in each case, whether in cash, common stock of Borrower or, following a merger event or other change of the common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stock of Borrower, other securities or property), or the satisfaction of any condition that would permit or require any of the foregoing, any Permitted Convertible Debt shall not constitute a prepayment of Indebtedness by Borrower for the purposes of this Section 7.4 provided that</w:t>
      </w:r>
    </w:p>
    <w:p>
      <w:pPr>
        <w:spacing w:after="0" w:line="223" w:lineRule="auto"/>
        <w:rPr>
          <w:sz w:val="20"/>
          <w:szCs w:val="20"/>
          <w:color w:val="auto"/>
        </w:rPr>
      </w:pPr>
      <w:r>
        <w:rPr>
          <w:rFonts w:ascii="Times New Roman" w:cs="Times New Roman" w:eastAsia="Times New Roman" w:hAnsi="Times New Roman"/>
          <w:sz w:val="19"/>
          <w:szCs w:val="19"/>
          <w:color w:val="auto"/>
        </w:rPr>
        <w:t>principal payments in cash (other than cash in lieu of fractional shares) shall be allowed with respect to any repurchase in connection with the</w:t>
      </w:r>
    </w:p>
    <w:p>
      <w:pPr>
        <w:spacing w:after="0" w:line="221" w:lineRule="auto"/>
        <w:rPr>
          <w:sz w:val="20"/>
          <w:szCs w:val="20"/>
          <w:color w:val="auto"/>
        </w:rPr>
      </w:pPr>
      <w:r>
        <w:rPr>
          <w:rFonts w:ascii="Times New Roman" w:cs="Times New Roman" w:eastAsia="Times New Roman" w:hAnsi="Times New Roman"/>
          <w:sz w:val="20"/>
          <w:szCs w:val="20"/>
          <w:color w:val="auto"/>
        </w:rPr>
        <w:t>redemption of Permitted Convertible Debt upon satisfaction of a condition related to the stock price of Borrower’s common stock only if the Redemption Conditions are satisfied in respect of such redemption and at all times after such redemption.</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7.5 Collateral. Each Loan Party shall at all times keep the Collateral and all other property and assets used in the Loan Parties’ business or in which the Loan Parties now or hereafter holds any interest free and clear from any Liens whatsoever (other than Permitted</w:t>
      </w:r>
    </w:p>
    <w:p>
      <w:pPr>
        <w:spacing w:after="0" w:line="212" w:lineRule="auto"/>
        <w:rPr>
          <w:sz w:val="20"/>
          <w:szCs w:val="20"/>
          <w:color w:val="auto"/>
        </w:rPr>
      </w:pPr>
      <w:r>
        <w:rPr>
          <w:rFonts w:ascii="Times New Roman" w:cs="Times New Roman" w:eastAsia="Times New Roman" w:hAnsi="Times New Roman"/>
          <w:sz w:val="20"/>
          <w:szCs w:val="20"/>
          <w:color w:val="auto"/>
        </w:rPr>
        <w:t>Liens). No Loan Party shall agree with any Person other than Agent or Lender not to encumber its property, other than Permitted Liens. No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 Party shall enter into or suffer to exist or become effective any agreement that prohibits or limits the ability of any Loan Party to create, incur, assume or suffer to exist any Lien upon any of its Intellectual Property, whether now owned or hereafter acquired, to secure its</w:t>
      </w:r>
    </w:p>
    <w:p>
      <w:pPr>
        <w:spacing w:after="0" w:line="223" w:lineRule="auto"/>
        <w:rPr>
          <w:sz w:val="20"/>
          <w:szCs w:val="20"/>
          <w:color w:val="auto"/>
        </w:rPr>
      </w:pPr>
      <w:r>
        <w:rPr>
          <w:rFonts w:ascii="Times New Roman" w:cs="Times New Roman" w:eastAsia="Times New Roman" w:hAnsi="Times New Roman"/>
          <w:sz w:val="19"/>
          <w:szCs w:val="19"/>
          <w:color w:val="auto"/>
        </w:rPr>
        <w:t>obligations under the Loan Documents to which it is a party other than pursuant to (x) this Agreement and the other Loan Documents, (y) any</w:t>
      </w:r>
    </w:p>
    <w:p>
      <w:pPr>
        <w:spacing w:after="0" w:line="215" w:lineRule="auto"/>
        <w:rPr>
          <w:sz w:val="20"/>
          <w:szCs w:val="20"/>
          <w:color w:val="auto"/>
        </w:rPr>
      </w:pPr>
      <w:r>
        <w:rPr>
          <w:rFonts w:ascii="Times New Roman" w:cs="Times New Roman" w:eastAsia="Times New Roman" w:hAnsi="Times New Roman"/>
          <w:sz w:val="19"/>
          <w:szCs w:val="19"/>
          <w:color w:val="auto"/>
        </w:rPr>
        <w:t>agreements governing any purchase money Liens or Capital Lease obligations otherwise permitted hereby (in which case, any prohibition or limitation shall only be effective against the assets financed thereby) or (z) customary restrictions on the assignment of leases, licenses and</w:t>
      </w:r>
    </w:p>
    <w:p>
      <w:pPr>
        <w:spacing w:after="0"/>
        <w:rPr>
          <w:sz w:val="20"/>
          <w:szCs w:val="20"/>
          <w:color w:val="auto"/>
        </w:rPr>
      </w:pPr>
      <w:r>
        <w:rPr>
          <w:rFonts w:ascii="Times New Roman" w:cs="Times New Roman" w:eastAsia="Times New Roman" w:hAnsi="Times New Roman"/>
          <w:sz w:val="20"/>
          <w:szCs w:val="20"/>
          <w:color w:val="auto"/>
        </w:rPr>
        <w:t>other agreements. Each Loan Party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4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w:t>
      </w:r>
    </w:p>
    <w:p>
      <w:pPr>
        <w:spacing w:after="0" w:line="228" w:lineRule="auto"/>
        <w:rPr>
          <w:sz w:val="20"/>
          <w:szCs w:val="20"/>
          <w:color w:val="auto"/>
        </w:rPr>
      </w:pPr>
      <w:r>
        <w:rPr>
          <w:rFonts w:ascii="Times New Roman" w:cs="Times New Roman" w:eastAsia="Times New Roman" w:hAnsi="Times New Roman"/>
          <w:sz w:val="20"/>
          <w:szCs w:val="20"/>
          <w:color w:val="auto"/>
        </w:rPr>
        <w:t>from any Liens whatsoever (except for Permitted Liens), and shall give Agent prompt written notice of any legal process that is reasonably likely to result in damages, expenses or liabilities in excess of $1,000,000.</w:t>
      </w:r>
    </w:p>
    <w:p>
      <w:pPr>
        <w:spacing w:after="0" w:line="149"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7.6 Investments. No Loan Party shall directly or indirectly acquire or own, or make any Investment in or to any Person, or permit any of its Subsidiaries so to do, other than Permitted Investments.</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7.7 Distributions; Investments. (a) Pay any dividends or make any distribution or payment or redeem, retire or purchase any capital stock provided that (i) Borrower may convert any of its convertible securities into other securities pursuant to the terms of such</w:t>
      </w:r>
    </w:p>
    <w:p>
      <w:pPr>
        <w:spacing w:after="0" w:line="212" w:lineRule="auto"/>
        <w:rPr>
          <w:sz w:val="20"/>
          <w:szCs w:val="20"/>
          <w:color w:val="auto"/>
        </w:rPr>
      </w:pPr>
      <w:r>
        <w:rPr>
          <w:rFonts w:ascii="Times New Roman" w:cs="Times New Roman" w:eastAsia="Times New Roman" w:hAnsi="Times New Roman"/>
          <w:sz w:val="20"/>
          <w:szCs w:val="20"/>
          <w:color w:val="auto"/>
        </w:rPr>
        <w:t>convertible securities or otherwise in exchange thereof and make cash payments in lieu of fractional shares in connection with any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conversions, (ii) Borrower may pay dividends solely in common stock, (iii) Borrower may repurchase the stock or other equity interests of current or former employees, consultants or directors (their spouses, trusts, heirs and estates) pursuant to or otherwise in connection with</w:t>
      </w:r>
    </w:p>
    <w:p>
      <w:pPr>
        <w:spacing w:after="0" w:line="211" w:lineRule="auto"/>
        <w:rPr>
          <w:sz w:val="20"/>
          <w:szCs w:val="20"/>
          <w:color w:val="auto"/>
        </w:rPr>
      </w:pPr>
      <w:r>
        <w:rPr>
          <w:rFonts w:ascii="Times New Roman" w:cs="Times New Roman" w:eastAsia="Times New Roman" w:hAnsi="Times New Roman"/>
          <w:sz w:val="20"/>
          <w:szCs w:val="20"/>
          <w:color w:val="auto"/>
        </w:rPr>
        <w:t>stock repurchase agreements, option agreements or similar agreements (A) so long as an Event of Default does not exist at the time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repurchase and would not exist immediately after giving effect to any such repurchase, provided that the aggregate amount of all such repurchases does not exceed Five Hundred Thousand Dollars ($500,000) in any fiscal year, (iv) Borrower may repurchase stock or other</w:t>
      </w:r>
    </w:p>
    <w:p>
      <w:pPr>
        <w:spacing w:after="0" w:line="211" w:lineRule="auto"/>
        <w:rPr>
          <w:sz w:val="20"/>
          <w:szCs w:val="20"/>
          <w:color w:val="auto"/>
        </w:rPr>
      </w:pPr>
      <w:r>
        <w:rPr>
          <w:rFonts w:ascii="Times New Roman" w:cs="Times New Roman" w:eastAsia="Times New Roman" w:hAnsi="Times New Roman"/>
          <w:sz w:val="20"/>
          <w:szCs w:val="20"/>
          <w:color w:val="auto"/>
        </w:rPr>
        <w:t>equity interests from employees, consultants or directors in connection with secondary sales where the consideration for such repurchase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proceeds of the issuance of Borrower’s equity interests consummated immediately prior or substantially contemporaneously with such repurchase; or (b) directly or indirectly make any Investment (including, without limitation, by the formation of any Subsidiary) other than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Permitted Investments, or permit any of its Subsidiaries to do so. Notwithstanding the foregoing, Subsidiaries of Borrower shall be permitted to pay dividends to Borrower or make distributions to Borrower.</w:t>
      </w:r>
    </w:p>
    <w:p>
      <w:pPr>
        <w:spacing w:after="0" w:line="149"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Notwithstanding the foregoing, and for the avoidance of doubt, this Section 7.7 shall not prohibit (i) the conversion or exchange by holders of (including any cash payment upon conversion or exchange), or required payment of any principal or premium on (including, for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avoidance of doubt, in respect of a required repurchase in connection with the redemption of Permitted Convertible Debt upon satisfaction of a condition related to the stock price of Borrower’s common stock) or required payment of any interest with respect to, any Permitted</w:t>
      </w:r>
    </w:p>
    <w:p>
      <w:pPr>
        <w:spacing w:after="0" w:line="211" w:lineRule="auto"/>
        <w:rPr>
          <w:sz w:val="20"/>
          <w:szCs w:val="20"/>
          <w:color w:val="auto"/>
        </w:rPr>
      </w:pPr>
      <w:r>
        <w:rPr>
          <w:rFonts w:ascii="Times New Roman" w:cs="Times New Roman" w:eastAsia="Times New Roman" w:hAnsi="Times New Roman"/>
          <w:sz w:val="20"/>
          <w:szCs w:val="20"/>
          <w:color w:val="auto"/>
        </w:rPr>
        <w:t>Convertible Debt in each case, in accordance with the terms of the indenture governing such Permitted Convertible Debt provided that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principal payments in cash (other than cash in lieu of fractional shares) shall be allowed with respect to any repurchase in connection with the redemption of Permitted Convertible Debt only if the Redemption Conditions are satisfied in respect of such redemption and at all times after</w:t>
      </w:r>
    </w:p>
    <w:p>
      <w:pPr>
        <w:spacing w:after="0" w:line="222" w:lineRule="auto"/>
        <w:rPr>
          <w:sz w:val="20"/>
          <w:szCs w:val="20"/>
          <w:color w:val="auto"/>
        </w:rPr>
      </w:pPr>
      <w:r>
        <w:rPr>
          <w:rFonts w:ascii="Times New Roman" w:cs="Times New Roman" w:eastAsia="Times New Roman" w:hAnsi="Times New Roman"/>
          <w:sz w:val="19"/>
          <w:szCs w:val="19"/>
          <w:color w:val="auto"/>
        </w:rPr>
        <w:t>such redemption, (ii) the entry into (including the payment of premiums in connection therewith) or any required payment with respect to, or</w:t>
      </w:r>
    </w:p>
    <w:p>
      <w:pPr>
        <w:jc w:val="both"/>
        <w:spacing w:after="0" w:line="204" w:lineRule="auto"/>
        <w:rPr>
          <w:sz w:val="20"/>
          <w:szCs w:val="20"/>
          <w:color w:val="auto"/>
        </w:rPr>
      </w:pPr>
      <w:r>
        <w:rPr>
          <w:rFonts w:ascii="Times New Roman" w:cs="Times New Roman" w:eastAsia="Times New Roman" w:hAnsi="Times New Roman"/>
          <w:sz w:val="20"/>
          <w:szCs w:val="20"/>
          <w:color w:val="auto"/>
        </w:rPr>
        <w:t>required early unwind or settlement of, any Warrant, Permitted Bond Hedge Transaction or Permitted Warrant Transaction, in each case, in accordance with the terms of the agreement governing such Warrant, Permitted Bond Hedge Transaction or Permitted Warrant Transaction,</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or (iii) the withholding of shares of common stock upon the vesting of performance stock units and restricted stock units issued to the Borrower’s employees under the Borrower’s equity incentive plan upon vesting of such stock units.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Borrower may repurchase, exchange or induce the conversion of Permitted Convertible Debt by</w:t>
      </w:r>
    </w:p>
    <w:p>
      <w:pPr>
        <w:spacing w:after="0" w:line="215" w:lineRule="auto"/>
        <w:rPr>
          <w:sz w:val="20"/>
          <w:szCs w:val="20"/>
          <w:color w:val="auto"/>
        </w:rPr>
      </w:pPr>
      <w:r>
        <w:rPr>
          <w:rFonts w:ascii="Times New Roman" w:cs="Times New Roman" w:eastAsia="Times New Roman" w:hAnsi="Times New Roman"/>
          <w:sz w:val="19"/>
          <w:szCs w:val="19"/>
          <w:color w:val="auto"/>
        </w:rPr>
        <w:t>delivery of shares of Borrower’s common stock and/or a different series of Permitted Convertible Debt and/or by payment of cash (in an amount that does not exceed the proceeds received by Borrower from the substantially concurrent issuance of shares of Borrower’s common</w:t>
      </w:r>
    </w:p>
    <w:p>
      <w:pPr>
        <w:spacing w:after="0" w:line="211" w:lineRule="auto"/>
        <w:rPr>
          <w:sz w:val="20"/>
          <w:szCs w:val="20"/>
          <w:color w:val="auto"/>
        </w:rPr>
      </w:pPr>
      <w:r>
        <w:rPr>
          <w:rFonts w:ascii="Times New Roman" w:cs="Times New Roman" w:eastAsia="Times New Roman" w:hAnsi="Times New Roman"/>
          <w:sz w:val="20"/>
          <w:szCs w:val="20"/>
          <w:color w:val="auto"/>
        </w:rPr>
        <w:t>stock and/or such different series of Permitted Convertible Debt minus the net cost of any Permitted Convertible Debt Call Transaction</w:t>
      </w:r>
    </w:p>
    <w:p>
      <w:pPr>
        <w:spacing w:after="0" w:line="215" w:lineRule="auto"/>
        <w:rPr>
          <w:sz w:val="20"/>
          <w:szCs w:val="20"/>
          <w:color w:val="auto"/>
        </w:rPr>
      </w:pPr>
      <w:r>
        <w:rPr>
          <w:rFonts w:ascii="Times New Roman" w:cs="Times New Roman" w:eastAsia="Times New Roman" w:hAnsi="Times New Roman"/>
          <w:sz w:val="19"/>
          <w:szCs w:val="19"/>
          <w:color w:val="auto"/>
        </w:rPr>
        <w:t>entered into in connection therewith plus the net cash proceeds, if any, received by Borrower pursuant to the related exercise or early unwind or termination of the related Permitted Bond Hedge Transactions and Permitted Warrant Transactions, if any, pursuant to the immediately</w:t>
      </w:r>
    </w:p>
    <w:p>
      <w:pPr>
        <w:spacing w:after="0" w:line="228" w:lineRule="auto"/>
        <w:rPr>
          <w:sz w:val="20"/>
          <w:szCs w:val="20"/>
          <w:color w:val="auto"/>
        </w:rPr>
      </w:pPr>
      <w:r>
        <w:rPr>
          <w:rFonts w:ascii="Times New Roman" w:cs="Times New Roman" w:eastAsia="Times New Roman" w:hAnsi="Times New Roman"/>
          <w:sz w:val="20"/>
          <w:szCs w:val="20"/>
          <w:color w:val="auto"/>
        </w:rPr>
        <w:t>following proviso); provided that, for the avoidance of doubt, substantially concurrently with, or a commercially reasonable period of time before or after, the related settlement date for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4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Permitted Convertible Debt that are so repurchased, exchanged or converted, Borrower may exercise or unwind or terminate early (whether in cash, shares or any combination thereof) the portion of the Permitted Bond Hedge Transactions and Permitted Warrant Transactions, if any,</w:t>
      </w:r>
    </w:p>
    <w:p>
      <w:pPr>
        <w:spacing w:after="0"/>
        <w:rPr>
          <w:sz w:val="20"/>
          <w:szCs w:val="20"/>
          <w:color w:val="auto"/>
        </w:rPr>
      </w:pPr>
      <w:r>
        <w:rPr>
          <w:rFonts w:ascii="Times New Roman" w:cs="Times New Roman" w:eastAsia="Times New Roman" w:hAnsi="Times New Roman"/>
          <w:sz w:val="20"/>
          <w:szCs w:val="20"/>
          <w:color w:val="auto"/>
        </w:rPr>
        <w:t>corresponding to such Permitted Convertible Debt that are so repurchased, exchanged or converted.</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7.8 Transfers. Except for Permitted Transfers, No Loan Party shall voluntarily or involuntarily transfer, sell, lease, license, lend or in any other manner convey (“Transfer”) any equitable, beneficial or legal interest in any material portion of its assets.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20"/>
          <w:szCs w:val="20"/>
          <w:color w:val="auto"/>
        </w:rPr>
        <w:t>Mergers and Consolidations. Borrower will not, and will not permit any Subsidiary to, liquidate or dissolve, consolidate</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with, or merge into or with, any other Person, or Dispose of (whether in one transaction or in a series of transactions) all or substantially all of its assets, except (a) the Borrower may consolidate or merge with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the Borrower be the continuing or</w:t>
      </w:r>
    </w:p>
    <w:p>
      <w:pPr>
        <w:spacing w:after="0" w:line="211" w:lineRule="auto"/>
        <w:rPr>
          <w:sz w:val="20"/>
          <w:szCs w:val="20"/>
          <w:color w:val="auto"/>
        </w:rPr>
      </w:pPr>
      <w:r>
        <w:rPr>
          <w:rFonts w:ascii="Times New Roman" w:cs="Times New Roman" w:eastAsia="Times New Roman" w:hAnsi="Times New Roman"/>
          <w:sz w:val="20"/>
          <w:szCs w:val="20"/>
          <w:color w:val="auto"/>
        </w:rPr>
        <w:t>surviving corporation, (b) any Loan Party (other than the Borrower) may consolidate or merge with and into any other Loan Party, (c)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Subsidiary that is not a Loan Party may consolidate or merge with and into any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the continuing or surviving Person shall be such Loan Party, (d) any Subsidiary that is not a Loan Party may merge with or into any other Subsidiary that is not a Loan Party,</w:t>
      </w:r>
    </w:p>
    <w:p>
      <w:pPr>
        <w:ind w:firstLine="8"/>
        <w:spacing w:after="0" w:line="228" w:lineRule="auto"/>
        <w:tabs>
          <w:tab w:leader="none" w:pos="2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that is not a Loan Party may dissolve, liquidate or wind up its affairs at any time, and (f) in connection with any Permitted Transfer, Permitted Investment, Permitted Acquisition or Permitted Indebtedness.</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7.10 Taxes. Each Loan Party and its Subsidiaries shall pay when due all material Taxes of any nature whatsoever now or hereafter imposed or assessed against any Loan Party, any of its Subsidiaries or the Collateral or upon any Loan Party’s or any of its Subsidiaries’</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ownership, possession, use, operation or disposition thereof or upon any Loan Party’s or, any of its Subsidiaries’ rents, receipts or earnings arising therefrom. Each Loan Party shall, and shall cause each of its Subsidiaries to, accurately file on or before the due date therefor (taking</w:t>
      </w:r>
    </w:p>
    <w:p>
      <w:pPr>
        <w:spacing w:after="0" w:line="211" w:lineRule="auto"/>
        <w:rPr>
          <w:sz w:val="20"/>
          <w:szCs w:val="20"/>
          <w:color w:val="auto"/>
        </w:rPr>
      </w:pPr>
      <w:r>
        <w:rPr>
          <w:rFonts w:ascii="Times New Roman" w:cs="Times New Roman" w:eastAsia="Times New Roman" w:hAnsi="Times New Roman"/>
          <w:sz w:val="20"/>
          <w:szCs w:val="20"/>
          <w:color w:val="auto"/>
        </w:rPr>
        <w:t>into account proper extensions) all federal and state income Tax returns and other material Tax returns required to be filed. Notwithstanding</w:t>
      </w:r>
    </w:p>
    <w:p>
      <w:pPr>
        <w:jc w:val="both"/>
        <w:spacing w:after="0" w:line="221" w:lineRule="auto"/>
        <w:rPr>
          <w:sz w:val="20"/>
          <w:szCs w:val="20"/>
          <w:color w:val="auto"/>
        </w:rPr>
      </w:pPr>
      <w:r>
        <w:rPr>
          <w:rFonts w:ascii="Times New Roman" w:cs="Times New Roman" w:eastAsia="Times New Roman" w:hAnsi="Times New Roman"/>
          <w:sz w:val="20"/>
          <w:szCs w:val="20"/>
          <w:color w:val="auto"/>
        </w:rPr>
        <w:t>the foregoing, any Loan Party may contest, in good faith and by appropriate proceedings diligently conducted, Taxes for which the Loan Parties maintain adequate reserves in accordance with GAAP.</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1.4 Corporate Changes; Location of Collateral. No Loan Party nor any Subsidiary shall change its legal name, legal form or jurisdiction of organization or formation, as applicable, without twenty (20) days’ prior written notice to Agent. No Loan Party shall suffer a Change in Control. No Loan Party nor any Subsidiary shall relocate its chief executive office or its principal place of business unless it has provided prior written notice to Agent. No Loan Party nor any Subsidiary shall relocate any item of Collateral (other than (x) sales of Inventory in the ordinary course of business, (y) relocations of Equipment having an aggregate value of up to </w:t>
      </w:r>
      <w:r>
        <w:rPr>
          <w:rFonts w:ascii="Times New Roman" w:cs="Times New Roman" w:eastAsia="Times New Roman" w:hAnsi="Times New Roman"/>
          <w:sz w:val="20"/>
          <w:szCs w:val="20"/>
          <w:b w:val="1"/>
          <w:bCs w:val="1"/>
          <w:color w:val="FF0000"/>
          <w:strike w:val="1"/>
        </w:rPr>
        <w:t>Three</w:t>
      </w:r>
      <w:r>
        <w:rPr>
          <w:rFonts w:ascii="Times New Roman" w:cs="Times New Roman" w:eastAsia="Times New Roman" w:hAnsi="Times New Roman"/>
          <w:sz w:val="20"/>
          <w:szCs w:val="20"/>
          <w:b w:val="1"/>
          <w:bCs w:val="1"/>
          <w:u w:val="single" w:color="auto"/>
          <w:color w:val="0000FF"/>
        </w:rPr>
        <w:t>(1) Ten</w:t>
      </w:r>
      <w:r>
        <w:rPr>
          <w:rFonts w:ascii="Times New Roman" w:cs="Times New Roman" w:eastAsia="Times New Roman" w:hAnsi="Times New Roman"/>
          <w:sz w:val="20"/>
          <w:szCs w:val="20"/>
          <w:color w:val="auto"/>
        </w:rPr>
        <w:t xml:space="preserve"> Million Dollars ($</w:t>
      </w:r>
      <w:r>
        <w:rPr>
          <w:rFonts w:ascii="Times New Roman" w:cs="Times New Roman" w:eastAsia="Times New Roman" w:hAnsi="Times New Roman"/>
          <w:sz w:val="20"/>
          <w:szCs w:val="20"/>
          <w:b w:val="1"/>
          <w:bCs w:val="1"/>
          <w:color w:val="FF0000"/>
          <w:strike w:val="1"/>
        </w:rPr>
        <w:t>3,000,000) in any</w:t>
      </w:r>
      <w:r>
        <w:rPr>
          <w:rFonts w:ascii="Times New Roman" w:cs="Times New Roman" w:eastAsia="Times New Roman" w:hAnsi="Times New Roman"/>
          <w:sz w:val="20"/>
          <w:szCs w:val="20"/>
          <w:b w:val="1"/>
          <w:bCs w:val="1"/>
          <w:u w:val="single" w:color="auto"/>
          <w:color w:val="0000FF"/>
        </w:rPr>
        <w:t>10,000,000) for the</w:t>
      </w:r>
      <w:r>
        <w:rPr>
          <w:rFonts w:ascii="Times New Roman" w:cs="Times New Roman" w:eastAsia="Times New Roman" w:hAnsi="Times New Roman"/>
          <w:sz w:val="20"/>
          <w:szCs w:val="20"/>
          <w:color w:val="auto"/>
        </w:rPr>
        <w:t xml:space="preserve"> fiscal year </w:t>
      </w:r>
      <w:r>
        <w:rPr>
          <w:rFonts w:ascii="Times New Roman" w:cs="Times New Roman" w:eastAsia="Times New Roman" w:hAnsi="Times New Roman"/>
          <w:sz w:val="20"/>
          <w:szCs w:val="20"/>
          <w:b w:val="1"/>
          <w:bCs w:val="1"/>
          <w:u w:val="single" w:color="auto"/>
          <w:color w:val="0000FF"/>
        </w:rPr>
        <w:t>ending December 31, 2023, and (2) Six Million Dollars ($6,000,000) for the fiscal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0000FF"/>
        </w:rPr>
        <w:t>year ending December 31, 2024 and each fiscal year thereafter</w:t>
      </w:r>
      <w:r>
        <w:rPr>
          <w:rFonts w:ascii="Times New Roman" w:cs="Times New Roman" w:eastAsia="Times New Roman" w:hAnsi="Times New Roman"/>
          <w:sz w:val="20"/>
          <w:szCs w:val="20"/>
          <w:color w:val="000000"/>
        </w:rPr>
        <w:t>, and (z) relocations of Collateral from a location described on Exhibit B to</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color w:val="000000"/>
        </w:rPr>
        <w:t>another location described on Exhibit B) unless (i) it has provided prompt written notice to Agent, (ii) such relocation is within the continental United States of America</w:t>
      </w:r>
      <w:r>
        <w:rPr>
          <w:rFonts w:ascii="Times New Roman" w:cs="Times New Roman" w:eastAsia="Times New Roman" w:hAnsi="Times New Roman"/>
          <w:sz w:val="20"/>
          <w:szCs w:val="20"/>
          <w:b w:val="1"/>
          <w:bCs w:val="1"/>
          <w:u w:val="single" w:color="auto"/>
          <w:color w:val="0000FF"/>
        </w:rPr>
        <w:t>,</w:t>
      </w:r>
      <w:r>
        <w:rPr>
          <w:rFonts w:ascii="Times New Roman" w:cs="Times New Roman" w:eastAsia="Times New Roman" w:hAnsi="Times New Roman"/>
          <w:sz w:val="20"/>
          <w:szCs w:val="20"/>
          <w:color w:val="000000"/>
        </w:rPr>
        <w:t xml:space="preserve"> and, (iii) if such relocation is to a third party bailee, it has used commercially reasonable efforts to deliver a bailee agreement in form and substance reasonably acceptable to Agent.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color w:val="auto"/>
        </w:rPr>
        <w:t>Deposit Accounts.</w:t>
      </w:r>
    </w:p>
    <w:p>
      <w:pPr>
        <w:spacing w:after="0" w:line="189" w:lineRule="exact"/>
        <w:rPr>
          <w:sz w:val="20"/>
          <w:szCs w:val="20"/>
          <w:color w:val="auto"/>
        </w:rPr>
      </w:pPr>
    </w:p>
    <w:p>
      <w:pPr>
        <w:ind w:left="660" w:right="20" w:firstLine="644"/>
        <w:spacing w:after="0" w:line="269" w:lineRule="auto"/>
        <w:tabs>
          <w:tab w:leader="none" w:pos="194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Excluded Accounts, no Loan Party shall maintain any Deposit Accounts, or accounts holding Investment Property, except with respect to which Agent has an Account Control Agreement.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57" w:lineRule="exact"/>
        <w:rPr>
          <w:sz w:val="20"/>
          <w:szCs w:val="20"/>
          <w:color w:val="auto"/>
        </w:rPr>
      </w:pPr>
    </w:p>
    <w:p>
      <w:pPr>
        <w:ind w:left="660" w:firstLine="644"/>
        <w:spacing w:after="0" w:line="26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Subsidiary which is not a Loan Party shall maintain any Deposit Accounts, or accounts holding Investment Property, except to the extent such Deposit Account or account holding Investment Property is an Excluded Account.</w:t>
      </w:r>
    </w:p>
    <w:p>
      <w:pPr>
        <w:spacing w:after="0" w:line="14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7.12 Future Subsidiaries. Each Loan Party shall notify Agent of each Subsidiary formed subsequent to the Closing Date and, within thirty (30) days of formation, shall cause any such Domestic Subsidiary (other than an Excluded Subsidiary) to execute and deliver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a Joinder Agreement.</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7.13 Notification Regarding Collateral. Borrower shall give Agent prompt written notice of any legal process that is reasonably likely to result in damages, expenses or liabilities in excess of $1,000,000 affecting the Collateral, such other property and assets, or any Liens thereon, provided however, that the Collateral and such other property and assets may be subject to Permitted Liens.</w:t>
      </w:r>
    </w:p>
    <w:p>
      <w:pPr>
        <w:spacing w:after="0" w:line="14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7.14 Notification of Event of Default. Borrower shall notify Agent promptly, in any event within three (3) Business Days, of the occurrence of any event of Default.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color w:val="auto"/>
        </w:rPr>
        <w:t>[reserved.]</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7.16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color w:val="auto"/>
        </w:rPr>
        <w:t>Compliance with Laws.</w:t>
      </w:r>
    </w:p>
    <w:p>
      <w:pPr>
        <w:spacing w:after="0" w:line="189" w:lineRule="exact"/>
        <w:rPr>
          <w:sz w:val="20"/>
          <w:szCs w:val="20"/>
          <w:color w:val="auto"/>
        </w:rPr>
      </w:pPr>
    </w:p>
    <w:p>
      <w:pPr>
        <w:jc w:val="both"/>
        <w:ind w:left="660" w:firstLine="644"/>
        <w:spacing w:after="0" w:line="220" w:lineRule="auto"/>
        <w:tabs>
          <w:tab w:leader="none" w:pos="194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maintain, and shall cause its Subsidiaries to maintain, compliance in all material respect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such Loan Party’s business.</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Borrower nor any of its Subsidiaries shall, nor shall Borrower or any of its Subsidiaries permit any Affiliate to, directly or indirectly, knowingly enter into any documents, instruments, agreements or contracts with any Person listed on the OFAC Lists. No Loan Party nor any of its Subsidiaries shall, nor shall any Loan Party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has implemented and maintains in effect policies and procedures designed to ensure compliance by such Loan Party, its Subsidiaries and their respective directors, officers, employees and agents with Anti-Corruption Laws and applicable Sanctions, and each Loan Party’s, its Subsidiaries and their respective officers and employees and to the knowledge of such Loan Party’s, its directors and agents, are in compliance with Anti-Corruption Laws and applicable Sanctions in all material respects.</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any of its Subsidiaries or any of their respective directors, officers or employees, or to the knowledge of such Loan Party, any agent for such Loan Party or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43"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its Subsidiaries that will act in any capacity in connection with or benefit from the credit facility established hereby, is a Sanctioned Person. No Loan, use of proceeds or other transaction contemplated by this Agreement will violate Anti-Corruption Laws 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applicable Sanctions.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19"/>
          <w:szCs w:val="19"/>
          <w:color w:val="auto"/>
        </w:rPr>
        <w:t>Financial Covenant.</w:t>
      </w:r>
    </w:p>
    <w:p>
      <w:pPr>
        <w:spacing w:after="0" w:line="189" w:lineRule="exact"/>
        <w:rPr>
          <w:sz w:val="20"/>
          <w:szCs w:val="20"/>
          <w:color w:val="auto"/>
        </w:rPr>
      </w:pPr>
    </w:p>
    <w:p>
      <w:pPr>
        <w:jc w:val="both"/>
        <w:ind w:left="660" w:firstLine="644"/>
        <w:spacing w:after="0" w:line="254" w:lineRule="auto"/>
        <w:tabs>
          <w:tab w:leader="none" w:pos="194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Merger Effective Date, commencing with the quarter ending on June 30, 2023 and for each fiscal quarter thereafter which is a Testing Period, Borrower shall achieve T12M Revenue as set forth in Schedule 7.19 as of the last day of such fiscal quarter.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4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the Merger Effective Date and at all times thereafter, (i) the covenant in the foregoing clause (a) shall not apply and (ii) the Borrower shall maintain Cash in Deposit Accounts with respect to which Agent has an Account Control Agreement in an aggregate amount greater than or equal to Sixty Million Dollars ($60,000,000).</w:t>
      </w:r>
    </w:p>
    <w:p>
      <w:pPr>
        <w:spacing w:after="0" w:line="161"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7.19 Intellectual Property. Each Loan Party shall (i) protect, defend and maintain the validity and enforceability of its Intellectual Property; (ii) promptly advise Agent in writing of material infringements of its Intellectual Property; and (iii) not allow any Intellectual</w:t>
      </w:r>
    </w:p>
    <w:p>
      <w:pPr>
        <w:spacing w:after="0" w:line="212" w:lineRule="auto"/>
        <w:rPr>
          <w:sz w:val="20"/>
          <w:szCs w:val="20"/>
          <w:color w:val="auto"/>
        </w:rPr>
      </w:pPr>
      <w:r>
        <w:rPr>
          <w:rFonts w:ascii="Times New Roman" w:cs="Times New Roman" w:eastAsia="Times New Roman" w:hAnsi="Times New Roman"/>
          <w:sz w:val="20"/>
          <w:szCs w:val="20"/>
          <w:color w:val="auto"/>
        </w:rPr>
        <w:t>Property material to such Loan Party’s business to be abandoned, forfeited or dedicated to the public without Agent’s written consent. If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 Party (a) obtains any Patent, registered Trademark, registered Copyright, registered mask work, or any pending application for any of the foregoing, whether as owner, licensee or otherwise, or (b) applies for any Patent (other than provisional patent applications) or the</w:t>
      </w:r>
    </w:p>
    <w:p>
      <w:pPr>
        <w:spacing w:after="0" w:line="211" w:lineRule="auto"/>
        <w:rPr>
          <w:sz w:val="20"/>
          <w:szCs w:val="20"/>
          <w:color w:val="auto"/>
        </w:rPr>
      </w:pPr>
      <w:r>
        <w:rPr>
          <w:rFonts w:ascii="Times New Roman" w:cs="Times New Roman" w:eastAsia="Times New Roman" w:hAnsi="Times New Roman"/>
          <w:sz w:val="20"/>
          <w:szCs w:val="20"/>
          <w:color w:val="auto"/>
        </w:rPr>
        <w:t>registration of any Trademark, then such Loan Party shall immediately provide written notice thereof to Agent and shall execute such</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intellectual property security agreements and other documents and take such other actions as Agent may request in its good faith business judgment to perfect and maintain a first priority (subject to the Permitted Liens) perfected security interest in favor of Agent in such property.</w:t>
      </w:r>
    </w:p>
    <w:p>
      <w:pPr>
        <w:spacing w:after="0" w:line="161"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7.20 Transactions with Affiliates. Borrower shall not and shall not permit any Subsidiary to, directly or indirectly, enter into or permit to exist any transaction of any kind with any Affiliate of Borrower or such Subsidiary on terms that are less favorable to Borrower or</w:t>
      </w:r>
    </w:p>
    <w:p>
      <w:pPr>
        <w:spacing w:after="0" w:line="224" w:lineRule="auto"/>
        <w:rPr>
          <w:sz w:val="20"/>
          <w:szCs w:val="20"/>
          <w:color w:val="auto"/>
        </w:rPr>
      </w:pPr>
      <w:r>
        <w:rPr>
          <w:rFonts w:ascii="Times New Roman" w:cs="Times New Roman" w:eastAsia="Times New Roman" w:hAnsi="Times New Roman"/>
          <w:sz w:val="19"/>
          <w:szCs w:val="19"/>
          <w:color w:val="auto"/>
        </w:rPr>
        <w:t>such Subsidiary, as the case may be, than those that might be obtained in an arm’s length transaction from a Person who is not an Affiliate of</w:t>
      </w:r>
    </w:p>
    <w:p>
      <w:pPr>
        <w:spacing w:after="0" w:line="204" w:lineRule="auto"/>
        <w:rPr>
          <w:sz w:val="20"/>
          <w:szCs w:val="20"/>
          <w:color w:val="auto"/>
        </w:rPr>
      </w:pPr>
      <w:r>
        <w:rPr>
          <w:rFonts w:ascii="Times New Roman" w:cs="Times New Roman" w:eastAsia="Times New Roman" w:hAnsi="Times New Roman"/>
          <w:sz w:val="20"/>
          <w:szCs w:val="20"/>
          <w:color w:val="auto"/>
        </w:rPr>
        <w:t>Borrower or such Subsidiary, except for (a) transactions solely among the Loan Parties, (b) transactions between or among any Loan Party and any one or more of its Subsidiaries that were entered into prior to the Closing Date (provided, that, such transactions are not expressly</w:t>
      </w:r>
    </w:p>
    <w:p>
      <w:pPr>
        <w:spacing w:after="0" w:line="211" w:lineRule="auto"/>
        <w:rPr>
          <w:sz w:val="20"/>
          <w:szCs w:val="20"/>
          <w:color w:val="auto"/>
        </w:rPr>
      </w:pPr>
      <w:r>
        <w:rPr>
          <w:rFonts w:ascii="Times New Roman" w:cs="Times New Roman" w:eastAsia="Times New Roman" w:hAnsi="Times New Roman"/>
          <w:sz w:val="20"/>
          <w:szCs w:val="20"/>
          <w:color w:val="auto"/>
        </w:rPr>
        <w:t>prohibited hereunder), (c) reasonable and customary fees paid to members of the board of directors (or similar governing body)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or any Subsidiary as approved by Borrower’s board of directors (or similar governing body), (d) compensation, indemnities, and other employment arrangements for directors, officers and other employees of the Borrower and its Subsidiaries entered into in the ordinary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course of business, and (e) any loans permitted to officers or management permitted hereunder and the Permitted Borrower Equity Buybacks.</w:t>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[RESERVED]</w:t>
      </w:r>
    </w:p>
    <w:p>
      <w:pPr>
        <w:spacing w:after="0" w:line="17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u w:val="single" w:color="auto"/>
          <w:color w:val="auto"/>
        </w:rPr>
        <w:t>EVENTS OF DEFAULT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occurrence of any one or more of the following events shall be an Event of Default:</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9.1 Payments. Any Loan Party fails to (a) pay any principal or interest on any Loan on its due date or (b) make any payment when due on account of any other Secured Obligations within two (2) Business days after the applicable due date; provided, however, that in</w:t>
      </w:r>
    </w:p>
    <w:p>
      <w:pPr>
        <w:spacing w:after="0" w:line="212" w:lineRule="auto"/>
        <w:rPr>
          <w:sz w:val="20"/>
          <w:szCs w:val="20"/>
          <w:color w:val="auto"/>
        </w:rPr>
      </w:pPr>
      <w:r>
        <w:rPr>
          <w:rFonts w:ascii="Times New Roman" w:cs="Times New Roman" w:eastAsia="Times New Roman" w:hAnsi="Times New Roman"/>
          <w:sz w:val="20"/>
          <w:szCs w:val="20"/>
          <w:color w:val="auto"/>
        </w:rPr>
        <w:t>each case, an Event of Default shall not occur on account of a failure to pay due solely to an administrative or operational error of Agent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Lender or any Loan Party’s bank if such Loan Party had the funds to make the payment when due and makes the payment within three (3) Business Days following such Loan Party’s knowledge of such failure to pay; or</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4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9.2 Covenants. Any Loan Party breaches or defaults in the performance of any covenant or Secured Obligation under this Agreement, or any of the other Loan Documents, Agent and the Lenders, and (a) with respect to a default under any covenant under this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(other than the Sections specifically identified in clause (b) hereof), any other Loan Document, such default continues for more than fifteen (15) days after the earlier of the date on which (i) Agent or the Lenders has given notice of such default to the Loan Parties and</w:t>
      </w:r>
    </w:p>
    <w:p>
      <w:pPr>
        <w:spacing w:after="0" w:line="1" w:lineRule="exact"/>
        <w:rPr>
          <w:sz w:val="20"/>
          <w:szCs w:val="20"/>
          <w:color w:val="auto"/>
        </w:rPr>
      </w:pPr>
    </w:p>
    <w:p>
      <w:pPr>
        <w:ind w:firstLine="8"/>
        <w:spacing w:after="0" w:line="228" w:lineRule="auto"/>
        <w:tabs>
          <w:tab w:leader="none" w:pos="30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has actual knowledge of such default or (b) with respect to a default under any of Sections 6, 7.4, 7.5, 7.6, 7.7, 7.8, 7.9, 7.15, 7.17, 7.19, 7.20, and 7.21, the occurrence of such default; or</w:t>
      </w:r>
    </w:p>
    <w:p>
      <w:pPr>
        <w:spacing w:after="0" w:line="162"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9.3 Material Adverse Effect. A circumstance has occurred that could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achieve the Interest Only Milestone or Performance Milestone shall not be deemed a Material Adverse Effect; or</w:t>
      </w:r>
    </w:p>
    <w:p>
      <w:pPr>
        <w:spacing w:after="0" w:line="16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9.4 Representations. Any representation or warranty made by any Loan Party in any Loan Document when taken as a whole shall have been false or misleading in any material respect when made or when deemed made; or</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9.5 Insolvency. Any Loan Party (A) (i) shall make an assignment for the benefit of creditors; or (ii) shall be unable to pay its debts as they become due; or (iii) shall file a voluntary petition in bankruptcy; or (iv) shall file any petition, answer, or document seeking for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itself any reorganization, arrangement, composition, readjustment, liquidation, dissolution or similar relief under any present or future statute, law or regulation pertinent to such circumstances; or (v) shall seek or consent to or acquiesce in the appointment of any trustee, receiver, or</w:t>
      </w:r>
    </w:p>
    <w:p>
      <w:pPr>
        <w:spacing w:after="0" w:line="211" w:lineRule="auto"/>
        <w:rPr>
          <w:sz w:val="20"/>
          <w:szCs w:val="20"/>
          <w:color w:val="auto"/>
        </w:rPr>
      </w:pPr>
      <w:r>
        <w:rPr>
          <w:rFonts w:ascii="Times New Roman" w:cs="Times New Roman" w:eastAsia="Times New Roman" w:hAnsi="Times New Roman"/>
          <w:sz w:val="20"/>
          <w:szCs w:val="20"/>
          <w:color w:val="auto"/>
        </w:rPr>
        <w:t>liquidator of any Loan Party or of all or any substantial part (i.e., 33-1/3% or more) of the assets or property of any Loan Party; or (vi) shall</w:t>
      </w:r>
    </w:p>
    <w:p>
      <w:pPr>
        <w:jc w:val="both"/>
        <w:spacing w:after="0" w:line="215" w:lineRule="auto"/>
        <w:rPr>
          <w:sz w:val="20"/>
          <w:szCs w:val="20"/>
          <w:color w:val="auto"/>
        </w:rPr>
      </w:pPr>
      <w:r>
        <w:rPr>
          <w:rFonts w:ascii="Times New Roman" w:cs="Times New Roman" w:eastAsia="Times New Roman" w:hAnsi="Times New Roman"/>
          <w:sz w:val="19"/>
          <w:szCs w:val="19"/>
          <w:color w:val="auto"/>
        </w:rPr>
        <w:t>cease operations of its business as its business has normally been conducted, or terminate substantially all of its employees; or (vii) any Loan Party or its directors or majority shareholders shall take any action initiating any of the foregoing actions described in clauses (i) through (vi);</w:t>
      </w:r>
    </w:p>
    <w:p>
      <w:pPr>
        <w:spacing w:after="0" w:line="211" w:lineRule="auto"/>
        <w:rPr>
          <w:sz w:val="20"/>
          <w:szCs w:val="20"/>
          <w:color w:val="auto"/>
        </w:rPr>
      </w:pPr>
      <w:r>
        <w:rPr>
          <w:rFonts w:ascii="Times New Roman" w:cs="Times New Roman" w:eastAsia="Times New Roman" w:hAnsi="Times New Roman"/>
          <w:sz w:val="20"/>
          <w:szCs w:val="20"/>
          <w:color w:val="auto"/>
        </w:rPr>
        <w:t>or (B) either (i) forty-five (45) days shall have expired after the commencement of an involuntary action against any Loan Party seeking</w:t>
      </w:r>
    </w:p>
    <w:p>
      <w:pPr>
        <w:spacing w:after="0" w:line="204" w:lineRule="auto"/>
        <w:rPr>
          <w:sz w:val="20"/>
          <w:szCs w:val="20"/>
          <w:color w:val="auto"/>
        </w:rPr>
      </w:pPr>
      <w:r>
        <w:rPr>
          <w:rFonts w:ascii="Times New Roman" w:cs="Times New Roman" w:eastAsia="Times New Roman" w:hAnsi="Times New Roman"/>
          <w:sz w:val="20"/>
          <w:szCs w:val="20"/>
          <w:color w:val="auto"/>
        </w:rPr>
        <w:t>reorganization, arrangement, composition, readjustment, liquidation, dissolution or similar relief under any present or future statute, law or regulation, without such action being dismissed or all orders or proceedings thereunder affecting the operations or the business of any Loan</w:t>
      </w:r>
    </w:p>
    <w:p>
      <w:pPr>
        <w:spacing w:after="0" w:line="211" w:lineRule="auto"/>
        <w:rPr>
          <w:sz w:val="20"/>
          <w:szCs w:val="20"/>
          <w:color w:val="auto"/>
        </w:rPr>
      </w:pPr>
      <w:r>
        <w:rPr>
          <w:rFonts w:ascii="Times New Roman" w:cs="Times New Roman" w:eastAsia="Times New Roman" w:hAnsi="Times New Roman"/>
          <w:sz w:val="20"/>
          <w:szCs w:val="20"/>
          <w:color w:val="auto"/>
        </w:rPr>
        <w:t>Party being stayed; or (ii) a stay of any such order or proceedings shall thereafter be set aside and the action setting it aside shall not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timely appealed; or (iii) any Loan Party shall file any answer admitting or not contesting the material allegations of a petition filed against any Loan Party in any such proceedings; or (iv) the court in which such proceedings are pending shall enter a decree or order granting the</w:t>
      </w:r>
    </w:p>
    <w:p>
      <w:pPr>
        <w:spacing w:after="0" w:line="211" w:lineRule="auto"/>
        <w:rPr>
          <w:sz w:val="20"/>
          <w:szCs w:val="20"/>
          <w:color w:val="auto"/>
        </w:rPr>
      </w:pPr>
      <w:r>
        <w:rPr>
          <w:rFonts w:ascii="Times New Roman" w:cs="Times New Roman" w:eastAsia="Times New Roman" w:hAnsi="Times New Roman"/>
          <w:sz w:val="20"/>
          <w:szCs w:val="20"/>
          <w:color w:val="auto"/>
        </w:rPr>
        <w:t>relief sought in any such proceedings; or (v) forty-five (45) days shall have expired after the appointment, without the consent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acquiescence of any Loan Party, of any trustee, receiver or liquidator of any Loan Party or of all or any substantial part of the properties of any Loan Party without such appointment being vacated; or</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color w:val="auto"/>
        </w:rPr>
        <w:t>Attachments; Judgments. Any portion of the assets of the Loan Parties in the aggregate value of at least Two Million Dollars</w:t>
      </w:r>
    </w:p>
    <w:p>
      <w:pPr>
        <w:spacing w:after="0" w:line="215" w:lineRule="auto"/>
        <w:rPr>
          <w:sz w:val="20"/>
          <w:szCs w:val="20"/>
          <w:color w:val="auto"/>
        </w:rPr>
      </w:pPr>
      <w:r>
        <w:rPr>
          <w:rFonts w:ascii="Times New Roman" w:cs="Times New Roman" w:eastAsia="Times New Roman" w:hAnsi="Times New Roman"/>
          <w:sz w:val="19"/>
          <w:szCs w:val="19"/>
          <w:color w:val="auto"/>
        </w:rPr>
        <w:t>($2,000,000) is attached or seized, or a levy is filed against any such assets, or a judgment or judgments, order or orders, or action and actions, either by a court of competent jurisdiction or by a regulatory agency with the power to do so is/are entered and enforceable against a</w:t>
      </w:r>
    </w:p>
    <w:p>
      <w:pPr>
        <w:spacing w:after="0" w:line="215" w:lineRule="auto"/>
        <w:rPr>
          <w:sz w:val="20"/>
          <w:szCs w:val="20"/>
          <w:color w:val="auto"/>
        </w:rPr>
      </w:pPr>
      <w:r>
        <w:rPr>
          <w:rFonts w:ascii="Times New Roman" w:cs="Times New Roman" w:eastAsia="Times New Roman" w:hAnsi="Times New Roman"/>
          <w:sz w:val="19"/>
          <w:szCs w:val="19"/>
          <w:color w:val="auto"/>
        </w:rPr>
        <w:t>Loan Party, and the same are not, within twenty (20) days after the entry, assessment or issuance thereof, discharged, or after execution thereof, stayed or bonded pending appeal, or such judgments, orders or actions are not discharged prior to the expiration of any such stay, for</w:t>
      </w:r>
    </w:p>
    <w:p>
      <w:pPr>
        <w:spacing w:after="0" w:line="211" w:lineRule="auto"/>
        <w:rPr>
          <w:sz w:val="20"/>
          <w:szCs w:val="20"/>
          <w:color w:val="auto"/>
        </w:rPr>
      </w:pPr>
      <w:r>
        <w:rPr>
          <w:rFonts w:ascii="Times New Roman" w:cs="Times New Roman" w:eastAsia="Times New Roman" w:hAnsi="Times New Roman"/>
          <w:sz w:val="20"/>
          <w:szCs w:val="20"/>
          <w:color w:val="auto"/>
        </w:rPr>
        <w:t>the payment of money (not covered by independent third party insurance as to which liability has not been rejected by such insurance</w:t>
      </w:r>
    </w:p>
    <w:p>
      <w:pPr>
        <w:spacing w:after="0" w:line="221" w:lineRule="auto"/>
        <w:rPr>
          <w:sz w:val="20"/>
          <w:szCs w:val="20"/>
          <w:color w:val="auto"/>
        </w:rPr>
      </w:pPr>
      <w:r>
        <w:rPr>
          <w:rFonts w:ascii="Times New Roman" w:cs="Times New Roman" w:eastAsia="Times New Roman" w:hAnsi="Times New Roman"/>
          <w:sz w:val="20"/>
          <w:szCs w:val="20"/>
          <w:color w:val="auto"/>
        </w:rPr>
        <w:t>carrier), individually or in the aggregate, of at least Two Million Dollars ($2,000,000), or any Loan Party is enjoined or in any way prevented by court order from conducting any part of its business; or</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9.7 Other Obligations. The occurrence of any default under any agreement or obligation of any Loan Party involving any Indebtedness in excess of Two Million Dollars ($2,000,000).</w:t>
      </w:r>
    </w:p>
    <w:p>
      <w:pPr>
        <w:spacing w:after="0" w:line="1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b w:val="1"/>
          <w:bCs w:val="1"/>
          <w:u w:val="single" w:color="auto"/>
          <w:color w:val="auto"/>
        </w:rPr>
        <w:t>REMEDIES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4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10.1 General. Upon the occurrence and during the continuation of any one or more Events of Default, Agent may, and at the direction of the Required Lenders shall, accelerate and demand payment of all or any part of the Secured Obligations together with a</w:t>
      </w:r>
    </w:p>
    <w:p>
      <w:pPr>
        <w:spacing w:after="0" w:line="212" w:lineRule="auto"/>
        <w:rPr>
          <w:sz w:val="20"/>
          <w:szCs w:val="20"/>
          <w:color w:val="auto"/>
        </w:rPr>
      </w:pPr>
      <w:r>
        <w:rPr>
          <w:rFonts w:ascii="Times New Roman" w:cs="Times New Roman" w:eastAsia="Times New Roman" w:hAnsi="Times New Roman"/>
          <w:sz w:val="20"/>
          <w:szCs w:val="20"/>
          <w:color w:val="auto"/>
        </w:rPr>
        <w:t>Prepayment Charge and declare them to be immediately due and payable (provided, that upon the occurrence of an Event of Default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type described in Section 9.5, all of the Secured Obligations (including, without limitation, the Prepayment Charge and the End of Term Charge) shall automatically be accelerated and made due and payable, in each case without any further notice or act). Each Loan Party</w:t>
      </w:r>
    </w:p>
    <w:p>
      <w:pPr>
        <w:spacing w:after="0" w:line="223" w:lineRule="auto"/>
        <w:rPr>
          <w:sz w:val="20"/>
          <w:szCs w:val="20"/>
          <w:color w:val="auto"/>
        </w:rPr>
      </w:pPr>
      <w:r>
        <w:rPr>
          <w:rFonts w:ascii="Times New Roman" w:cs="Times New Roman" w:eastAsia="Times New Roman" w:hAnsi="Times New Roman"/>
          <w:sz w:val="19"/>
          <w:szCs w:val="19"/>
          <w:color w:val="auto"/>
        </w:rPr>
        <w:t>hereby irrevocably appoints Agent as its lawful attorney-in-fact to: exercisable following the occurrence of an Event of Default, (i) sign such</w:t>
      </w:r>
    </w:p>
    <w:p>
      <w:pPr>
        <w:spacing w:after="0" w:line="204" w:lineRule="auto"/>
        <w:rPr>
          <w:sz w:val="20"/>
          <w:szCs w:val="20"/>
          <w:color w:val="auto"/>
        </w:rPr>
      </w:pPr>
      <w:r>
        <w:rPr>
          <w:rFonts w:ascii="Times New Roman" w:cs="Times New Roman" w:eastAsia="Times New Roman" w:hAnsi="Times New Roman"/>
          <w:sz w:val="20"/>
          <w:szCs w:val="20"/>
          <w:color w:val="auto"/>
        </w:rPr>
        <w:t>Loan Party’s name on any invoice or bill of lading for any account or drafts against account debtors; (ii) demand, collect, sue, and give releases to any account debtor for monies due, settle and adjust disputes and claims about the accounts directly with account debtors, and</w:t>
      </w:r>
    </w:p>
    <w:p>
      <w:pPr>
        <w:spacing w:after="0" w:line="211" w:lineRule="auto"/>
        <w:rPr>
          <w:sz w:val="20"/>
          <w:szCs w:val="20"/>
          <w:color w:val="auto"/>
        </w:rPr>
      </w:pPr>
      <w:r>
        <w:rPr>
          <w:rFonts w:ascii="Times New Roman" w:cs="Times New Roman" w:eastAsia="Times New Roman" w:hAnsi="Times New Roman"/>
          <w:sz w:val="20"/>
          <w:szCs w:val="20"/>
          <w:color w:val="auto"/>
        </w:rPr>
        <w:t>compromise, prosecute, or defend any action, claim, case, or proceeding about any Collateral (including filing a claim or voting a claim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bankruptcy case in Agent’s or such Loan Party’s name, as Agent may elect); (iii) make, settle, and adjust all claims under such Loan Party’s insurance policies; (iv) pay, contest or settle any Lien, charge, encumbrance, security interest, or other claim in or to the Collateral, or</w:t>
      </w:r>
    </w:p>
    <w:p>
      <w:pPr>
        <w:spacing w:after="0" w:line="211" w:lineRule="auto"/>
        <w:rPr>
          <w:sz w:val="20"/>
          <w:szCs w:val="20"/>
          <w:color w:val="auto"/>
        </w:rPr>
      </w:pPr>
      <w:r>
        <w:rPr>
          <w:rFonts w:ascii="Times New Roman" w:cs="Times New Roman" w:eastAsia="Times New Roman" w:hAnsi="Times New Roman"/>
          <w:sz w:val="20"/>
          <w:szCs w:val="20"/>
          <w:color w:val="auto"/>
        </w:rPr>
        <w:t>any judgment based thereon, or otherwise take any action to terminate or discharge the same; (v) transfer the Collateral into the name of</w:t>
      </w:r>
    </w:p>
    <w:p>
      <w:pPr>
        <w:spacing w:after="0" w:line="204" w:lineRule="auto"/>
        <w:rPr>
          <w:sz w:val="20"/>
          <w:szCs w:val="20"/>
          <w:color w:val="auto"/>
        </w:rPr>
      </w:pPr>
      <w:r>
        <w:rPr>
          <w:rFonts w:ascii="Times New Roman" w:cs="Times New Roman" w:eastAsia="Times New Roman" w:hAnsi="Times New Roman"/>
          <w:sz w:val="20"/>
          <w:szCs w:val="20"/>
          <w:color w:val="auto"/>
        </w:rPr>
        <w:t>Agent or a third party as the UCC permits; (vi) receive, open and dispose of mail addressed to any Loan Party’s; (vii) endorse such Loan Party’s name on any checks, payment instruments, or other forms of payment or security; and (viii) notify all account debtors to pay Agent</w:t>
      </w:r>
    </w:p>
    <w:p>
      <w:pPr>
        <w:spacing w:after="0" w:line="223" w:lineRule="auto"/>
        <w:rPr>
          <w:sz w:val="20"/>
          <w:szCs w:val="20"/>
          <w:color w:val="auto"/>
        </w:rPr>
      </w:pPr>
      <w:r>
        <w:rPr>
          <w:rFonts w:ascii="Times New Roman" w:cs="Times New Roman" w:eastAsia="Times New Roman" w:hAnsi="Times New Roman"/>
          <w:sz w:val="19"/>
          <w:szCs w:val="19"/>
          <w:color w:val="auto"/>
        </w:rPr>
        <w:t>directly. Each Loan Party hereby appoints Agent as its lawful attorney-in-fact to sign such Loan Party’s name on any documents necessary to</w:t>
      </w:r>
    </w:p>
    <w:p>
      <w:pPr>
        <w:spacing w:after="0" w:line="215" w:lineRule="auto"/>
        <w:rPr>
          <w:sz w:val="20"/>
          <w:szCs w:val="20"/>
          <w:color w:val="auto"/>
        </w:rPr>
      </w:pPr>
      <w:r>
        <w:rPr>
          <w:rFonts w:ascii="Times New Roman" w:cs="Times New Roman" w:eastAsia="Times New Roman" w:hAnsi="Times New Roman"/>
          <w:sz w:val="19"/>
          <w:szCs w:val="19"/>
          <w:color w:val="auto"/>
        </w:rPr>
        <w:t>perfect or continue the perfection of Agent’s security interest in the Collateral regardless of whether an Event of Default has occurred until all Secured Obligations have been satisfied in full and the Loan Documents (other than the Warrant) have been terminated. Agent’s foregoing</w:t>
      </w:r>
    </w:p>
    <w:p>
      <w:pPr>
        <w:spacing w:after="0" w:line="211" w:lineRule="auto"/>
        <w:rPr>
          <w:sz w:val="20"/>
          <w:szCs w:val="20"/>
          <w:color w:val="auto"/>
        </w:rPr>
      </w:pPr>
      <w:r>
        <w:rPr>
          <w:rFonts w:ascii="Times New Roman" w:cs="Times New Roman" w:eastAsia="Times New Roman" w:hAnsi="Times New Roman"/>
          <w:sz w:val="20"/>
          <w:szCs w:val="20"/>
          <w:color w:val="auto"/>
        </w:rPr>
        <w:t>appointment as each Loan Party’s attorney in fact, and all of Agent’s rights and powers, coupled with an interest, are irrevocable until all</w:t>
      </w:r>
    </w:p>
    <w:p>
      <w:pPr>
        <w:spacing w:after="0" w:line="204" w:lineRule="auto"/>
        <w:rPr>
          <w:sz w:val="20"/>
          <w:szCs w:val="20"/>
          <w:color w:val="auto"/>
        </w:rPr>
      </w:pPr>
      <w:r>
        <w:rPr>
          <w:rFonts w:ascii="Times New Roman" w:cs="Times New Roman" w:eastAsia="Times New Roman" w:hAnsi="Times New Roman"/>
          <w:sz w:val="20"/>
          <w:szCs w:val="20"/>
          <w:color w:val="auto"/>
        </w:rPr>
        <w:t>Secured Obligations have been fully repaid and performed and the Loan Documents (other than the Warrant) have been terminated. Agent may, and at the direction of the Required Lenders shall, exercise all rights and remedies with respect to the Collateral under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or otherwise available to it under the UCC and other applicable law, including the right to release, hold, sell, lease, liquidate,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collect, realize upon, or otherwise dispose of all or any part of the Collateral and the right to occupy, utilize, process and commingle the Collateral. All Agent’s rights and remedies shall be cumulative and not exclusive.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Collection; Foreclosure. Upon the occurrence and during the continuance of any Event of Default, Agent may at the direction</w:t>
      </w:r>
    </w:p>
    <w:p>
      <w:pPr>
        <w:spacing w:after="0" w:line="204" w:lineRule="auto"/>
        <w:rPr>
          <w:sz w:val="20"/>
          <w:szCs w:val="20"/>
          <w:color w:val="auto"/>
        </w:rPr>
      </w:pPr>
      <w:r>
        <w:rPr>
          <w:rFonts w:ascii="Times New Roman" w:cs="Times New Roman" w:eastAsia="Times New Roman" w:hAnsi="Times New Roman"/>
          <w:sz w:val="20"/>
          <w:szCs w:val="20"/>
          <w:color w:val="auto"/>
        </w:rPr>
        <w:t>of the Required Lenders, at any time or from time to time, apply, collect, liquidate, sell in one or more sales, lease or otherwise dispose of, any or all of the Collateral in accordance with applicable law, in its then condition or following any commercially reasonable preparation or</w:t>
      </w:r>
    </w:p>
    <w:p>
      <w:pPr>
        <w:spacing w:after="0" w:line="223" w:lineRule="auto"/>
        <w:rPr>
          <w:sz w:val="20"/>
          <w:szCs w:val="20"/>
          <w:color w:val="auto"/>
        </w:rPr>
      </w:pPr>
      <w:r>
        <w:rPr>
          <w:rFonts w:ascii="Times New Roman" w:cs="Times New Roman" w:eastAsia="Times New Roman" w:hAnsi="Times New Roman"/>
          <w:sz w:val="19"/>
          <w:szCs w:val="19"/>
          <w:color w:val="auto"/>
        </w:rPr>
        <w:t>processing, in such order as Agent may elect. Any such sale may be made either at public or private sale at its place of business or elsewhere.</w:t>
      </w:r>
    </w:p>
    <w:p>
      <w:pPr>
        <w:spacing w:after="0" w:line="215" w:lineRule="auto"/>
        <w:rPr>
          <w:sz w:val="20"/>
          <w:szCs w:val="20"/>
          <w:color w:val="auto"/>
        </w:rPr>
      </w:pPr>
      <w:r>
        <w:rPr>
          <w:rFonts w:ascii="Times New Roman" w:cs="Times New Roman" w:eastAsia="Times New Roman" w:hAnsi="Times New Roman"/>
          <w:sz w:val="19"/>
          <w:szCs w:val="19"/>
          <w:color w:val="auto"/>
        </w:rPr>
        <w:t>Each Loan Party agrees that any such public or private sale may occur upon ten (10) calendar days’ prior written notice to such Loan Party. Agent may require any Loan Party to assemble the Collateral and make it available to Agent at a place designated by Agent that is reasonably</w:t>
      </w:r>
    </w:p>
    <w:p>
      <w:pPr>
        <w:ind w:right="20"/>
        <w:spacing w:after="0" w:line="221" w:lineRule="auto"/>
        <w:rPr>
          <w:sz w:val="20"/>
          <w:szCs w:val="20"/>
          <w:color w:val="auto"/>
        </w:rPr>
      </w:pPr>
      <w:r>
        <w:rPr>
          <w:rFonts w:ascii="Times New Roman" w:cs="Times New Roman" w:eastAsia="Times New Roman" w:hAnsi="Times New Roman"/>
          <w:sz w:val="20"/>
          <w:szCs w:val="20"/>
          <w:color w:val="auto"/>
        </w:rPr>
        <w:t>convenient to Agent and such Loan Party. The proceeds of any sale, disposition or other realization upon all or any part of the Collateral shall be applied by Agent in the following order of priorities:</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First, to Agent and Lender in an amount sufficient to pay in full Agent’s and Lender’s reasonable costs and professionals’ and advisors’ fees and expenses as described in Section 11.12;</w:t>
      </w:r>
    </w:p>
    <w:p>
      <w:pPr>
        <w:spacing w:after="0" w:line="14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Second, to Lender in an amount equal to the then unpaid amount of the Secured Obligations (including principal, interest, and the default interest rate), in such order and priority as Agent may choose in its sole discretion; and</w:t>
      </w:r>
    </w:p>
    <w:p>
      <w:pPr>
        <w:spacing w:after="0" w:line="161" w:lineRule="exact"/>
        <w:rPr>
          <w:sz w:val="20"/>
          <w:szCs w:val="20"/>
          <w:color w:val="auto"/>
        </w:rPr>
      </w:pPr>
    </w:p>
    <w:p>
      <w:pPr>
        <w:ind w:left="1220"/>
        <w:spacing w:after="0" w:line="215" w:lineRule="auto"/>
        <w:rPr>
          <w:sz w:val="20"/>
          <w:szCs w:val="20"/>
          <w:color w:val="auto"/>
        </w:rPr>
      </w:pPr>
      <w:r>
        <w:rPr>
          <w:rFonts w:ascii="Times New Roman" w:cs="Times New Roman" w:eastAsia="Times New Roman" w:hAnsi="Times New Roman"/>
          <w:sz w:val="20"/>
          <w:szCs w:val="20"/>
          <w:color w:val="auto"/>
        </w:rPr>
        <w:t>Finally, after the full and final payment in Cash of all of the Secured Obligations (other than inchoate obligations), to any creditor holding a junior Lien on the Collateral, or to the Loan Parties or their representatives or as a court of competent</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jurisdiction may direct.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43" w:lineRule="exact"/>
        <w:rPr>
          <w:sz w:val="20"/>
          <w:szCs w:val="20"/>
          <w:color w:val="auto"/>
        </w:rPr>
      </w:pPr>
    </w:p>
    <w:p>
      <w:pPr>
        <w:ind w:left="1220"/>
        <w:spacing w:after="0" w:line="233" w:lineRule="auto"/>
        <w:rPr>
          <w:sz w:val="20"/>
          <w:szCs w:val="20"/>
          <w:color w:val="auto"/>
        </w:rPr>
      </w:pPr>
      <w:r>
        <w:rPr>
          <w:rFonts w:ascii="Times New Roman" w:cs="Times New Roman" w:eastAsia="Times New Roman" w:hAnsi="Times New Roman"/>
          <w:sz w:val="20"/>
          <w:szCs w:val="20"/>
          <w:color w:val="auto"/>
        </w:rPr>
        <w:t>Agent shall be deemed to have acted reasonably in the custody, preservation and disposition of any of the Collateral if it complies with the obligations of a secured party under the UCC.</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10.3 No Waiver. Agent shall be under no obligation to marshal any of the Collateral for the benefit of the Loan Parties or any other Person, and each Loan Party expressly waives all rights, if any, to require Agent to marshal any Collateral.</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 xml:space="preserve">SECTION 11. </w:t>
      </w:r>
      <w:r>
        <w:rPr>
          <w:rFonts w:ascii="Times New Roman" w:cs="Times New Roman" w:eastAsia="Times New Roman" w:hAnsi="Times New Roman"/>
          <w:sz w:val="20"/>
          <w:szCs w:val="20"/>
          <w:b w:val="1"/>
          <w:bCs w:val="1"/>
          <w:u w:val="single" w:color="auto"/>
          <w:color w:val="auto"/>
        </w:rPr>
        <w:t>MISCELLANEOUS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Severability. Whenever possible, each provision of this Agreement shall be interpreted in such manner as to be effective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valid under applicable law, but if any provision of this Agreement shall be prohibited by or invalid under such law, such provision shall be ineffective only to the extent and duration of such prohibition or invalidity, without invalidating the remainder of such provision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remaining provisions of this Agreement.</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11.2 Notice. Except as otherwise provided herein, any notice, demand, request, consent, approval, declaration, service of process or other communication (including the delivery of Financial Statements) that is required, contemplated, or permitted under the Loan</w:t>
      </w:r>
    </w:p>
    <w:p>
      <w:pPr>
        <w:spacing w:after="0" w:line="224" w:lineRule="auto"/>
        <w:rPr>
          <w:sz w:val="20"/>
          <w:szCs w:val="20"/>
          <w:color w:val="auto"/>
        </w:rPr>
      </w:pPr>
      <w:r>
        <w:rPr>
          <w:rFonts w:ascii="Times New Roman" w:cs="Times New Roman" w:eastAsia="Times New Roman" w:hAnsi="Times New Roman"/>
          <w:sz w:val="19"/>
          <w:szCs w:val="19"/>
          <w:color w:val="auto"/>
        </w:rPr>
        <w:t>Documents or with respect to the subject matter hereof shall be in writing, and shall be deemed to have been validly served, given, delivered,</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received upon the earlier of: (i) the day of transmission by electronic mail or hand delivery or delivery by an overnight express service or overnight mail delivery service; or (ii) the third calendar day after deposit in the United States of America mails, with proper first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postage prepaid, in each case addressed to the party to be notified as follows:</w:t>
      </w:r>
    </w:p>
    <w:p>
      <w:pPr>
        <w:spacing w:after="0" w:line="167" w:lineRule="exact"/>
        <w:rPr>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Agent:</w:t>
      </w:r>
    </w:p>
    <w:p>
      <w:pPr>
        <w:spacing w:after="0" w:line="175" w:lineRule="exact"/>
        <w:rPr>
          <w:rFonts w:ascii="Times New Roman" w:cs="Times New Roman" w:eastAsia="Times New Roman" w:hAnsi="Times New Roman"/>
          <w:sz w:val="20"/>
          <w:szCs w:val="20"/>
          <w:color w:val="auto"/>
        </w:rPr>
      </w:pPr>
    </w:p>
    <w:p>
      <w:pPr>
        <w:ind w:left="1960" w:right="6900"/>
        <w:spacing w:after="0" w:line="22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HERCULES CAPITAL, INC. Legal Department</w:t>
      </w:r>
    </w:p>
    <w:p>
      <w:pPr>
        <w:spacing w:after="0" w:line="1" w:lineRule="exact"/>
        <w:rPr>
          <w:rFonts w:ascii="Times New Roman" w:cs="Times New Roman" w:eastAsia="Times New Roman" w:hAnsi="Times New Roman"/>
          <w:sz w:val="20"/>
          <w:szCs w:val="20"/>
          <w:color w:val="auto"/>
        </w:rPr>
      </w:pPr>
    </w:p>
    <w:p>
      <w:pPr>
        <w:ind w:left="1960" w:right="5100"/>
        <w:spacing w:after="0" w:line="2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Legal Officer and Lesya Kulchenko 400 Hamilton Avenue, Suite 310</w:t>
      </w:r>
    </w:p>
    <w:p>
      <w:pPr>
        <w:ind w:left="1960" w:right="7240"/>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Palo Alto, CA 94301 email: legal@htgc.com Telephone: 650-289-3060</w:t>
      </w:r>
    </w:p>
    <w:p>
      <w:pPr>
        <w:spacing w:after="0" w:line="16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Lenders:</w:t>
      </w:r>
    </w:p>
    <w:p>
      <w:pPr>
        <w:spacing w:after="0" w:line="16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HERCULES CAPITAL, INC., and</w:t>
      </w:r>
    </w:p>
    <w:p>
      <w:pPr>
        <w:ind w:left="1960" w:right="3620"/>
        <w:spacing w:after="0" w:line="20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HERCULES PRIVATE GLOBAL VENTURE GROWTH FUND I L.P. Legal Department</w:t>
      </w:r>
    </w:p>
    <w:p>
      <w:pPr>
        <w:ind w:left="1960" w:right="5100"/>
        <w:spacing w:after="0" w:line="2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Chief Legal Officer and Lesya Kulchenko 400 Hamilton Avenue, Suite 310</w:t>
      </w:r>
    </w:p>
    <w:p>
      <w:pPr>
        <w:ind w:left="1960"/>
        <w:spacing w:after="0" w:line="19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Palo Alto, CA 94301</w:t>
      </w:r>
    </w:p>
    <w:p>
      <w:pPr>
        <w:ind w:left="1960"/>
        <w:spacing w:after="0" w:line="21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legal@htgc.com</w:t>
      </w:r>
      <w:r>
        <w:rPr>
          <w:rFonts w:ascii="Times New Roman" w:cs="Times New Roman" w:eastAsia="Times New Roman" w:hAnsi="Times New Roman"/>
          <w:sz w:val="20"/>
          <w:szCs w:val="20"/>
          <w:color w:val="auto"/>
        </w:rPr>
        <w:t>; lkulchenko@htgc.com</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Telephone: 650-289-3060</w:t>
      </w:r>
    </w:p>
    <w:p>
      <w:pPr>
        <w:spacing w:after="0" w:line="16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Borrower:</w:t>
      </w:r>
    </w:p>
    <w:p>
      <w:pPr>
        <w:spacing w:after="0" w:line="175" w:lineRule="exact"/>
        <w:rPr>
          <w:rFonts w:ascii="Times New Roman" w:cs="Times New Roman" w:eastAsia="Times New Roman" w:hAnsi="Times New Roman"/>
          <w:sz w:val="20"/>
          <w:szCs w:val="20"/>
          <w:color w:val="auto"/>
        </w:rPr>
      </w:pPr>
    </w:p>
    <w:p>
      <w:pPr>
        <w:ind w:left="1960" w:right="726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OUSTER, INC. Attention: Adam Dolinko</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350 Treat Avenue</w:t>
      </w:r>
    </w:p>
    <w:p>
      <w:pPr>
        <w:ind w:left="1960"/>
        <w:spacing w:after="0" w:line="211" w:lineRule="auto"/>
        <w:rPr>
          <w:sz w:val="20"/>
          <w:szCs w:val="20"/>
          <w:color w:val="auto"/>
        </w:rPr>
      </w:pPr>
      <w:r>
        <w:rPr>
          <w:rFonts w:ascii="Times New Roman" w:cs="Times New Roman" w:eastAsia="Times New Roman" w:hAnsi="Times New Roman"/>
          <w:sz w:val="20"/>
          <w:szCs w:val="20"/>
          <w:color w:val="auto"/>
        </w:rPr>
        <w:t>San Francisco, California 94110</w:t>
      </w:r>
    </w:p>
    <w:p>
      <w:pPr>
        <w:ind w:left="1960"/>
        <w:spacing w:after="0" w:line="211" w:lineRule="auto"/>
        <w:rPr>
          <w:sz w:val="20"/>
          <w:szCs w:val="20"/>
          <w:color w:val="auto"/>
        </w:rPr>
      </w:pPr>
      <w:r>
        <w:rPr>
          <w:rFonts w:ascii="Times New Roman" w:cs="Times New Roman" w:eastAsia="Times New Roman" w:hAnsi="Times New Roman"/>
          <w:sz w:val="20"/>
          <w:szCs w:val="20"/>
          <w:color w:val="auto"/>
        </w:rPr>
        <w:t>email: legal@ouster.io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Entire Agreement; Amendments.</w:t>
      </w:r>
    </w:p>
    <w:p>
      <w:pPr>
        <w:spacing w:after="0" w:line="189" w:lineRule="exact"/>
        <w:rPr>
          <w:sz w:val="20"/>
          <w:szCs w:val="20"/>
          <w:color w:val="auto"/>
        </w:rPr>
      </w:pPr>
    </w:p>
    <w:p>
      <w:pPr>
        <w:jc w:val="both"/>
        <w:ind w:left="660" w:firstLine="644"/>
        <w:spacing w:after="0" w:line="220" w:lineRule="auto"/>
        <w:tabs>
          <w:tab w:leader="none" w:pos="194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December 2, 2021 and the Non-Disclosure Agreement).</w:t>
      </w:r>
    </w:p>
    <w:p>
      <w:pPr>
        <w:spacing w:after="0" w:line="147" w:lineRule="exact"/>
        <w:rPr>
          <w:rFonts w:ascii="Times New Roman" w:cs="Times New Roman" w:eastAsia="Times New Roman" w:hAnsi="Times New Roman"/>
          <w:sz w:val="20"/>
          <w:szCs w:val="20"/>
          <w:color w:val="auto"/>
        </w:rPr>
      </w:pPr>
    </w:p>
    <w:p>
      <w:pPr>
        <w:jc w:val="both"/>
        <w:ind w:left="660" w:firstLine="644"/>
        <w:spacing w:after="0" w:line="209" w:lineRule="auto"/>
        <w:tabs>
          <w:tab w:leader="none" w:pos="19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each party to the relevant Loan Document may, or, with the written consent of the Required Lenders, the Agent and the Loan Parties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Loan Parties of any of their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Section 11.18 without the written consent of the Agent. Any such waiver and any such amendment, supplement or modification shall apply equally to each Lender and shall be binding upon the Loan Parties, the Lender, the Agent and all future holders of the Loans.</w:t>
      </w:r>
    </w:p>
    <w:p>
      <w:pPr>
        <w:spacing w:after="0" w:line="17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and no presumption or burden of proof shall arise favoring or disfavoring any party by virtue of the authorship of any provisions of this Agreement.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11.5 No Waiver. The powers conferred upon Agent and Lender by this Agreement are solely to protect its rights hereunder and under the other Loan Documents and its interest in the Collateral and shall not impose any duty upon Agent or Lender to exercise any such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powers. No omission or delay by Agent or Lender at any time to enforce any right or remedy reserved to it, or to require performance of any of the terms, covenants or provisions hereof by the Loan Parties at any time designated, shall be a waiver of any such right or remedy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Agent or Lender is entitled, nor shall it in any way affect the right of Agent or Lender to enforce such provisions thereafter.</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4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11.6 Survival. All agreements, representations and warranties contained in this Agreement and the other Loan Documents or in any document delivered pursuant hereto or thereto shall be for the benefit of Agent, the Lenders, and each Loan Party, and shall survive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execution and delivery of this Agreement. Sections 6.3, 11.14, 11.15 and 11.17 shall survive the termination of 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11.7 Successors and Assigns. The provisions of this Agreement and the other Loan Documents shall inure to the benefit of and be binding on each Loan Party and its permitted assigns (if any). No Loan Party shall assign its obligations under this Agreement or any of the</w:t>
      </w:r>
    </w:p>
    <w:p>
      <w:pPr>
        <w:spacing w:after="0" w:line="212" w:lineRule="auto"/>
        <w:rPr>
          <w:sz w:val="20"/>
          <w:szCs w:val="20"/>
          <w:color w:val="auto"/>
        </w:rPr>
      </w:pPr>
      <w:r>
        <w:rPr>
          <w:rFonts w:ascii="Times New Roman" w:cs="Times New Roman" w:eastAsia="Times New Roman" w:hAnsi="Times New Roman"/>
          <w:sz w:val="20"/>
          <w:szCs w:val="20"/>
          <w:color w:val="auto"/>
        </w:rPr>
        <w:t>other Loan Documents (other than the Warrant which may be assigned in accordance with its terms) without Agent’s express prior written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consent, and any such attempted assignment shall be void and of no effect. Agent and the Lenders may assign, transfer, or endorse its rights hereunder and under the other Loan Documents without prior notice to the Loan Parties, and all of such rights shall inure to the benefit of</w:t>
      </w:r>
    </w:p>
    <w:p>
      <w:pPr>
        <w:spacing w:after="0" w:line="211" w:lineRule="auto"/>
        <w:rPr>
          <w:sz w:val="20"/>
          <w:szCs w:val="20"/>
          <w:color w:val="auto"/>
        </w:rPr>
      </w:pPr>
      <w:r>
        <w:rPr>
          <w:rFonts w:ascii="Times New Roman" w:cs="Times New Roman" w:eastAsia="Times New Roman" w:hAnsi="Times New Roman"/>
          <w:sz w:val="20"/>
          <w:szCs w:val="20"/>
          <w:color w:val="auto"/>
        </w:rPr>
        <w:t>Agent’s and the Lenders’ successors and assigns; provided that as long as no Event of Default has occurred and is continuing, neither Agent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nor any Lender may assign, transfer or endorse its rights hereunder or under the Loan Documents to any party that is a direct competitor of any Loan Party or a distressed debt or vulture fund (as reasonably determined by Agent), it being acknowledged that in all cases, any transfer</w:t>
      </w:r>
    </w:p>
    <w:p>
      <w:pPr>
        <w:spacing w:after="0" w:line="222" w:lineRule="auto"/>
        <w:rPr>
          <w:sz w:val="20"/>
          <w:szCs w:val="20"/>
          <w:color w:val="auto"/>
        </w:rPr>
      </w:pPr>
      <w:r>
        <w:rPr>
          <w:rFonts w:ascii="Times New Roman" w:cs="Times New Roman" w:eastAsia="Times New Roman" w:hAnsi="Times New Roman"/>
          <w:sz w:val="19"/>
          <w:szCs w:val="19"/>
          <w:color w:val="auto"/>
        </w:rPr>
        <w:t>to a controlled Affiliate of any Lender or Agent shall be allowed. Notwithstanding the foregoing, (x) in connection with any assignment by a</w:t>
      </w:r>
    </w:p>
    <w:p>
      <w:pPr>
        <w:spacing w:after="0" w:line="204" w:lineRule="auto"/>
        <w:rPr>
          <w:sz w:val="20"/>
          <w:szCs w:val="20"/>
          <w:color w:val="auto"/>
        </w:rPr>
      </w:pPr>
      <w:r>
        <w:rPr>
          <w:rFonts w:ascii="Times New Roman" w:cs="Times New Roman" w:eastAsia="Times New Roman" w:hAnsi="Times New Roman"/>
          <w:sz w:val="20"/>
          <w:szCs w:val="20"/>
          <w:color w:val="auto"/>
        </w:rPr>
        <w:t>Lender as a result of a forced divestiture at the request of any regulatory agency, the restrictions set forth herein shall not apply and Agent and the Lenders may assign, transfer or indorse its rights hereunder and under the other Loan Documents to any Person or party and (y) in</w:t>
      </w:r>
    </w:p>
    <w:p>
      <w:pPr>
        <w:spacing w:after="0" w:line="211" w:lineRule="auto"/>
        <w:rPr>
          <w:sz w:val="20"/>
          <w:szCs w:val="20"/>
          <w:color w:val="auto"/>
        </w:rPr>
      </w:pPr>
      <w:r>
        <w:rPr>
          <w:rFonts w:ascii="Times New Roman" w:cs="Times New Roman" w:eastAsia="Times New Roman" w:hAnsi="Times New Roman"/>
          <w:sz w:val="20"/>
          <w:szCs w:val="20"/>
          <w:color w:val="auto"/>
        </w:rPr>
        <w:t>connection with a Lender’s own financing or securitization transactions, the restrictions set forth herein shall not apply and Agent and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Lenders may assign, transfer or indorse its rights hereunder and under the other Loan Documents to any Person or party providing such financing or formed to undertake such securitization transaction and any transferee of such Person or party upon the occurrence of a default,</w:t>
      </w:r>
    </w:p>
    <w:p>
      <w:pPr>
        <w:spacing w:after="0" w:line="223" w:lineRule="auto"/>
        <w:rPr>
          <w:sz w:val="20"/>
          <w:szCs w:val="20"/>
          <w:color w:val="auto"/>
        </w:rPr>
      </w:pPr>
      <w:r>
        <w:rPr>
          <w:rFonts w:ascii="Times New Roman" w:cs="Times New Roman" w:eastAsia="Times New Roman" w:hAnsi="Times New Roman"/>
          <w:sz w:val="19"/>
          <w:szCs w:val="19"/>
          <w:color w:val="auto"/>
        </w:rPr>
        <w:t>event of default or similar occurrence with respect to such financing or securitization transaction; provided that no such sale, transfer, pledge</w:t>
      </w:r>
    </w:p>
    <w:p>
      <w:pPr>
        <w:spacing w:after="0" w:line="204" w:lineRule="auto"/>
        <w:rPr>
          <w:sz w:val="20"/>
          <w:szCs w:val="20"/>
          <w:color w:val="auto"/>
        </w:rPr>
      </w:pPr>
      <w:r>
        <w:rPr>
          <w:rFonts w:ascii="Times New Roman" w:cs="Times New Roman" w:eastAsia="Times New Roman" w:hAnsi="Times New Roman"/>
          <w:sz w:val="20"/>
          <w:szCs w:val="20"/>
          <w:color w:val="auto"/>
        </w:rPr>
        <w:t>or assignment under this clause (y) shall release such Lender from any of its obligations hereunder or substitute any such Person or party for such Lender as a party hereto until Agent shall have received and accepted an effective assignment agreement from such Person or party in</w:t>
      </w:r>
    </w:p>
    <w:p>
      <w:pPr>
        <w:spacing w:after="0" w:line="211" w:lineRule="auto"/>
        <w:rPr>
          <w:sz w:val="20"/>
          <w:szCs w:val="20"/>
          <w:color w:val="auto"/>
        </w:rPr>
      </w:pPr>
      <w:r>
        <w:rPr>
          <w:rFonts w:ascii="Times New Roman" w:cs="Times New Roman" w:eastAsia="Times New Roman" w:hAnsi="Times New Roman"/>
          <w:sz w:val="20"/>
          <w:szCs w:val="20"/>
          <w:color w:val="auto"/>
        </w:rPr>
        <w:t>form satisfactory to Agent executed, delivered and fully completed by the applicable parties thereto, and shall have received such other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information regarding such assignee as Agent reasonably shall require. The Agent, acting solely for this purpose as an agent of the Loan Parties, shall maintain at one of its offices in the United States a register for the recordation of the names and addresses of the Lender(s), and</w:t>
      </w:r>
    </w:p>
    <w:p>
      <w:pPr>
        <w:spacing w:after="0" w:line="222" w:lineRule="auto"/>
        <w:rPr>
          <w:sz w:val="20"/>
          <w:szCs w:val="20"/>
          <w:color w:val="auto"/>
        </w:rPr>
      </w:pPr>
      <w:r>
        <w:rPr>
          <w:rFonts w:ascii="Times New Roman" w:cs="Times New Roman" w:eastAsia="Times New Roman" w:hAnsi="Times New Roman"/>
          <w:sz w:val="19"/>
          <w:szCs w:val="19"/>
          <w:color w:val="auto"/>
        </w:rPr>
        <w:t>the Term Commitments of, and principal amounts (and stated interest) of the Loans owing to, each Lender pursuant to the terms hereof from</w:t>
      </w:r>
    </w:p>
    <w:p>
      <w:pPr>
        <w:spacing w:after="0" w:line="204" w:lineRule="auto"/>
        <w:rPr>
          <w:sz w:val="20"/>
          <w:szCs w:val="20"/>
          <w:color w:val="auto"/>
        </w:rPr>
      </w:pPr>
      <w:r>
        <w:rPr>
          <w:rFonts w:ascii="Times New Roman" w:cs="Times New Roman" w:eastAsia="Times New Roman" w:hAnsi="Times New Roman"/>
          <w:sz w:val="20"/>
          <w:szCs w:val="20"/>
          <w:color w:val="auto"/>
        </w:rPr>
        <w:t>time to time (the “Register”). The entries in the Register shall be conclusive absent manifest error, and the Loan Parties, the Agent and the Lender(s) shall treat each Person whose name is recorded in the Register pursuant to the terms hereof as a Lender hereunder for all purposes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this Agreement. The Register shall be available for inspection by the any Loan Party and any Lender, at any reasonable time and from time to time upon reasonable prior notice.</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Participations. Each Lender that sells a participation shall, acting solely for this purpose as a non-fiduciary agent of the</w:t>
      </w:r>
    </w:p>
    <w:p>
      <w:pPr>
        <w:spacing w:after="0" w:line="204" w:lineRule="auto"/>
        <w:rPr>
          <w:sz w:val="20"/>
          <w:szCs w:val="20"/>
          <w:color w:val="auto"/>
        </w:rPr>
      </w:pPr>
      <w:r>
        <w:rPr>
          <w:rFonts w:ascii="Times New Roman" w:cs="Times New Roman" w:eastAsia="Times New Roman" w:hAnsi="Times New Roman"/>
          <w:sz w:val="20"/>
          <w:szCs w:val="20"/>
          <w:color w:val="auto"/>
        </w:rPr>
        <w:t>Borrower, maintain a register on which it enters the name and address of each participant and the principal amounts (and stated interest) of each participant’s interest in the Loans or other obligations under the Loan Documents (the “Participant Register”); provided that no Lender</w:t>
      </w:r>
    </w:p>
    <w:p>
      <w:pPr>
        <w:spacing w:after="0" w:line="223" w:lineRule="auto"/>
        <w:rPr>
          <w:sz w:val="20"/>
          <w:szCs w:val="20"/>
          <w:color w:val="auto"/>
        </w:rPr>
      </w:pPr>
      <w:r>
        <w:rPr>
          <w:rFonts w:ascii="Times New Roman" w:cs="Times New Roman" w:eastAsia="Times New Roman" w:hAnsi="Times New Roman"/>
          <w:sz w:val="19"/>
          <w:szCs w:val="19"/>
          <w:color w:val="auto"/>
        </w:rPr>
        <w:t>shall have any obligation to disclose all or any portion of the Participant Register (including the identity of any participant or any information</w:t>
      </w:r>
    </w:p>
    <w:p>
      <w:pPr>
        <w:spacing w:after="0" w:line="215" w:lineRule="auto"/>
        <w:rPr>
          <w:sz w:val="20"/>
          <w:szCs w:val="20"/>
          <w:color w:val="auto"/>
        </w:rPr>
      </w:pPr>
      <w:r>
        <w:rPr>
          <w:rFonts w:ascii="Times New Roman" w:cs="Times New Roman" w:eastAsia="Times New Roman" w:hAnsi="Times New Roman"/>
          <w:sz w:val="19"/>
          <w:szCs w:val="19"/>
          <w:color w:val="auto"/>
        </w:rPr>
        <w:t>relating to a participant's interest in any commitments, loans, its other obligations under any Loan Document) to any Person except to the extent that such disclosure is necessary to establish that such commitment, loan, letter of credit or other obligation is in registered form under</w:t>
      </w:r>
    </w:p>
    <w:p>
      <w:pPr>
        <w:spacing w:after="0" w:line="211" w:lineRule="auto"/>
        <w:rPr>
          <w:sz w:val="20"/>
          <w:szCs w:val="20"/>
          <w:color w:val="auto"/>
        </w:rPr>
      </w:pPr>
      <w:r>
        <w:rPr>
          <w:rFonts w:ascii="Times New Roman" w:cs="Times New Roman" w:eastAsia="Times New Roman" w:hAnsi="Times New Roman"/>
          <w:sz w:val="20"/>
          <w:szCs w:val="20"/>
          <w:color w:val="auto"/>
        </w:rPr>
        <w:t>Section 5f.103-1(c) of the United States Treasury Regulations. The entries in the Participant Register shall be conclusive absent manifest</w:t>
      </w:r>
    </w:p>
    <w:p>
      <w:pPr>
        <w:spacing w:after="0" w:line="215" w:lineRule="auto"/>
        <w:rPr>
          <w:sz w:val="20"/>
          <w:szCs w:val="20"/>
          <w:color w:val="auto"/>
        </w:rPr>
      </w:pPr>
      <w:r>
        <w:rPr>
          <w:rFonts w:ascii="Times New Roman" w:cs="Times New Roman" w:eastAsia="Times New Roman" w:hAnsi="Times New Roman"/>
          <w:sz w:val="19"/>
          <w:szCs w:val="19"/>
          <w:color w:val="auto"/>
        </w:rPr>
        <w:t>error, and such Lender shall treat each Person whose name is recorded in the Participant Register as the owner of such participation for all purposes of this Agreement notwithstanding any notice to the contrary. For the avoidance of doubt, the Agent (in its capacity as Agent) shall</w:t>
      </w:r>
    </w:p>
    <w:p>
      <w:pPr>
        <w:spacing w:after="0" w:line="211" w:lineRule="auto"/>
        <w:rPr>
          <w:sz w:val="20"/>
          <w:szCs w:val="20"/>
          <w:color w:val="auto"/>
        </w:rPr>
      </w:pPr>
      <w:r>
        <w:rPr>
          <w:rFonts w:ascii="Times New Roman" w:cs="Times New Roman" w:eastAsia="Times New Roman" w:hAnsi="Times New Roman"/>
          <w:sz w:val="20"/>
          <w:szCs w:val="20"/>
          <w:color w:val="auto"/>
        </w:rPr>
        <w:t>have no responsibility for maintaining a Participant Register. Borrower agrees that each participant shall be entitled to the benefits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provisions in Addendum 1 attached hereto (subject to the requirements and limitations therein, including the requirements under Section 7 of Addendum 1 attached hereto (it being understood that the documentation required under Section 7 of Addendum 1 attached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4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hereto shall be delivered to the participating Lender)) to the same extent as if it were a Lender and had acquired its interest by assignment pursuant to Section 11.7; provided that such participant shall not be entitled to receive any greater payment under Addendum 1 attached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1.6 Governing Law. This Agreement and the other Loan Documents have been negotiated and delivered to Agent and the Lenders in the State of California, and shall have been accepted by Agent and the Lenders in the State of California. Payment to Agent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Lenders by the Loan Parties of the Secured Obligations is due in the State of California. This Agreement and the other Loan Documents shall be governed by, and construed and enforced in accordance with, the laws of the State of California, excluding conflict of laws principles</w:t>
      </w:r>
    </w:p>
    <w:p>
      <w:pPr>
        <w:spacing w:after="0"/>
        <w:rPr>
          <w:sz w:val="20"/>
          <w:szCs w:val="20"/>
          <w:color w:val="auto"/>
        </w:rPr>
      </w:pPr>
      <w:r>
        <w:rPr>
          <w:rFonts w:ascii="Times New Roman" w:cs="Times New Roman" w:eastAsia="Times New Roman" w:hAnsi="Times New Roman"/>
          <w:sz w:val="20"/>
          <w:szCs w:val="20"/>
          <w:color w:val="auto"/>
        </w:rPr>
        <w:t>that would cause the application of laws of any other jurisdiction.</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1.7 Consent to Jurisdiction and Venue. All judicial proceedings (to the extent that the reference requirement of Section 11.11 is not applicable) arising in or under or related to this Agreement or any of the other Loan Documents may be brought in any state or federal</w:t>
      </w:r>
    </w:p>
    <w:p>
      <w:pPr>
        <w:spacing w:after="0" w:line="212" w:lineRule="auto"/>
        <w:rPr>
          <w:sz w:val="20"/>
          <w:szCs w:val="20"/>
          <w:color w:val="auto"/>
        </w:rPr>
      </w:pPr>
      <w:r>
        <w:rPr>
          <w:rFonts w:ascii="Times New Roman" w:cs="Times New Roman" w:eastAsia="Times New Roman" w:hAnsi="Times New Roman"/>
          <w:sz w:val="20"/>
          <w:szCs w:val="20"/>
          <w:color w:val="auto"/>
        </w:rPr>
        <w:t>court located in the State of California. By execution and delivery of this Agreement, each party hereto generally and unconditionally:</w:t>
      </w:r>
    </w:p>
    <w:p>
      <w:pPr>
        <w:spacing w:after="0" w:line="1" w:lineRule="exact"/>
        <w:rPr>
          <w:sz w:val="20"/>
          <w:szCs w:val="20"/>
          <w:color w:val="auto"/>
        </w:rPr>
      </w:pPr>
    </w:p>
    <w:p>
      <w:pPr>
        <w:jc w:val="both"/>
        <w:ind w:firstLine="8"/>
        <w:spacing w:after="0" w:line="212" w:lineRule="auto"/>
        <w:tabs>
          <w:tab w:leader="none" w:pos="28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color w:val="auto"/>
        </w:rPr>
        <w:t>Mutual Waiver of Jury Trial / Judicial Reference.</w:t>
      </w:r>
    </w:p>
    <w:p>
      <w:pPr>
        <w:spacing w:after="0" w:line="189" w:lineRule="exact"/>
        <w:rPr>
          <w:sz w:val="20"/>
          <w:szCs w:val="20"/>
          <w:color w:val="auto"/>
        </w:rPr>
      </w:pPr>
    </w:p>
    <w:p>
      <w:pPr>
        <w:jc w:val="both"/>
        <w:ind w:left="660" w:firstLine="644"/>
        <w:spacing w:after="0" w:line="211" w:lineRule="auto"/>
        <w:tabs>
          <w:tab w:leader="none" w:pos="19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THE LOAN PARTIES, AGENT AND THE LENDERS SPECIFICALLY WAIVES ANY RIGHT IT MAY HAVE TO TRIAL BY JURY OF ANY CAUSE OF ACTION, CLAIM, CROSS-CLAIM, COUNTERCLAIM, THIRD PARTY CLAIM OR ANY OTHER CLAIM (COLLECTIVELY, “CLAIMS”) ASSERTED BY THE LOAN PARTIES AGAINST AGENT, THE LENDERS OR THEIR RESPECTIVE ASSIGNEE OR BY AGENT, THE LENDERS OR THEIR RESPECTIVE ASSIGNEE AGAINST ANY LOAN PARTY. This waiver extends to all such Claims, including Claims that involve Persons other than Agent, the Loan Parties and the Lenders; Claims that arise out of or are in any way connected to the relationship among the Loan Parties, Agent and the Lenders; and any Claims for damages, breach of contract, tort, specific performance, or any equitable or legal relief of any kind, arising out of this Agreement, any other Loan Document.</w:t>
      </w:r>
    </w:p>
    <w:p>
      <w:pPr>
        <w:spacing w:after="0" w:line="165"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Claims are to be resolved by judicial reference, either party may seek from a court identified in Section 11.10, any prejudgment order, writ or other relief and have such</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43"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prejudgment order, writ or other relief enforced to the fullest extent permitted by law notwithstanding that all Claims are otherwise subject to resolution by judicial reference.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19"/>
          <w:szCs w:val="19"/>
          <w:color w:val="auto"/>
        </w:rPr>
        <w:t>Professional Fees. Each Loan Party promises to pay Agent’s and the Lenders’ reasonable and documented out-of-pocket fees</w:t>
      </w:r>
    </w:p>
    <w:p>
      <w:pPr>
        <w:spacing w:after="0" w:line="204" w:lineRule="auto"/>
        <w:rPr>
          <w:sz w:val="20"/>
          <w:szCs w:val="20"/>
          <w:color w:val="auto"/>
        </w:rPr>
      </w:pPr>
      <w:r>
        <w:rPr>
          <w:rFonts w:ascii="Times New Roman" w:cs="Times New Roman" w:eastAsia="Times New Roman" w:hAnsi="Times New Roman"/>
          <w:sz w:val="20"/>
          <w:szCs w:val="20"/>
          <w:color w:val="auto"/>
        </w:rPr>
        <w:t>and expenses necessary to finalize the loan documentation, including but not limited to reasonable attorneys’ fees, UCC searches, filing costs, and other miscellaneous expenses, provided that the Due Diligence Fee shall be applied in its entirety to the Lenders’ non-legal</w:t>
      </w:r>
    </w:p>
    <w:p>
      <w:pPr>
        <w:spacing w:after="0" w:line="211" w:lineRule="auto"/>
        <w:rPr>
          <w:sz w:val="20"/>
          <w:szCs w:val="20"/>
          <w:color w:val="auto"/>
        </w:rPr>
      </w:pPr>
      <w:r>
        <w:rPr>
          <w:rFonts w:ascii="Times New Roman" w:cs="Times New Roman" w:eastAsia="Times New Roman" w:hAnsi="Times New Roman"/>
          <w:sz w:val="20"/>
          <w:szCs w:val="20"/>
          <w:color w:val="auto"/>
        </w:rPr>
        <w:t>transaction costs and due diligence expenses. In addition, each Loan Party promises to pay any and all reasonable and documented out-of-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pocket attorneys’ and other professionals’ fees and expenses incurred by Agent and the Lenders after the Closing Date in connection with or related to: (a) the Loan; (b) the administration, collection, or enforcement of the Loan; (c) the amendment or modification of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(d) any waiver, consent, release, or termination under the Loan Documents; (e) the protection, preservation, audit, field exam,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sale, lease, liquidation, or disposition of Collateral or the exercise of remedies with respect to the Collateral; (f) any legal, litigation, administrative, arbitration, or out of court proceeding in connection with or related to the Loan Parties or the Collateral, and any appeal or</w:t>
      </w:r>
    </w:p>
    <w:p>
      <w:pPr>
        <w:spacing w:after="0" w:line="211" w:lineRule="auto"/>
        <w:rPr>
          <w:sz w:val="20"/>
          <w:szCs w:val="20"/>
          <w:color w:val="auto"/>
        </w:rPr>
      </w:pPr>
      <w:r>
        <w:rPr>
          <w:rFonts w:ascii="Times New Roman" w:cs="Times New Roman" w:eastAsia="Times New Roman" w:hAnsi="Times New Roman"/>
          <w:sz w:val="20"/>
          <w:szCs w:val="20"/>
          <w:color w:val="auto"/>
        </w:rPr>
        <w:t>review thereof; and (g) any bankruptcy, restructuring, reorganization, assignment for the benefit of creditors, workout, foreclosure, or other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action related to the Loan Parties, the Collateral, the Loan Documents, including representing Agent or the Lenders in any adversary proceeding or contested matter commenced or continued by or on behalf of any Loan Party’s estate, and any appeal or review thereof.</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1.10 Confidentiality. Agent and the Lenders acknowledge that certain items of Collateral and information provided to Agent and the Lenders by the Loan Parties are confidential and proprietary information of the Loan Parties, if and to the extent such information either</w:t>
      </w:r>
    </w:p>
    <w:p>
      <w:pPr>
        <w:spacing w:after="0" w:line="1" w:lineRule="exact"/>
        <w:rPr>
          <w:sz w:val="20"/>
          <w:szCs w:val="20"/>
          <w:color w:val="auto"/>
        </w:rPr>
      </w:pPr>
    </w:p>
    <w:p>
      <w:pPr>
        <w:jc w:val="both"/>
        <w:ind w:firstLine="8"/>
        <w:spacing w:after="0" w:line="217" w:lineRule="auto"/>
        <w:tabs>
          <w:tab w:leader="none" w:pos="30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marked as confidential by the Loan Parties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the Loan Parties, except that Agent and the Lenders may disclose any such information: (a) to its Affiliates and its partners, lenders, directors, officers, employees, agents, advisors, accountants, counsel, representative and other professional advisors if Agent or the Lenders in their reasonable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pursuant to similar terms;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Loan Parties and not in violation of any confidentiality obligations known to the Agent or such lender;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w:t>
      </w:r>
    </w:p>
    <w:p>
      <w:pPr>
        <w:spacing w:after="0" w:line="8" w:lineRule="exact"/>
        <w:rPr>
          <w:rFonts w:ascii="Times New Roman" w:cs="Times New Roman" w:eastAsia="Times New Roman" w:hAnsi="Times New Roman"/>
          <w:sz w:val="19"/>
          <w:szCs w:val="19"/>
          <w:color w:val="auto"/>
        </w:rPr>
      </w:pPr>
    </w:p>
    <w:p>
      <w:pPr>
        <w:jc w:val="both"/>
        <w:ind w:firstLine="8"/>
        <w:spacing w:after="0" w:line="212" w:lineRule="auto"/>
        <w:tabs>
          <w:tab w:leader="none" w:pos="31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participant or assignee of Agent or the Lenders or any prospective participant or assignee, provided, that such participant or assignee or prospective participant or assignee is subject to confidentiality restrictions no less protective than the provisions of this Section 11.13; (h) to any investor or potential investor (and each of their respective Affiliates or clients) in the Agent or Lender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any of the Loan Parties; or (j) otherwise with the prior consent of the Loan Parties; provided, that any disclosure made in violation of</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4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this Agreement shall not affect the obligations of any Loan Party or any of its Affiliates or any guarantor under this Agreement or the other Loan Documents. Agent’s and the Lenders’ obligations under this Section 11.13 shall supersede all of their respective obligations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Non-Disclosure Agreement.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w:t>
        <w:tab/>
        <w:t>Assignment of Rights. Each Loan Party acknowledges and understands that Agent or the Lenders may, subject to Section</w:t>
      </w:r>
    </w:p>
    <w:p>
      <w:pPr>
        <w:spacing w:after="0" w:line="211" w:lineRule="auto"/>
        <w:rPr>
          <w:sz w:val="20"/>
          <w:szCs w:val="20"/>
          <w:color w:val="auto"/>
        </w:rPr>
      </w:pPr>
      <w:r>
        <w:rPr>
          <w:rFonts w:ascii="Times New Roman" w:cs="Times New Roman" w:eastAsia="Times New Roman" w:hAnsi="Times New Roman"/>
          <w:sz w:val="20"/>
          <w:szCs w:val="20"/>
          <w:color w:val="auto"/>
        </w:rPr>
        <w:t>11.7, sell and assign all or part of its interest hereunder and under the Loan Documents (other than the Warrant which is subject to any</w:t>
      </w:r>
    </w:p>
    <w:p>
      <w:pPr>
        <w:spacing w:after="0" w:line="211" w:lineRule="auto"/>
        <w:rPr>
          <w:sz w:val="20"/>
          <w:szCs w:val="20"/>
          <w:color w:val="auto"/>
        </w:rPr>
      </w:pPr>
      <w:r>
        <w:rPr>
          <w:rFonts w:ascii="Times New Roman" w:cs="Times New Roman" w:eastAsia="Times New Roman" w:hAnsi="Times New Roman"/>
          <w:sz w:val="20"/>
          <w:szCs w:val="20"/>
          <w:color w:val="auto"/>
        </w:rPr>
        <w:t>assignment, transfer, or endorsement provisions therein) to any Person or entity (an “Assignee”). After such assignment the term “Agent” or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“Lender” as used in the Loan Documents (other than the Warrant which is subject to any assignment, transfer or endorsement provisions therein) shall mean and include such Assignee, and such Assignee shall be vested with all rights, powers and remedies of Agent and the</w:t>
      </w:r>
    </w:p>
    <w:p>
      <w:pPr>
        <w:spacing w:after="0" w:line="211" w:lineRule="auto"/>
        <w:rPr>
          <w:sz w:val="20"/>
          <w:szCs w:val="20"/>
          <w:color w:val="auto"/>
        </w:rPr>
      </w:pPr>
      <w:r>
        <w:rPr>
          <w:rFonts w:ascii="Times New Roman" w:cs="Times New Roman" w:eastAsia="Times New Roman" w:hAnsi="Times New Roman"/>
          <w:sz w:val="20"/>
          <w:szCs w:val="20"/>
          <w:color w:val="auto"/>
        </w:rPr>
        <w:t>Lenders hereunder with respect to the interest so assigned; but with respect to any such interest not so transferred, Agent and the Lenders</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shall retain all rights, powers and remedies hereby given. No such assignment by Agent or the Lenders shall relieve any Loan Party of any of its obligations hereunder. Each Lender agrees that in the event of any transfer by it of the promissory note(s) (if any), it shall endorse thereon</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 notation as to the portion of the principal of such promissory note(s), which shall have been paid at the time of such transfer and as to the date to which interest shall have been last paid thereon.</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1.12 Termination; Revival of Secured Obligations. Other than as set forth in Section 11.6, this Agreement and the other Loan Documents (except for the Warrant) shall terminate on the payment in full in cash of the Secured Obligations (other than any obligations that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specifically survive termination). Notwithstanding the preceding sentence, this Agreement and the Loan Documents shall remain in full force and effect and continue to be effective if any petition is filed by or against any Loan Party for liquidation or reorganization, if any Loan Party</w:t>
      </w:r>
    </w:p>
    <w:p>
      <w:pPr>
        <w:spacing w:after="0" w:line="211" w:lineRule="auto"/>
        <w:rPr>
          <w:sz w:val="20"/>
          <w:szCs w:val="20"/>
          <w:color w:val="auto"/>
        </w:rPr>
      </w:pPr>
      <w:r>
        <w:rPr>
          <w:rFonts w:ascii="Times New Roman" w:cs="Times New Roman" w:eastAsia="Times New Roman" w:hAnsi="Times New Roman"/>
          <w:sz w:val="20"/>
          <w:szCs w:val="20"/>
          <w:color w:val="auto"/>
        </w:rPr>
        <w:t>becomes insolvent or makes an assignment for the benefit of creditors, if a receiver or trustee is appointed for all or any significant part of</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Loan Party’s assets, or if any payment or transfer of Collateral is recovered from Agent or the Lenders. The Loan Documents and the Secured Obligations and Collateral security shall continue to be effective, or shall be revived or reinstated, as the case may be, if at any time</w:t>
      </w:r>
    </w:p>
    <w:p>
      <w:pPr>
        <w:spacing w:after="0" w:line="211" w:lineRule="auto"/>
        <w:rPr>
          <w:sz w:val="20"/>
          <w:szCs w:val="20"/>
          <w:color w:val="auto"/>
        </w:rPr>
      </w:pPr>
      <w:r>
        <w:rPr>
          <w:rFonts w:ascii="Times New Roman" w:cs="Times New Roman" w:eastAsia="Times New Roman" w:hAnsi="Times New Roman"/>
          <w:sz w:val="20"/>
          <w:szCs w:val="20"/>
          <w:color w:val="auto"/>
        </w:rPr>
        <w:t>payment and performance of the Secured Obligations or any transfer of Collateral to Agent, or any part thereof is rescinded, avoided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avoidable, reduced in amount, or must otherwise be restored or returned by, or is recovered from, Agent, the Lenders or by any obligee of the Secured Obligations (other than obligations that survive termination), whether as a “voidable preference,” “fraudulent conveyance,” or</w:t>
      </w:r>
    </w:p>
    <w:p>
      <w:pPr>
        <w:spacing w:after="0" w:line="211" w:lineRule="auto"/>
        <w:rPr>
          <w:sz w:val="20"/>
          <w:szCs w:val="20"/>
          <w:color w:val="auto"/>
        </w:rPr>
      </w:pPr>
      <w:r>
        <w:rPr>
          <w:rFonts w:ascii="Times New Roman" w:cs="Times New Roman" w:eastAsia="Times New Roman" w:hAnsi="Times New Roman"/>
          <w:sz w:val="20"/>
          <w:szCs w:val="20"/>
          <w:color w:val="auto"/>
        </w:rPr>
        <w:t>otherwise, all as though such payment, performance, or transfer of Collateral had not been made. In the event that any payment, or any part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thereof, is rescinded, reduced, avoided, avoidable, restored, returned, or recovered, the Loan Documents and the Secured Obligations shall be deemed, without any further action or documentation, to have been revived and reinstated except to the extent of the full and final payment to</w:t>
      </w:r>
    </w:p>
    <w:p>
      <w:pPr>
        <w:spacing w:after="0"/>
        <w:rPr>
          <w:sz w:val="20"/>
          <w:szCs w:val="20"/>
          <w:color w:val="auto"/>
        </w:rPr>
      </w:pPr>
      <w:r>
        <w:rPr>
          <w:rFonts w:ascii="Times New Roman" w:cs="Times New Roman" w:eastAsia="Times New Roman" w:hAnsi="Times New Roman"/>
          <w:sz w:val="20"/>
          <w:szCs w:val="20"/>
          <w:color w:val="auto"/>
        </w:rPr>
        <w:t>Agent or the Lenders in Cash.</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1.13 Counterparts. This Agreement and any amendments, waivers, consents or supplements hereto may be executed in any number of counterparts, and by different parties hereto in separate counterparts, each of which when so delivered shall be deemed an original,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but all of which counterparts shall constitute but one and the same instrument.</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1.14 No Third Party Beneficiaries. No provisions of the Loan Documents are intended, nor will be interpreted, to provide or create any third-party beneficiary rights or any other rights of any kind in any Person other than Agent, the Lenders and the Loan Parties</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unless specifically provided otherwise herein, and, except as otherwise so provided, all provisions of the Loan Documents will be personal and solely among Agent, the Lenders and the Loan Parties which are a party thereto.</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1.15 Agency. Agent and each Lender hereby agree to the terms and conditions set forth on Addendum 3 attached hereto. Each Loan Party acknowledges and agrees to the terms and conditions set forth on Addendum 3 attached hereto.</w:t>
      </w:r>
    </w:p>
    <w:p>
      <w:pPr>
        <w:spacing w:after="0" w:line="148" w:lineRule="exact"/>
        <w:rPr>
          <w:sz w:val="20"/>
          <w:szCs w:val="20"/>
          <w:color w:val="auto"/>
        </w:rPr>
      </w:pPr>
    </w:p>
    <w:p>
      <w:pPr>
        <w:jc w:val="both"/>
        <w:ind w:right="20" w:firstLine="648"/>
        <w:spacing w:after="0" w:line="230" w:lineRule="auto"/>
        <w:rPr>
          <w:sz w:val="20"/>
          <w:szCs w:val="20"/>
          <w:color w:val="auto"/>
        </w:rPr>
      </w:pPr>
      <w:r>
        <w:rPr>
          <w:rFonts w:ascii="Times New Roman" w:cs="Times New Roman" w:eastAsia="Times New Roman" w:hAnsi="Times New Roman"/>
          <w:sz w:val="20"/>
          <w:szCs w:val="20"/>
          <w:color w:val="auto"/>
        </w:rPr>
        <w:t>1.16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43"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among the parties hereto), logo or hyperlink to such other parties’ web site, separately or together, in written and oral presentations, advertising, promotional and marketing materials, client lists, public relations materials or on its web site (together, the "Publicity</w:t>
      </w:r>
    </w:p>
    <w:p>
      <w:pPr>
        <w:spacing w:after="0" w:line="212" w:lineRule="auto"/>
        <w:rPr>
          <w:sz w:val="20"/>
          <w:szCs w:val="20"/>
          <w:color w:val="auto"/>
        </w:rPr>
      </w:pPr>
      <w:r>
        <w:rPr>
          <w:rFonts w:ascii="Times New Roman" w:cs="Times New Roman" w:eastAsia="Times New Roman" w:hAnsi="Times New Roman"/>
          <w:sz w:val="20"/>
          <w:szCs w:val="20"/>
          <w:color w:val="auto"/>
        </w:rPr>
        <w:t>Materials"); (b) the names of officers of such other parties in the Publicity Materials; and (c) such other parties’ name, trademarks,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servicemarks in any news or press release concerning such party; provided however, notwithstanding anything to the contrary herein, no such consent shall be required (i) to the extent necessary to comply with the requests of any regulators, legal requirements or laws applicable to</w:t>
      </w:r>
    </w:p>
    <w:p>
      <w:pPr>
        <w:spacing w:after="0" w:line="228" w:lineRule="auto"/>
        <w:rPr>
          <w:sz w:val="20"/>
          <w:szCs w:val="20"/>
          <w:color w:val="auto"/>
        </w:rPr>
      </w:pPr>
      <w:r>
        <w:rPr>
          <w:rFonts w:ascii="Times New Roman" w:cs="Times New Roman" w:eastAsia="Times New Roman" w:hAnsi="Times New Roman"/>
          <w:sz w:val="20"/>
          <w:szCs w:val="20"/>
          <w:color w:val="auto"/>
        </w:rPr>
        <w:t>such party, pursuant to any listing agreement with any national securities exchange (so long as such party provides prior notice to the other party hereto to the extent reasonably practicable) and (ii) to comply with Section 11.13.</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[Reserved].</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1.18</w:t>
        <w:tab/>
        <w:t>Electronic Execution of Certain Other Documents. The words “execution,” “execute”, “signed,” “signature,” and words of</w:t>
      </w:r>
    </w:p>
    <w:p>
      <w:pPr>
        <w:spacing w:after="0" w:line="215" w:lineRule="auto"/>
        <w:rPr>
          <w:sz w:val="20"/>
          <w:szCs w:val="20"/>
          <w:color w:val="auto"/>
        </w:rPr>
      </w:pPr>
      <w:r>
        <w:rPr>
          <w:rFonts w:ascii="Times New Roman" w:cs="Times New Roman" w:eastAsia="Times New Roman" w:hAnsi="Times New Roman"/>
          <w:sz w:val="19"/>
          <w:szCs w:val="19"/>
          <w:color w:val="auto"/>
        </w:rPr>
        <w:t>like import in or related to any document to be signed in connection with this Agreement and the transactions contemplated hereby (including without limitation assignments, assumptions, amendments, waivers and consents) shall be deemed to include electronic signatures, the</w:t>
      </w:r>
    </w:p>
    <w:p>
      <w:pPr>
        <w:spacing w:after="0" w:line="222" w:lineRule="auto"/>
        <w:rPr>
          <w:sz w:val="20"/>
          <w:szCs w:val="20"/>
          <w:color w:val="auto"/>
        </w:rPr>
      </w:pPr>
      <w:r>
        <w:rPr>
          <w:rFonts w:ascii="Times New Roman" w:cs="Times New Roman" w:eastAsia="Times New Roman" w:hAnsi="Times New Roman"/>
          <w:sz w:val="19"/>
          <w:szCs w:val="19"/>
          <w:color w:val="auto"/>
        </w:rPr>
        <w:t>electronic matching of assignment terms and contract formations on electronic platforms approved by the Agent, or the keeping of records in</w:t>
      </w:r>
    </w:p>
    <w:p>
      <w:pPr>
        <w:spacing w:after="0" w:line="204" w:lineRule="auto"/>
        <w:rPr>
          <w:sz w:val="20"/>
          <w:szCs w:val="20"/>
          <w:color w:val="auto"/>
        </w:rPr>
      </w:pPr>
      <w:r>
        <w:rPr>
          <w:rFonts w:ascii="Times New Roman" w:cs="Times New Roman" w:eastAsia="Times New Roman" w:hAnsi="Times New Roman"/>
          <w:sz w:val="20"/>
          <w:szCs w:val="20"/>
          <w:color w:val="auto"/>
        </w:rPr>
        <w:t>electronic form, each of which shall be of the same legal effect, validity or enforceability as a manually executed signature or the use of a paper-based recordkeeping system, as the case may be, to the extent and as provided for in any applicable law, including the Federal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Electronic Signatures in Global and National Commerce Act, the California Uniform Electronic Transaction Act, or any other similar state laws based on the Uniform Electronic Transactions Act.</w:t>
      </w:r>
    </w:p>
    <w:p>
      <w:pPr>
        <w:spacing w:after="0" w:line="140" w:lineRule="exact"/>
        <w:rPr>
          <w:sz w:val="20"/>
          <w:szCs w:val="20"/>
          <w:color w:val="auto"/>
        </w:rPr>
      </w:pPr>
    </w:p>
    <w:p>
      <w:pPr>
        <w:ind w:left="2600"/>
        <w:spacing w:after="0"/>
        <w:tabs>
          <w:tab w:leader="none" w:pos="448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b w:val="1"/>
          <w:bCs w:val="1"/>
          <w:u w:val="single" w:color="auto"/>
          <w:color w:val="auto"/>
        </w:rPr>
        <w:t>GUARANTY.</w:t>
      </w:r>
    </w:p>
    <w:p>
      <w:pPr>
        <w:spacing w:after="0" w:line="18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12.1 Guaranty. Each Loan Party hereby agrees that such Loan Party is jointly and severally liable for, and hereby absolutely and unconditionally guarantees to the Agent and the Lenders and their respective successors and assigns, the full and prompt payment (whether at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stated maturity, by acceleration or otherwise) and performance of, all Obligations owed or hereafter owing to the Agent and the Lenders by each other Loan Party. Each Loan Party agrees that its guaranty obligation hereunder is a continuing guaranty of payment and performance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not of collection, and that its obligations under this Section 12 shall be absolute and unconditional, irrespective of, and unaffected by:</w:t>
      </w:r>
    </w:p>
    <w:p>
      <w:pPr>
        <w:spacing w:after="0" w:line="167" w:lineRule="exact"/>
        <w:rPr>
          <w:sz w:val="20"/>
          <w:szCs w:val="20"/>
          <w:color w:val="auto"/>
        </w:rPr>
      </w:pPr>
    </w:p>
    <w:p>
      <w:pPr>
        <w:ind w:left="660" w:firstLine="644"/>
        <w:spacing w:after="0" w:line="233" w:lineRule="auto"/>
        <w:tabs>
          <w:tab w:leader="none" w:pos="19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genuineness, validity, regularity, enforceability or any future amendment of, or change in, this Agreement, any other Loan Document or any other agreement, document or instrument to which any Loan Party is or may become a party;</w:t>
      </w:r>
    </w:p>
    <w:p>
      <w:pPr>
        <w:spacing w:after="0" w:line="160"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absence of any action to enforce this Agreement (including this Section 12) or any other Loan Document or the waiver or consent by the Agent and the Lenders with respect to any of the provisions thereof;</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value or condition of, or failure to perfect its Lien against, any security for the Obligations or any action, or the absence of any action, by the Agent and the Lenders in respect thereof (including the release of any such security);</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insolvency of any Loan Party; or</w:t>
      </w:r>
    </w:p>
    <w:p>
      <w:pPr>
        <w:spacing w:after="0" w:line="175" w:lineRule="exact"/>
        <w:rPr>
          <w:rFonts w:ascii="Times New Roman" w:cs="Times New Roman" w:eastAsia="Times New Roman" w:hAnsi="Times New Roman"/>
          <w:sz w:val="20"/>
          <w:szCs w:val="20"/>
          <w:color w:val="auto"/>
        </w:rPr>
      </w:pPr>
    </w:p>
    <w:p>
      <w:pPr>
        <w:ind w:left="660" w:firstLine="644"/>
        <w:spacing w:after="0"/>
        <w:tabs>
          <w:tab w:leader="none" w:pos="194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action or circumstances which might otherwise constitute a legal or equitable discharge or defense of a surety or guarantor;</w:t>
      </w:r>
    </w:p>
    <w:p>
      <w:pPr>
        <w:spacing w:after="0" w:line="148" w:lineRule="exact"/>
        <w:rPr>
          <w:sz w:val="20"/>
          <w:szCs w:val="20"/>
          <w:color w:val="auto"/>
        </w:rPr>
      </w:pPr>
    </w:p>
    <w:p>
      <w:pPr>
        <w:jc w:val="both"/>
        <w:ind w:left="580"/>
        <w:spacing w:after="0" w:line="230" w:lineRule="auto"/>
        <w:rPr>
          <w:sz w:val="20"/>
          <w:szCs w:val="20"/>
          <w:color w:val="auto"/>
        </w:rPr>
      </w:pPr>
      <w:r>
        <w:rPr>
          <w:rFonts w:ascii="Times New Roman" w:cs="Times New Roman" w:eastAsia="Times New Roman" w:hAnsi="Times New Roman"/>
          <w:sz w:val="20"/>
          <w:szCs w:val="20"/>
          <w:color w:val="auto"/>
        </w:rPr>
        <w:t>it being agreed by each Loan Party that its obligations under this Section 12 shall not be discharged until the Termination Date has occurred. Each Loan Party shall be regarded, and shall be in the same position, as principal debtor with respect to the Obligations guaranteed hereunder.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4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12.2 Waivers by the Loan Parties. Each Loan Party expressly waives all rights it may have now or in the future under any statute, or at common law, or pursuant to any other laws or in equity, or otherwise, to compel the Agent or the Lenders to marshal assets or to</w:t>
      </w:r>
    </w:p>
    <w:p>
      <w:pPr>
        <w:spacing w:after="0" w:line="212" w:lineRule="auto"/>
        <w:rPr>
          <w:sz w:val="20"/>
          <w:szCs w:val="20"/>
          <w:color w:val="auto"/>
        </w:rPr>
      </w:pPr>
      <w:r>
        <w:rPr>
          <w:rFonts w:ascii="Times New Roman" w:cs="Times New Roman" w:eastAsia="Times New Roman" w:hAnsi="Times New Roman"/>
          <w:sz w:val="20"/>
          <w:szCs w:val="20"/>
          <w:color w:val="auto"/>
        </w:rPr>
        <w:t>proceed in respect of the Obligations guaranteed hereunder against any other Loan Party, any other party or against any security for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payment and performance of the Obligations before proceeding against, or as a condition to proceeding against, such Loan Party. It is agreed among each Loan Party, the Agent and the Lenders that the foregoing waivers are of the essence of the transaction contemplated by this</w:t>
      </w:r>
    </w:p>
    <w:p>
      <w:pPr>
        <w:spacing w:after="0" w:line="228" w:lineRule="auto"/>
        <w:rPr>
          <w:sz w:val="20"/>
          <w:szCs w:val="20"/>
          <w:color w:val="auto"/>
        </w:rPr>
      </w:pPr>
      <w:r>
        <w:rPr>
          <w:rFonts w:ascii="Times New Roman" w:cs="Times New Roman" w:eastAsia="Times New Roman" w:hAnsi="Times New Roman"/>
          <w:sz w:val="20"/>
          <w:szCs w:val="20"/>
          <w:color w:val="auto"/>
        </w:rPr>
        <w:t>Agreement and the other Loan Documents and that, but for the provisions of this Section 12 and such waivers, the Agent and the Lenders would decline to enter into this Agreement.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12.3 Benefit of Guaranty. Each Loan Party agrees that the provisions of this Section 12 are for the benefit of the Agent and the other Secured Parties and their respective successors, transferees, endorsees and assigns, and nothing herein contained shall impair, as</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between the Borrower, on the one hand, and the Agent and the Lenders, on the other hand, the obligations of such other Loan Party under the Loan Documents.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tab/>
        <w:t>Subordination of Subrogation, Etc. Notwithstanding anything to the contrary in this Agreement or in any other Loan</w:t>
      </w:r>
    </w:p>
    <w:p>
      <w:pPr>
        <w:spacing w:after="0" w:line="215" w:lineRule="auto"/>
        <w:rPr>
          <w:sz w:val="20"/>
          <w:szCs w:val="20"/>
          <w:color w:val="auto"/>
        </w:rPr>
      </w:pPr>
      <w:r>
        <w:rPr>
          <w:rFonts w:ascii="Times New Roman" w:cs="Times New Roman" w:eastAsia="Times New Roman" w:hAnsi="Times New Roman"/>
          <w:sz w:val="19"/>
          <w:szCs w:val="19"/>
          <w:color w:val="auto"/>
        </w:rPr>
        <w:t>Document, and except as set forth in Section 11.7, each Loan Party hereby expressly and irrevocably subordinates to the prior payment in full, in cash, of the Obligations (other than contingent indemnity obligations for which no claim is outstanding) any and all rights pursuant to</w:t>
      </w:r>
    </w:p>
    <w:p>
      <w:pPr>
        <w:spacing w:after="0" w:line="211" w:lineRule="auto"/>
        <w:rPr>
          <w:sz w:val="20"/>
          <w:szCs w:val="20"/>
          <w:color w:val="auto"/>
        </w:rPr>
      </w:pPr>
      <w:r>
        <w:rPr>
          <w:rFonts w:ascii="Times New Roman" w:cs="Times New Roman" w:eastAsia="Times New Roman" w:hAnsi="Times New Roman"/>
          <w:sz w:val="20"/>
          <w:szCs w:val="20"/>
          <w:color w:val="auto"/>
        </w:rPr>
        <w:t>any laws or in equity to subrogation, reimbursement, exoneration, contribution, indemnification or set off and any and all defenses available</w:t>
      </w:r>
    </w:p>
    <w:p>
      <w:pPr>
        <w:spacing w:after="0" w:line="204" w:lineRule="auto"/>
        <w:rPr>
          <w:sz w:val="20"/>
          <w:szCs w:val="20"/>
          <w:color w:val="auto"/>
        </w:rPr>
      </w:pPr>
      <w:r>
        <w:rPr>
          <w:rFonts w:ascii="Times New Roman" w:cs="Times New Roman" w:eastAsia="Times New Roman" w:hAnsi="Times New Roman"/>
          <w:sz w:val="20"/>
          <w:szCs w:val="20"/>
          <w:color w:val="auto"/>
        </w:rPr>
        <w:t>to a surety, guarantor or accommodation co-obligor until the Termination Date has occurred. Each Loan Party acknowledges and agrees that this subordination is intended to benefit the Agent and the Lenders and shall not limit or otherwise affect such Loan Party’s liability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hereunder or the enforceability of this Section 11, and that the Agent, the Lenders and their respective successors and assigns are intended third party beneficiaries of the waivers and agreements set forth in this Section 12.4.</w:t>
      </w:r>
    </w:p>
    <w:p>
      <w:pPr>
        <w:spacing w:after="0" w:line="14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12.5 Election of Remedies. If the Agent or any Lender may, under applicable law, proceed to realize its benefits under any of the Loan Documents giving the Agent or such Lender a Lien upon any Collateral, whether owned by any Loan Party or by any other Person,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either by judicial foreclosure or by non judicial sale or enforcement, the Agent or any Lender may, at its sole option, determine which of its remedies or rights it may pursue without affecting any of its rights and remedies under this Section 11. If, in the exercise of any of its rights</w:t>
      </w:r>
    </w:p>
    <w:p>
      <w:pPr>
        <w:spacing w:after="0" w:line="223" w:lineRule="auto"/>
        <w:rPr>
          <w:sz w:val="20"/>
          <w:szCs w:val="20"/>
          <w:color w:val="auto"/>
        </w:rPr>
      </w:pPr>
      <w:r>
        <w:rPr>
          <w:rFonts w:ascii="Times New Roman" w:cs="Times New Roman" w:eastAsia="Times New Roman" w:hAnsi="Times New Roman"/>
          <w:sz w:val="19"/>
          <w:szCs w:val="19"/>
          <w:color w:val="auto"/>
        </w:rPr>
        <w:t>and remedies, the Agent or any Lender shall forfeit any of its rights or remedies, including its right to enter a deficiency judgment against any</w:t>
      </w:r>
    </w:p>
    <w:p>
      <w:pPr>
        <w:spacing w:after="0" w:line="204" w:lineRule="auto"/>
        <w:rPr>
          <w:sz w:val="20"/>
          <w:szCs w:val="20"/>
          <w:color w:val="auto"/>
        </w:rPr>
      </w:pPr>
      <w:r>
        <w:rPr>
          <w:rFonts w:ascii="Times New Roman" w:cs="Times New Roman" w:eastAsia="Times New Roman" w:hAnsi="Times New Roman"/>
          <w:sz w:val="20"/>
          <w:szCs w:val="20"/>
          <w:color w:val="auto"/>
        </w:rPr>
        <w:t>Loan Party or any other Person, whether because of any applicable laws pertaining to “election of remedies” or the like, each Loan Party hereby consents to such action by the Agent or such Lender and waives any claim based upon such action, even if such action by the Agent</w:t>
      </w:r>
    </w:p>
    <w:p>
      <w:pPr>
        <w:spacing w:after="0" w:line="211" w:lineRule="auto"/>
        <w:rPr>
          <w:sz w:val="20"/>
          <w:szCs w:val="20"/>
          <w:color w:val="auto"/>
        </w:rPr>
      </w:pPr>
      <w:r>
        <w:rPr>
          <w:rFonts w:ascii="Times New Roman" w:cs="Times New Roman" w:eastAsia="Times New Roman" w:hAnsi="Times New Roman"/>
          <w:sz w:val="20"/>
          <w:szCs w:val="20"/>
          <w:color w:val="auto"/>
        </w:rPr>
        <w:t>or such Lender shall result in a full or partial loss of any rights of subrogation which each Loan Party might otherwise have had but for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action by the Agent or such Lender. Any election of remedies which results in the denial or impairment of the right of the Agent or any Lender to seek a deficiency judgment against any Loan Party shall not impair any other Loan Party’s obligation to pay the full amount of the</w:t>
      </w:r>
    </w:p>
    <w:p>
      <w:pPr>
        <w:spacing w:after="0" w:line="204" w:lineRule="auto"/>
        <w:rPr>
          <w:sz w:val="20"/>
          <w:szCs w:val="20"/>
          <w:color w:val="auto"/>
        </w:rPr>
      </w:pPr>
      <w:r>
        <w:rPr>
          <w:rFonts w:ascii="Times New Roman" w:cs="Times New Roman" w:eastAsia="Times New Roman" w:hAnsi="Times New Roman"/>
          <w:sz w:val="20"/>
          <w:szCs w:val="20"/>
          <w:color w:val="auto"/>
        </w:rPr>
        <w:t>Obligations. In the event the Agent or any Lender shall bid at any foreclosure or trustee’s sale or at any private sale permitted by law or the Loan Documents, the Agent (either directly or through one or more acquisition vehicles) or such Lender may offset the Obligations against</w:t>
      </w:r>
    </w:p>
    <w:p>
      <w:pPr>
        <w:spacing w:after="0" w:line="223" w:lineRule="auto"/>
        <w:rPr>
          <w:sz w:val="20"/>
          <w:szCs w:val="20"/>
          <w:color w:val="auto"/>
        </w:rPr>
      </w:pPr>
      <w:r>
        <w:rPr>
          <w:rFonts w:ascii="Times New Roman" w:cs="Times New Roman" w:eastAsia="Times New Roman" w:hAnsi="Times New Roman"/>
          <w:sz w:val="19"/>
          <w:szCs w:val="19"/>
          <w:color w:val="auto"/>
        </w:rPr>
        <w:t>the purchase price of such bid in lieu of accepting cash or other non-cash consideration in connection with such sale or other disposition. The</w:t>
      </w:r>
    </w:p>
    <w:p>
      <w:pPr>
        <w:spacing w:after="0" w:line="215" w:lineRule="auto"/>
        <w:rPr>
          <w:sz w:val="20"/>
          <w:szCs w:val="20"/>
          <w:color w:val="auto"/>
        </w:rPr>
      </w:pPr>
      <w:r>
        <w:rPr>
          <w:rFonts w:ascii="Times New Roman" w:cs="Times New Roman" w:eastAsia="Times New Roman" w:hAnsi="Times New Roman"/>
          <w:sz w:val="19"/>
          <w:szCs w:val="19"/>
          <w:color w:val="auto"/>
        </w:rPr>
        <w:t>amount of the successful bid at any such sale, whether the Agent, any Lender or any other party is the successful bidder, shall be conclusively deemed to be the fair and reasonably equivalent value of the Collateral and the difference between such bid amount and the remaining</w:t>
      </w:r>
    </w:p>
    <w:p>
      <w:pPr>
        <w:spacing w:after="0" w:line="211" w:lineRule="auto"/>
        <w:rPr>
          <w:sz w:val="20"/>
          <w:szCs w:val="20"/>
          <w:color w:val="auto"/>
        </w:rPr>
      </w:pPr>
      <w:r>
        <w:rPr>
          <w:rFonts w:ascii="Times New Roman" w:cs="Times New Roman" w:eastAsia="Times New Roman" w:hAnsi="Times New Roman"/>
          <w:sz w:val="20"/>
          <w:szCs w:val="20"/>
          <w:color w:val="auto"/>
        </w:rPr>
        <w:t>balance of the Obligations shall be conclusively deemed to be the amount of the Obligations guaranteed under this Section 11,</w:t>
      </w:r>
    </w:p>
    <w:p>
      <w:pPr>
        <w:ind w:right="20"/>
        <w:spacing w:after="0" w:line="221" w:lineRule="auto"/>
        <w:rPr>
          <w:sz w:val="20"/>
          <w:szCs w:val="20"/>
          <w:color w:val="auto"/>
        </w:rPr>
      </w:pPr>
      <w:r>
        <w:rPr>
          <w:rFonts w:ascii="Times New Roman" w:cs="Times New Roman" w:eastAsia="Times New Roman" w:hAnsi="Times New Roman"/>
          <w:sz w:val="20"/>
          <w:szCs w:val="20"/>
          <w:color w:val="auto"/>
        </w:rPr>
        <w:t>notwithstanding that any present or future law or court decision or ruling may have the effect of reducing the amount of any deficiency claim to which the Agent or any Lender might otherwise be entitled but for such bidding at any such sale.</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12.6 Limitation. Notwithstanding any provision herein contained to the contrary, the liability of each Loan Party (other than the Borrower) under this Section 12 (which liability is in any event in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4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addition to amounts for which such Loan Party is primarily liable under Section 2) shall be limited to an amount not to exceed as of any date of determination the greater of:</w:t>
      </w:r>
    </w:p>
    <w:p>
      <w:pPr>
        <w:spacing w:after="0" w:line="161" w:lineRule="exact"/>
        <w:rPr>
          <w:sz w:val="20"/>
          <w:szCs w:val="20"/>
          <w:color w:val="auto"/>
        </w:rPr>
      </w:pPr>
    </w:p>
    <w:p>
      <w:pPr>
        <w:ind w:left="660" w:firstLine="644"/>
        <w:spacing w:after="0"/>
        <w:tabs>
          <w:tab w:leader="none" w:pos="19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amount of all Loans (plus all other Obligations owing in connection therewith) advanced to any other Loan Party under this Agreement and then re-loaned or otherwise transferred to, or for the benefit of, such Loan Party; and</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which could be claimed by the Agent and the Lenders from such Loan Party under this Section 11 without rendering such claim voidable or avoidable under</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548 of Chapter 11 of the United States Bankruptcy Code, as amended, or under any applicable state Uniform Fraudulent Transfer Act, Uniform Fraudulent Conveyance Act or similar statute or common law after taking into account, among other things, such Loan Party’s right of contribution and indemnification from each other Loan Party under Section 12.6.</w:t>
      </w:r>
    </w:p>
    <w:p>
      <w:pPr>
        <w:spacing w:after="0" w:line="160" w:lineRule="exact"/>
        <w:rPr>
          <w:sz w:val="20"/>
          <w:szCs w:val="20"/>
          <w:color w:val="auto"/>
        </w:rPr>
      </w:pPr>
    </w:p>
    <w:p>
      <w:pPr>
        <w:ind w:left="580"/>
        <w:spacing w:after="0" w:line="233" w:lineRule="auto"/>
        <w:rPr>
          <w:sz w:val="20"/>
          <w:szCs w:val="20"/>
          <w:color w:val="auto"/>
        </w:rPr>
      </w:pPr>
      <w:r>
        <w:rPr>
          <w:rFonts w:ascii="Times New Roman" w:cs="Times New Roman" w:eastAsia="Times New Roman" w:hAnsi="Times New Roman"/>
          <w:sz w:val="20"/>
          <w:szCs w:val="20"/>
          <w:color w:val="auto"/>
        </w:rPr>
        <w:t>The provisions of this Section 12.6 shall be implemented automatically without the need for any amendment, modification, termination or waiver of any provision of this Agreement or any other Loan Document.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color w:val="auto"/>
        </w:rPr>
        <w:t>Contribution with Respect to Guaranty Obligations.</w:t>
      </w:r>
    </w:p>
    <w:p>
      <w:pPr>
        <w:spacing w:after="0" w:line="189" w:lineRule="exact"/>
        <w:rPr>
          <w:sz w:val="20"/>
          <w:szCs w:val="20"/>
          <w:color w:val="auto"/>
        </w:rPr>
      </w:pPr>
    </w:p>
    <w:p>
      <w:pPr>
        <w:jc w:val="both"/>
        <w:ind w:left="660" w:firstLine="644"/>
        <w:spacing w:after="0" w:line="213" w:lineRule="auto"/>
        <w:tabs>
          <w:tab w:leader="none" w:pos="194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Loan Party shall make a payment under this Section 12 of all or any of the Obligations (other than Loans made to that Loan Party for which it is primarily liable) (a “Guarantor Payment”) which, taking into account all other Guarantor Payments then previously or concurrently made by any other Loan Party, exceeds the amount which such Loan Party would otherwise have paid if each Loan Party had paid the aggregate Obligations satisfied by such Guarantor Payment in the same proportion that such Loan Party’s “Allocable Amount” (as defined below) (as determined immediately prior to such Guarantor Payment) bore to the aggregate Allocable Amounts of each of the Loan Parties as determined immediately prior to the making of such Guarantor Payment, then, following the occurrence of the Termination Date, such Loan Party shall be entitled to receive contribution and indemnification payments from, and be reimbursed by, each other Loan Party for the amount of such excess, pro rata based upon their respective Allocable Amounts in effect immediately prior to such Guarantor Payment.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any date of determination, the “Allocable Amount” of any Loan Parties shall be equal to the maximum amount of the claim which could then be recovered from such Loan Parties under this Section 12 without rendering such claim voidable or avoidable under Section 548 of Chapter 11 of the United States Bankruptcy Code, as amended or under any applicable state Uniform Fraudulent Transfer Act, Uniform Fraudulent Conveyance Act or similar statute or common law.</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20" w:lineRule="auto"/>
        <w:tabs>
          <w:tab w:leader="none" w:pos="194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12.7 is intended only to define the relative rights of Loan Parties and nothing set forth in this Section 12.7 is intended to or shall impair the obligations of Loan Parties, jointly and severally, to pay any amounts as and when the same shall become due and payable in accordance with the terms of this Agreement, including Section 12.1. Nothing contained in this Section 12.7 shall limit the liability of any Loan Party to pay the Loans made directly or indirectly to that Loan Party and accrued interest, Fees, expenses and all other Obligations with respect thereto for which such Loan Party shall be primarily liable.</w:t>
      </w:r>
    </w:p>
    <w:p>
      <w:pPr>
        <w:spacing w:after="0" w:line="147" w:lineRule="exact"/>
        <w:rPr>
          <w:rFonts w:ascii="Times New Roman" w:cs="Times New Roman" w:eastAsia="Times New Roman" w:hAnsi="Times New Roman"/>
          <w:sz w:val="20"/>
          <w:szCs w:val="20"/>
          <w:color w:val="auto"/>
        </w:rPr>
      </w:pPr>
    </w:p>
    <w:p>
      <w:pPr>
        <w:ind w:left="660" w:firstLine="644"/>
        <w:spacing w:after="0"/>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that the rights of contribution and indemnification hereunder shall constitute assets of the Loan Party to which such contribution and indemnification is owing.</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33" w:lineRule="auto"/>
        <w:tabs>
          <w:tab w:leader="none" w:pos="194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indemnifying Loan Parties against other Loan Parties under this Section 12.7 shall be exercisable upon and after the Termination Date.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4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12.8 Liability Cumulative. The liability of Loan Parties under this Section 12 is in addition to and shall be cumulative with all liabilities of each Loan Party to the Agent and the Lenders under this Agreement and the other Loan Documents to which such Loan Party is</w:t>
      </w:r>
    </w:p>
    <w:p>
      <w:pPr>
        <w:spacing w:after="0" w:line="228" w:lineRule="auto"/>
        <w:rPr>
          <w:sz w:val="20"/>
          <w:szCs w:val="20"/>
          <w:color w:val="auto"/>
        </w:rPr>
      </w:pPr>
      <w:r>
        <w:rPr>
          <w:rFonts w:ascii="Times New Roman" w:cs="Times New Roman" w:eastAsia="Times New Roman" w:hAnsi="Times New Roman"/>
          <w:sz w:val="20"/>
          <w:szCs w:val="20"/>
          <w:color w:val="auto"/>
        </w:rPr>
        <w:t>a party or in respect of any Obligations or obligation of any other Loan Party, without any limitation as to amount, unless the instrument or agreement evidencing or creating such other liability specifically provides to the contrary.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4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IN WITNESS WHEREOF, the Loan Parties, Agent and the Lenders have duly executed and delivered this Loan and Security Agreement as of the day and year first above written.</w:t>
      </w:r>
    </w:p>
    <w:p>
      <w:pPr>
        <w:spacing w:after="0" w:line="16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BORROWER:</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OUSTER, INC.</w:t>
      </w:r>
    </w:p>
    <w:p>
      <w:pPr>
        <w:spacing w:after="0" w:line="175"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189" w:lineRule="exact"/>
        <w:rPr>
          <w:sz w:val="20"/>
          <w:szCs w:val="20"/>
          <w:color w:val="auto"/>
        </w:rPr>
      </w:pPr>
    </w:p>
    <w:p>
      <w:pPr>
        <w:ind w:left="4540"/>
        <w:spacing w:after="0"/>
        <w:tabs>
          <w:tab w:leader="none" w:pos="568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189" w:lineRule="exact"/>
        <w:rPr>
          <w:sz w:val="20"/>
          <w:szCs w:val="20"/>
          <w:color w:val="auto"/>
        </w:rPr>
      </w:pPr>
    </w:p>
    <w:p>
      <w:pPr>
        <w:ind w:left="45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GUARANTOR:</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SENSE PHOTONICS, INC.</w:t>
      </w:r>
    </w:p>
    <w:p>
      <w:pPr>
        <w:spacing w:after="0" w:line="189" w:lineRule="exact"/>
        <w:rPr>
          <w:sz w:val="20"/>
          <w:szCs w:val="20"/>
          <w:color w:val="auto"/>
        </w:rPr>
      </w:pPr>
    </w:p>
    <w:p>
      <w:pPr>
        <w:ind w:left="4540"/>
        <w:spacing w:after="0"/>
        <w:tabs>
          <w:tab w:leader="none" w:pos="554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175" w:lineRule="exact"/>
        <w:rPr>
          <w:sz w:val="20"/>
          <w:szCs w:val="20"/>
          <w:color w:val="auto"/>
        </w:rPr>
      </w:pPr>
    </w:p>
    <w:p>
      <w:pPr>
        <w:ind w:left="4540"/>
        <w:spacing w:after="0"/>
        <w:tabs>
          <w:tab w:leader="none" w:pos="5680" w:val="left"/>
        </w:tabs>
        <w:rPr>
          <w:sz w:val="20"/>
          <w:szCs w:val="20"/>
          <w:color w:val="auto"/>
        </w:rPr>
      </w:pPr>
      <w:r>
        <w:rPr>
          <w:rFonts w:ascii="Times New Roman" w:cs="Times New Roman" w:eastAsia="Times New Roman" w:hAnsi="Times New Roman"/>
          <w:sz w:val="20"/>
          <w:szCs w:val="20"/>
          <w:color w:val="auto"/>
        </w:rPr>
        <w:t>Print Name:</w:t>
      </w:r>
      <w:r>
        <w:rPr>
          <w:sz w:val="20"/>
          <w:szCs w:val="20"/>
          <w:color w:val="auto"/>
        </w:rPr>
        <w:tab/>
      </w:r>
      <w:r>
        <w:rPr>
          <w:rFonts w:ascii="Times New Roman" w:cs="Times New Roman" w:eastAsia="Times New Roman" w:hAnsi="Times New Roman"/>
          <w:sz w:val="19"/>
          <w:szCs w:val="19"/>
          <w:color w:val="auto"/>
        </w:rPr>
        <w:t>_______________________</w:t>
      </w:r>
    </w:p>
    <w:p>
      <w:pPr>
        <w:spacing w:after="0" w:line="189" w:lineRule="exact"/>
        <w:rPr>
          <w:sz w:val="20"/>
          <w:szCs w:val="20"/>
          <w:color w:val="auto"/>
        </w:rPr>
      </w:pPr>
    </w:p>
    <w:p>
      <w:pPr>
        <w:ind w:left="4540"/>
        <w:spacing w:after="0"/>
        <w:tabs>
          <w:tab w:leader="none" w:pos="5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WEST\298100232.6</w:t>
      </w:r>
    </w:p>
    <w:p>
      <w:pPr>
        <w:spacing w:after="0" w:line="22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in Palo Alto, California:</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AGENT and LENDER:</w:t>
      </w:r>
    </w:p>
    <w:p>
      <w:pPr>
        <w:spacing w:after="0" w:line="1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10"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w:t>
      </w:r>
    </w:p>
    <w:p>
      <w:pPr>
        <w:ind w:left="4540"/>
        <w:spacing w:after="0" w:line="207" w:lineRule="auto"/>
        <w:tabs>
          <w:tab w:leader="none" w:pos="52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Seth Meyer</w:t>
      </w:r>
    </w:p>
    <w:p>
      <w:pPr>
        <w:ind w:left="4540"/>
        <w:spacing w:after="0"/>
        <w:tabs>
          <w:tab w:leader="none" w:pos="4980" w:val="left"/>
        </w:tabs>
        <w:rPr>
          <w:sz w:val="20"/>
          <w:szCs w:val="20"/>
          <w:color w:val="auto"/>
        </w:rPr>
      </w:pPr>
      <w:r>
        <w:rPr>
          <w:rFonts w:ascii="Times New Roman" w:cs="Times New Roman" w:eastAsia="Times New Roman" w:hAnsi="Times New Roman"/>
          <w:sz w:val="20"/>
          <w:szCs w:val="20"/>
          <w:color w:val="auto"/>
        </w:rPr>
        <w:t>Its:</w:t>
      </w:r>
      <w:r>
        <w:rPr>
          <w:sz w:val="20"/>
          <w:szCs w:val="20"/>
          <w:color w:val="auto"/>
        </w:rPr>
        <w:tab/>
      </w:r>
      <w:r>
        <w:rPr>
          <w:rFonts w:ascii="Times New Roman" w:cs="Times New Roman" w:eastAsia="Times New Roman" w:hAnsi="Times New Roman"/>
          <w:sz w:val="19"/>
          <w:szCs w:val="19"/>
          <w:color w:val="auto"/>
        </w:rPr>
        <w:t>CFO</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LENDER:</w:t>
      </w:r>
    </w:p>
    <w:p>
      <w:pPr>
        <w:spacing w:after="0" w:line="19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b w:val="1"/>
          <w:bCs w:val="1"/>
          <w:color w:val="auto"/>
        </w:rPr>
        <w:t>Hercules Private Global Venture Growth Fund I L.P.</w:t>
      </w: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40"/>
        <w:spacing w:after="0"/>
        <w:tabs>
          <w:tab w:leader="none" w:pos="51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_____________________________</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Seth Meyer</w:t>
      </w:r>
    </w:p>
    <w:p>
      <w:pPr>
        <w:spacing w:after="0" w:line="216"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[Signature Page to Loan and Security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WEST\298100232.10</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of Addenda, Exhibits and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Addendum 1: Taxes; Increased Costs</w:t>
      </w:r>
    </w:p>
    <w:p>
      <w:pPr>
        <w:spacing w:after="0" w:line="17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Addendum 2:</w:t>
        <w:tab/>
        <w:t>[reserved]</w:t>
      </w:r>
    </w:p>
    <w:p>
      <w:pPr>
        <w:spacing w:after="0" w:line="18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Addendum 3:</w:t>
      </w:r>
      <w:r>
        <w:rPr>
          <w:sz w:val="20"/>
          <w:szCs w:val="20"/>
          <w:color w:val="auto"/>
        </w:rPr>
        <w:tab/>
      </w:r>
      <w:r>
        <w:rPr>
          <w:rFonts w:ascii="Times New Roman" w:cs="Times New Roman" w:eastAsia="Times New Roman" w:hAnsi="Times New Roman"/>
          <w:sz w:val="19"/>
          <w:szCs w:val="19"/>
          <w:color w:val="auto"/>
        </w:rPr>
        <w:t>Agent and Lender Terms</w:t>
      </w:r>
    </w:p>
    <w:p>
      <w:pPr>
        <w:spacing w:after="0" w:line="17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Advance Request</w:t>
      </w:r>
    </w:p>
    <w:p>
      <w:pPr>
        <w:ind w:left="400"/>
        <w:spacing w:after="0"/>
        <w:rPr>
          <w:sz w:val="20"/>
          <w:szCs w:val="20"/>
          <w:color w:val="auto"/>
        </w:rPr>
      </w:pPr>
      <w:r>
        <w:rPr>
          <w:rFonts w:ascii="Times New Roman" w:cs="Times New Roman" w:eastAsia="Times New Roman" w:hAnsi="Times New Roman"/>
          <w:sz w:val="20"/>
          <w:szCs w:val="20"/>
          <w:color w:val="auto"/>
        </w:rPr>
        <w:t>Attachment to Advance Request</w:t>
      </w:r>
    </w:p>
    <w:p>
      <w:pPr>
        <w:spacing w:after="0" w:line="1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Name, Locations, and Other Information for Loan Parties</w:t>
      </w:r>
    </w:p>
    <w:p>
      <w:pPr>
        <w:spacing w:after="0" w:line="1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Loan Parties’ Patents, Trademarks, Copyrights and Licenses</w:t>
      </w:r>
    </w:p>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Loan Parties’ Deposit Accounts and Investment Accounts</w:t>
      </w:r>
    </w:p>
    <w:p>
      <w:pPr>
        <w:spacing w:after="0" w:line="1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Compliance Certificate</w:t>
      </w:r>
    </w:p>
    <w:p>
      <w:pPr>
        <w:spacing w:after="0" w:line="18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Joinder Agreement</w:t>
      </w:r>
    </w:p>
    <w:p>
      <w:pPr>
        <w:spacing w:after="0" w:line="17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Exhibit G:</w:t>
        <w:tab/>
        <w:t>Reserved.</w:t>
      </w:r>
    </w:p>
    <w:p>
      <w:pPr>
        <w:spacing w:after="0" w:line="18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ACH Debit Authorization Agreement</w:t>
      </w:r>
    </w:p>
    <w:p>
      <w:pPr>
        <w:spacing w:after="0" w:line="1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Reserved.</w:t>
      </w:r>
    </w:p>
    <w:p>
      <w:pPr>
        <w:spacing w:after="0" w:line="175" w:lineRule="exact"/>
        <w:rPr>
          <w:sz w:val="20"/>
          <w:szCs w:val="20"/>
          <w:color w:val="auto"/>
        </w:rPr>
      </w:pPr>
    </w:p>
    <w:p>
      <w:pPr>
        <w:ind w:left="1140" w:right="480" w:hanging="1295"/>
        <w:spacing w:after="0"/>
        <w:tabs>
          <w:tab w:leader="none" w:pos="1120" w:val="left"/>
        </w:tabs>
        <w:rPr>
          <w:sz w:val="20"/>
          <w:szCs w:val="20"/>
          <w:color w:val="auto"/>
        </w:rPr>
      </w:pPr>
      <w:r>
        <w:rPr>
          <w:rFonts w:ascii="Times New Roman" w:cs="Times New Roman" w:eastAsia="Times New Roman" w:hAnsi="Times New Roman"/>
          <w:sz w:val="20"/>
          <w:szCs w:val="20"/>
          <w:color w:val="auto"/>
        </w:rPr>
        <w:t>Exhibit J-1:</w:t>
        <w:tab/>
        <w:t>Form of U.S. Tax Compliance Certificate (For Foreign Lenders That Are Not Partnerships For U.S. Federal Income Tax Purposes)</w:t>
      </w:r>
    </w:p>
    <w:p>
      <w:pPr>
        <w:spacing w:after="0" w:line="161" w:lineRule="exact"/>
        <w:rPr>
          <w:sz w:val="20"/>
          <w:szCs w:val="20"/>
          <w:color w:val="auto"/>
        </w:rPr>
      </w:pPr>
    </w:p>
    <w:p>
      <w:pPr>
        <w:ind w:left="1140" w:right="180" w:hanging="1295"/>
        <w:spacing w:after="0" w:line="233" w:lineRule="auto"/>
        <w:tabs>
          <w:tab w:leader="none" w:pos="1120" w:val="left"/>
        </w:tabs>
        <w:rPr>
          <w:sz w:val="20"/>
          <w:szCs w:val="20"/>
          <w:color w:val="auto"/>
        </w:rPr>
      </w:pPr>
      <w:r>
        <w:rPr>
          <w:rFonts w:ascii="Times New Roman" w:cs="Times New Roman" w:eastAsia="Times New Roman" w:hAnsi="Times New Roman"/>
          <w:sz w:val="20"/>
          <w:szCs w:val="20"/>
          <w:color w:val="auto"/>
        </w:rPr>
        <w:t>Exhibit J-2:</w:t>
        <w:tab/>
        <w:t>Form of U.S. Tax Compliance Certificate (For Foreign Participants That Are Not Partnerships For U.S. Federal Income Tax Purposes)</w:t>
      </w:r>
    </w:p>
    <w:p>
      <w:pPr>
        <w:spacing w:after="0" w:line="161" w:lineRule="exact"/>
        <w:rPr>
          <w:sz w:val="20"/>
          <w:szCs w:val="20"/>
          <w:color w:val="auto"/>
        </w:rPr>
      </w:pPr>
    </w:p>
    <w:p>
      <w:pPr>
        <w:ind w:left="1140" w:right="520" w:hanging="1295"/>
        <w:spacing w:after="0" w:line="233" w:lineRule="auto"/>
        <w:tabs>
          <w:tab w:leader="none" w:pos="1120" w:val="left"/>
        </w:tabs>
        <w:rPr>
          <w:sz w:val="20"/>
          <w:szCs w:val="20"/>
          <w:color w:val="auto"/>
        </w:rPr>
      </w:pPr>
      <w:r>
        <w:rPr>
          <w:rFonts w:ascii="Times New Roman" w:cs="Times New Roman" w:eastAsia="Times New Roman" w:hAnsi="Times New Roman"/>
          <w:sz w:val="20"/>
          <w:szCs w:val="20"/>
          <w:color w:val="auto"/>
        </w:rPr>
        <w:t>Exhibit J-3:</w:t>
        <w:tab/>
        <w:t>Form of U.S. Tax Compliance Certificate (For Foreign Participants That Are Partnerships For U.S. Federal Income Tax Purposes)</w:t>
      </w:r>
    </w:p>
    <w:p>
      <w:pPr>
        <w:spacing w:after="0" w:line="16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J-4:</w:t>
      </w:r>
      <w:r>
        <w:rPr>
          <w:sz w:val="20"/>
          <w:szCs w:val="20"/>
          <w:color w:val="auto"/>
        </w:rPr>
        <w:tab/>
      </w:r>
      <w:r>
        <w:rPr>
          <w:rFonts w:ascii="Times New Roman" w:cs="Times New Roman" w:eastAsia="Times New Roman" w:hAnsi="Times New Roman"/>
          <w:sz w:val="19"/>
          <w:szCs w:val="19"/>
          <w:color w:val="auto"/>
        </w:rPr>
        <w:t>Form of U.S. Tax Compliance Certificate (For Foreign Lenders That Are Partnerships For U.S. Federal Income Tax Purposes)</w:t>
      </w:r>
    </w:p>
    <w:p>
      <w:pPr>
        <w:spacing w:after="0" w:line="170"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1.1</w:t>
      </w:r>
      <w:r>
        <w:rPr>
          <w:sz w:val="20"/>
          <w:szCs w:val="20"/>
          <w:color w:val="auto"/>
        </w:rPr>
        <w:tab/>
      </w:r>
      <w:r>
        <w:rPr>
          <w:rFonts w:ascii="Times New Roman" w:cs="Times New Roman" w:eastAsia="Times New Roman" w:hAnsi="Times New Roman"/>
          <w:sz w:val="19"/>
          <w:szCs w:val="19"/>
          <w:color w:val="auto"/>
        </w:rPr>
        <w:t>Commitments</w:t>
      </w:r>
    </w:p>
    <w:p>
      <w:pPr>
        <w:spacing w:after="0" w:line="222" w:lineRule="auto"/>
        <w:tabs>
          <w:tab w:leader="none" w:pos="1060" w:val="left"/>
        </w:tabs>
        <w:rPr>
          <w:sz w:val="20"/>
          <w:szCs w:val="20"/>
          <w:color w:val="auto"/>
        </w:rPr>
      </w:pPr>
      <w:r>
        <w:rPr>
          <w:rFonts w:ascii="Times New Roman" w:cs="Times New Roman" w:eastAsia="Times New Roman" w:hAnsi="Times New Roman"/>
          <w:sz w:val="20"/>
          <w:szCs w:val="20"/>
          <w:color w:val="auto"/>
        </w:rPr>
        <w:t>Schedule 1</w:t>
      </w:r>
      <w:r>
        <w:rPr>
          <w:sz w:val="20"/>
          <w:szCs w:val="20"/>
          <w:color w:val="auto"/>
        </w:rPr>
        <w:tab/>
      </w:r>
      <w:r>
        <w:rPr>
          <w:rFonts w:ascii="Times New Roman" w:cs="Times New Roman" w:eastAsia="Times New Roman" w:hAnsi="Times New Roman"/>
          <w:sz w:val="19"/>
          <w:szCs w:val="19"/>
          <w:color w:val="auto"/>
        </w:rPr>
        <w:t>Subsidiaries</w:t>
      </w:r>
    </w:p>
    <w:p>
      <w:pPr>
        <w:spacing w:after="0" w:line="222" w:lineRule="auto"/>
        <w:tabs>
          <w:tab w:leader="none" w:pos="1200" w:val="left"/>
        </w:tabs>
        <w:rPr>
          <w:sz w:val="20"/>
          <w:szCs w:val="20"/>
          <w:color w:val="auto"/>
        </w:rPr>
      </w:pPr>
      <w:r>
        <w:rPr>
          <w:rFonts w:ascii="Times New Roman" w:cs="Times New Roman" w:eastAsia="Times New Roman" w:hAnsi="Times New Roman"/>
          <w:sz w:val="20"/>
          <w:szCs w:val="20"/>
          <w:color w:val="auto"/>
        </w:rPr>
        <w:t>Schedule 1A</w:t>
      </w:r>
      <w:r>
        <w:rPr>
          <w:sz w:val="20"/>
          <w:szCs w:val="20"/>
          <w:color w:val="auto"/>
        </w:rPr>
        <w:tab/>
      </w:r>
      <w:r>
        <w:rPr>
          <w:rFonts w:ascii="Times New Roman" w:cs="Times New Roman" w:eastAsia="Times New Roman" w:hAnsi="Times New Roman"/>
          <w:sz w:val="19"/>
          <w:szCs w:val="19"/>
          <w:color w:val="auto"/>
        </w:rPr>
        <w:t>Existing Permitted Indebtedness</w:t>
      </w:r>
    </w:p>
    <w:tbl>
      <w:tblPr>
        <w:tblLayout w:type="fixed"/>
        <w:tblInd w:w="0" w:type="dxa"/>
        <w:tblCellMar>
          <w:top w:w="0" w:type="dxa"/>
          <w:left w:w="0" w:type="dxa"/>
          <w:bottom w:w="0" w:type="dxa"/>
          <w:right w:w="0" w:type="dxa"/>
        </w:tblCellMar>
      </w:tblPr>
      <w:tr>
        <w:trPr>
          <w:trHeight w:val="177"/>
        </w:trPr>
        <w:tc>
          <w:tcPr>
            <w:tcW w:w="1120" w:type="dxa"/>
            <w:vAlign w:val="bottom"/>
          </w:tcPr>
          <w:p>
            <w:pPr>
              <w:spacing w:after="0" w:line="177" w:lineRule="exact"/>
              <w:rPr>
                <w:sz w:val="20"/>
                <w:szCs w:val="20"/>
                <w:color w:val="auto"/>
              </w:rPr>
            </w:pPr>
            <w:r>
              <w:rPr>
                <w:rFonts w:ascii="Times New Roman" w:cs="Times New Roman" w:eastAsia="Times New Roman" w:hAnsi="Times New Roman"/>
                <w:sz w:val="20"/>
                <w:szCs w:val="20"/>
                <w:color w:val="auto"/>
              </w:rPr>
              <w:t>Schedule 1B</w:t>
            </w:r>
          </w:p>
        </w:tc>
        <w:tc>
          <w:tcPr>
            <w:tcW w:w="258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20"/>
                <w:szCs w:val="20"/>
                <w:color w:val="auto"/>
                <w:w w:val="97"/>
              </w:rPr>
              <w:t>Existing Permitted Investments</w:t>
            </w:r>
          </w:p>
        </w:tc>
      </w:tr>
      <w:tr>
        <w:trPr>
          <w:trHeight w:val="193"/>
        </w:trPr>
        <w:tc>
          <w:tcPr>
            <w:tcW w:w="1120" w:type="dxa"/>
            <w:vAlign w:val="bottom"/>
          </w:tcPr>
          <w:p>
            <w:pPr>
              <w:spacing w:after="0" w:line="193" w:lineRule="exact"/>
              <w:rPr>
                <w:sz w:val="20"/>
                <w:szCs w:val="20"/>
                <w:color w:val="auto"/>
              </w:rPr>
            </w:pPr>
            <w:r>
              <w:rPr>
                <w:rFonts w:ascii="Times New Roman" w:cs="Times New Roman" w:eastAsia="Times New Roman" w:hAnsi="Times New Roman"/>
                <w:sz w:val="20"/>
                <w:szCs w:val="20"/>
                <w:color w:val="auto"/>
              </w:rPr>
              <w:t>Schedule 1C</w:t>
            </w:r>
          </w:p>
        </w:tc>
        <w:tc>
          <w:tcPr>
            <w:tcW w:w="258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20"/>
                <w:szCs w:val="20"/>
                <w:color w:val="auto"/>
              </w:rPr>
              <w:t>Existing Permitted Liens</w:t>
            </w:r>
          </w:p>
        </w:tc>
      </w:tr>
      <w:tr>
        <w:trPr>
          <w:trHeight w:val="203"/>
        </w:trPr>
        <w:tc>
          <w:tcPr>
            <w:tcW w:w="11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Schedule 5.3</w:t>
            </w:r>
          </w:p>
        </w:tc>
        <w:tc>
          <w:tcPr>
            <w:tcW w:w="252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color w:val="auto"/>
              </w:rPr>
              <w:t>Consents, Etc.</w:t>
            </w:r>
          </w:p>
        </w:tc>
      </w:tr>
      <w:tr>
        <w:trPr>
          <w:trHeight w:val="198"/>
        </w:trPr>
        <w:tc>
          <w:tcPr>
            <w:tcW w:w="11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Schedule 5.8</w:t>
            </w:r>
          </w:p>
        </w:tc>
        <w:tc>
          <w:tcPr>
            <w:tcW w:w="2520" w:type="dxa"/>
            <w:vAlign w:val="bottom"/>
          </w:tcPr>
          <w:p>
            <w:pPr>
              <w:ind w:left="40"/>
              <w:spacing w:after="0" w:line="198" w:lineRule="exact"/>
              <w:rPr>
                <w:sz w:val="20"/>
                <w:szCs w:val="20"/>
                <w:color w:val="auto"/>
              </w:rPr>
            </w:pPr>
            <w:r>
              <w:rPr>
                <w:rFonts w:ascii="Times New Roman" w:cs="Times New Roman" w:eastAsia="Times New Roman" w:hAnsi="Times New Roman"/>
                <w:sz w:val="20"/>
                <w:szCs w:val="20"/>
                <w:color w:val="auto"/>
              </w:rPr>
              <w:t>Tax Matters</w:t>
            </w:r>
          </w:p>
        </w:tc>
      </w:tr>
      <w:tr>
        <w:trPr>
          <w:trHeight w:val="193"/>
        </w:trPr>
        <w:tc>
          <w:tcPr>
            <w:tcW w:w="3700" w:type="dxa"/>
            <w:vAlign w:val="bottom"/>
            <w:gridSpan w:val="3"/>
          </w:tcPr>
          <w:p>
            <w:pPr>
              <w:spacing w:after="0" w:line="193" w:lineRule="exact"/>
              <w:rPr>
                <w:sz w:val="20"/>
                <w:szCs w:val="20"/>
                <w:color w:val="auto"/>
              </w:rPr>
            </w:pPr>
            <w:r>
              <w:rPr>
                <w:rFonts w:ascii="Times New Roman" w:cs="Times New Roman" w:eastAsia="Times New Roman" w:hAnsi="Times New Roman"/>
                <w:sz w:val="20"/>
                <w:szCs w:val="20"/>
                <w:color w:val="auto"/>
              </w:rPr>
              <w:t>Schedule 5.9  Intellectual Property Claims</w:t>
            </w:r>
          </w:p>
        </w:tc>
      </w:tr>
      <w:tr>
        <w:trPr>
          <w:trHeight w:val="203"/>
        </w:trPr>
        <w:tc>
          <w:tcPr>
            <w:tcW w:w="1180" w:type="dxa"/>
            <w:vAlign w:val="bottom"/>
            <w:gridSpan w:val="2"/>
          </w:tcPr>
          <w:p>
            <w:pPr>
              <w:spacing w:after="0" w:line="203" w:lineRule="exact"/>
              <w:rPr>
                <w:sz w:val="20"/>
                <w:szCs w:val="20"/>
                <w:color w:val="auto"/>
              </w:rPr>
            </w:pPr>
            <w:r>
              <w:rPr>
                <w:rFonts w:ascii="Times New Roman" w:cs="Times New Roman" w:eastAsia="Times New Roman" w:hAnsi="Times New Roman"/>
                <w:sz w:val="20"/>
                <w:szCs w:val="20"/>
                <w:color w:val="auto"/>
              </w:rPr>
              <w:t>Schedule 5.10</w:t>
            </w:r>
          </w:p>
        </w:tc>
        <w:tc>
          <w:tcPr>
            <w:tcW w:w="2520" w:type="dxa"/>
            <w:vAlign w:val="bottom"/>
          </w:tcPr>
          <w:p>
            <w:pPr>
              <w:ind w:left="140"/>
              <w:spacing w:after="0" w:line="203" w:lineRule="exact"/>
              <w:rPr>
                <w:sz w:val="20"/>
                <w:szCs w:val="20"/>
                <w:color w:val="auto"/>
              </w:rPr>
            </w:pPr>
            <w:r>
              <w:rPr>
                <w:rFonts w:ascii="Times New Roman" w:cs="Times New Roman" w:eastAsia="Times New Roman" w:hAnsi="Times New Roman"/>
                <w:sz w:val="20"/>
                <w:szCs w:val="20"/>
                <w:color w:val="auto"/>
              </w:rPr>
              <w:t>Intellectual Property</w:t>
            </w:r>
          </w:p>
        </w:tc>
      </w:tr>
      <w:tr>
        <w:trPr>
          <w:trHeight w:val="198"/>
        </w:trPr>
        <w:tc>
          <w:tcPr>
            <w:tcW w:w="1180" w:type="dxa"/>
            <w:vAlign w:val="bottom"/>
            <w:gridSpan w:val="2"/>
          </w:tcPr>
          <w:p>
            <w:pPr>
              <w:spacing w:after="0" w:line="198" w:lineRule="exact"/>
              <w:rPr>
                <w:sz w:val="20"/>
                <w:szCs w:val="20"/>
                <w:color w:val="auto"/>
              </w:rPr>
            </w:pPr>
            <w:r>
              <w:rPr>
                <w:rFonts w:ascii="Times New Roman" w:cs="Times New Roman" w:eastAsia="Times New Roman" w:hAnsi="Times New Roman"/>
                <w:sz w:val="20"/>
                <w:szCs w:val="20"/>
                <w:color w:val="auto"/>
              </w:rPr>
              <w:t>Schedule 5.11</w:t>
            </w:r>
          </w:p>
        </w:tc>
        <w:tc>
          <w:tcPr>
            <w:tcW w:w="2520" w:type="dxa"/>
            <w:vAlign w:val="bottom"/>
          </w:tcPr>
          <w:p>
            <w:pPr>
              <w:ind w:left="140"/>
              <w:spacing w:after="0" w:line="198" w:lineRule="exact"/>
              <w:rPr>
                <w:sz w:val="20"/>
                <w:szCs w:val="20"/>
                <w:color w:val="auto"/>
              </w:rPr>
            </w:pPr>
            <w:r>
              <w:rPr>
                <w:rFonts w:ascii="Times New Roman" w:cs="Times New Roman" w:eastAsia="Times New Roman" w:hAnsi="Times New Roman"/>
                <w:sz w:val="20"/>
                <w:szCs w:val="20"/>
                <w:color w:val="auto"/>
              </w:rPr>
              <w:t>Borrower Products</w:t>
            </w:r>
          </w:p>
        </w:tc>
      </w:tr>
      <w:tr>
        <w:trPr>
          <w:trHeight w:val="215"/>
        </w:trPr>
        <w:tc>
          <w:tcPr>
            <w:tcW w:w="118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Schedule 5.14</w:t>
            </w:r>
          </w:p>
        </w:tc>
        <w:tc>
          <w:tcPr>
            <w:tcW w:w="2520" w:type="dxa"/>
            <w:vAlign w:val="bottom"/>
          </w:tcPr>
          <w:p>
            <w:pPr>
              <w:ind w:left="140"/>
              <w:spacing w:after="0" w:line="215" w:lineRule="exact"/>
              <w:rPr>
                <w:sz w:val="20"/>
                <w:szCs w:val="20"/>
                <w:color w:val="auto"/>
              </w:rPr>
            </w:pPr>
            <w:r>
              <w:rPr>
                <w:rFonts w:ascii="Times New Roman" w:cs="Times New Roman" w:eastAsia="Times New Roman" w:hAnsi="Times New Roman"/>
                <w:sz w:val="20"/>
                <w:szCs w:val="20"/>
                <w:color w:val="auto"/>
              </w:rPr>
              <w:t>Capitalization</w:t>
            </w:r>
          </w:p>
        </w:tc>
      </w:tr>
    </w:tbl>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7.19</w:t>
      </w:r>
      <w:r>
        <w:rPr>
          <w:sz w:val="20"/>
          <w:szCs w:val="20"/>
          <w:color w:val="auto"/>
        </w:rPr>
        <w:tab/>
      </w:r>
      <w:r>
        <w:rPr>
          <w:rFonts w:ascii="Times New Roman" w:cs="Times New Roman" w:eastAsia="Times New Roman" w:hAnsi="Times New Roman"/>
          <w:sz w:val="19"/>
          <w:szCs w:val="19"/>
          <w:color w:val="auto"/>
        </w:rPr>
        <w:t>T12M Revenue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20"/>
          </w:cols>
          <w:pgMar w:left="320" w:top="1440" w:right="45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120"/>
          </w:cols>
          <w:pgMar w:left="320" w:top="1440" w:right="459" w:bottom="1440" w:gutter="0" w:footer="0" w:header="0"/>
          <w:type w:val="continuous"/>
        </w:sectPr>
      </w:pPr>
    </w:p>
    <w:bookmarkStart w:id="190" w:name="page191"/>
    <w:bookmarkEnd w:id="190"/>
    <w:p>
      <w:pPr>
        <w:spacing w:after="0" w:line="17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ADDENDUM 1 to LOAN AND SECURITY AGREEMENT</w:t>
      </w:r>
    </w:p>
    <w:p>
      <w:pPr>
        <w:spacing w:after="0" w:line="18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TAXES; INCREASED COSTS</w:t>
      </w:r>
    </w:p>
    <w:p>
      <w:pPr>
        <w:spacing w:after="0" w:line="175" w:lineRule="exact"/>
        <w:rPr>
          <w:sz w:val="20"/>
          <w:szCs w:val="20"/>
          <w:color w:val="auto"/>
        </w:rPr>
      </w:pPr>
    </w:p>
    <w:p>
      <w:pPr>
        <w:ind w:left="420" w:hanging="327"/>
        <w:spacing w:after="0"/>
        <w:tabs>
          <w:tab w:leader="none" w:pos="4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For purposes of this Addendum 1:</w:t>
      </w:r>
    </w:p>
    <w:p>
      <w:pPr>
        <w:spacing w:after="0" w:line="188" w:lineRule="exact"/>
        <w:rPr>
          <w:rFonts w:ascii="Times New Roman" w:cs="Times New Roman" w:eastAsia="Times New Roman" w:hAnsi="Times New Roman"/>
          <w:sz w:val="20"/>
          <w:szCs w:val="20"/>
          <w:color w:val="auto"/>
        </w:rPr>
      </w:pPr>
    </w:p>
    <w:p>
      <w:pPr>
        <w:ind w:left="1060" w:hanging="319"/>
        <w:spacing w:after="0" w:line="245" w:lineRule="auto"/>
        <w:tabs>
          <w:tab w:leader="none" w:pos="1049"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37" w:lineRule="exact"/>
        <w:rPr>
          <w:rFonts w:ascii="Times New Roman" w:cs="Times New Roman" w:eastAsia="Times New Roman" w:hAnsi="Times New Roman"/>
          <w:sz w:val="20"/>
          <w:szCs w:val="20"/>
          <w:color w:val="auto"/>
        </w:rPr>
      </w:pPr>
    </w:p>
    <w:p>
      <w:pPr>
        <w:jc w:val="both"/>
        <w:ind w:left="1060" w:hanging="319"/>
        <w:spacing w:after="0" w:line="213" w:lineRule="auto"/>
        <w:tabs>
          <w:tab w:leader="none" w:pos="10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42" w:lineRule="exact"/>
        <w:rPr>
          <w:rFonts w:ascii="Times New Roman" w:cs="Times New Roman" w:eastAsia="Times New Roman" w:hAnsi="Times New Roman"/>
          <w:sz w:val="20"/>
          <w:szCs w:val="20"/>
          <w:color w:val="auto"/>
        </w:rPr>
      </w:pPr>
    </w:p>
    <w:p>
      <w:pPr>
        <w:jc w:val="both"/>
        <w:ind w:left="1060" w:hanging="319"/>
        <w:spacing w:after="0" w:line="220" w:lineRule="auto"/>
        <w:tabs>
          <w:tab w:leader="none" w:pos="1049"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47" w:lineRule="exact"/>
        <w:rPr>
          <w:rFonts w:ascii="Times New Roman" w:cs="Times New Roman" w:eastAsia="Times New Roman" w:hAnsi="Times New Roman"/>
          <w:sz w:val="20"/>
          <w:szCs w:val="20"/>
          <w:color w:val="auto"/>
        </w:rPr>
      </w:pPr>
    </w:p>
    <w:p>
      <w:pPr>
        <w:ind w:left="1060" w:hanging="319"/>
        <w:spacing w:after="0"/>
        <w:tabs>
          <w:tab w:leader="none" w:pos="10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Lender that is not a U.S. Person.</w:t>
      </w:r>
    </w:p>
    <w:p>
      <w:pPr>
        <w:spacing w:after="0" w:line="188" w:lineRule="exact"/>
        <w:rPr>
          <w:rFonts w:ascii="Times New Roman" w:cs="Times New Roman" w:eastAsia="Times New Roman" w:hAnsi="Times New Roman"/>
          <w:sz w:val="20"/>
          <w:szCs w:val="20"/>
          <w:color w:val="auto"/>
        </w:rPr>
      </w:pPr>
    </w:p>
    <w:p>
      <w:pPr>
        <w:jc w:val="both"/>
        <w:ind w:left="1060" w:hanging="319"/>
        <w:spacing w:after="0" w:line="227" w:lineRule="auto"/>
        <w:tabs>
          <w:tab w:leader="none" w:pos="1049"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(i) Taxes, other than Excluded Taxes, imposed on or with respect to any payment made by or on account of any obligation of any Loan Party under any Loan Document and (ii) to the extent not otherwise described in clause (i), Other Taxes.</w:t>
      </w:r>
    </w:p>
    <w:p>
      <w:pPr>
        <w:spacing w:after="0" w:line="157" w:lineRule="exact"/>
        <w:rPr>
          <w:rFonts w:ascii="Times New Roman" w:cs="Times New Roman" w:eastAsia="Times New Roman" w:hAnsi="Times New Roman"/>
          <w:sz w:val="20"/>
          <w:szCs w:val="20"/>
          <w:color w:val="auto"/>
        </w:rPr>
      </w:pPr>
    </w:p>
    <w:p>
      <w:pPr>
        <w:ind w:left="1060" w:hanging="319"/>
        <w:spacing w:after="0"/>
        <w:tabs>
          <w:tab w:leader="none" w:pos="10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w:t>
      </w:r>
      <w:r>
        <w:rPr>
          <w:rFonts w:ascii="Times New Roman" w:cs="Times New Roman" w:eastAsia="Times New Roman" w:hAnsi="Times New Roman"/>
          <w:sz w:val="20"/>
          <w:szCs w:val="20"/>
          <w:color w:val="auto"/>
        </w:rPr>
        <w:t>” has the meaning given to such term in the Agreement, but excluding the Warrant.</w:t>
      </w:r>
    </w:p>
    <w:p>
      <w:pPr>
        <w:spacing w:after="0" w:line="188" w:lineRule="exact"/>
        <w:rPr>
          <w:rFonts w:ascii="Times New Roman" w:cs="Times New Roman" w:eastAsia="Times New Roman" w:hAnsi="Times New Roman"/>
          <w:sz w:val="20"/>
          <w:szCs w:val="20"/>
          <w:color w:val="auto"/>
        </w:rPr>
      </w:pPr>
    </w:p>
    <w:p>
      <w:pPr>
        <w:jc w:val="both"/>
        <w:ind w:left="1060" w:hanging="319"/>
        <w:spacing w:after="0" w:line="218" w:lineRule="auto"/>
        <w:tabs>
          <w:tab w:leader="none" w:pos="10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7" w:lineRule="exact"/>
        <w:rPr>
          <w:rFonts w:ascii="Times New Roman" w:cs="Times New Roman" w:eastAsia="Times New Roman" w:hAnsi="Times New Roman"/>
          <w:sz w:val="20"/>
          <w:szCs w:val="20"/>
          <w:color w:val="auto"/>
        </w:rPr>
      </w:pPr>
    </w:p>
    <w:p>
      <w:pPr>
        <w:jc w:val="both"/>
        <w:ind w:left="1060" w:hanging="319"/>
        <w:spacing w:after="0" w:line="227" w:lineRule="auto"/>
        <w:tabs>
          <w:tab w:leader="none" w:pos="10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7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except any such Taxes that are Other Connection Taxes imposed with respect to an assignment.</w:t>
      </w:r>
    </w:p>
    <w:p>
      <w:pPr>
        <w:spacing w:after="0" w:line="185" w:lineRule="exact"/>
        <w:rPr>
          <w:sz w:val="20"/>
          <w:szCs w:val="20"/>
          <w:color w:val="auto"/>
        </w:rPr>
      </w:pPr>
    </w:p>
    <w:p>
      <w:pPr>
        <w:ind w:left="1060" w:hanging="319"/>
        <w:spacing w:after="0"/>
        <w:tabs>
          <w:tab w:leader="none" w:pos="106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the Agent or any Lender, as applicable.</w:t>
      </w:r>
    </w:p>
    <w:p>
      <w:pPr>
        <w:spacing w:after="0" w:line="175" w:lineRule="exact"/>
        <w:rPr>
          <w:rFonts w:ascii="Times New Roman" w:cs="Times New Roman" w:eastAsia="Times New Roman" w:hAnsi="Times New Roman"/>
          <w:sz w:val="20"/>
          <w:szCs w:val="20"/>
          <w:color w:val="auto"/>
        </w:rPr>
      </w:pPr>
    </w:p>
    <w:p>
      <w:pPr>
        <w:ind w:left="1060" w:hanging="319"/>
        <w:spacing w:after="0"/>
        <w:tabs>
          <w:tab w:leader="none" w:pos="1060"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the applicable Loan Party and the Agent.</w:t>
      </w:r>
    </w:p>
    <w:p>
      <w:pPr>
        <w:spacing w:after="0" w:line="188" w:lineRule="exact"/>
        <w:rPr>
          <w:rFonts w:ascii="Times New Roman" w:cs="Times New Roman" w:eastAsia="Times New Roman" w:hAnsi="Times New Roman"/>
          <w:sz w:val="20"/>
          <w:szCs w:val="20"/>
          <w:color w:val="auto"/>
        </w:rPr>
      </w:pPr>
    </w:p>
    <w:p>
      <w:pPr>
        <w:jc w:val="both"/>
        <w:ind w:left="420" w:hanging="327"/>
        <w:spacing w:after="0" w:line="213" w:lineRule="auto"/>
        <w:tabs>
          <w:tab w:leader="none" w:pos="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61" w:lineRule="exact"/>
        <w:rPr>
          <w:rFonts w:ascii="Times New Roman" w:cs="Times New Roman" w:eastAsia="Times New Roman" w:hAnsi="Times New Roman"/>
          <w:sz w:val="20"/>
          <w:szCs w:val="20"/>
          <w:color w:val="auto"/>
        </w:rPr>
      </w:pPr>
    </w:p>
    <w:p>
      <w:pPr>
        <w:ind w:left="420" w:hanging="327"/>
        <w:spacing w:after="0" w:line="245" w:lineRule="auto"/>
        <w:tabs>
          <w:tab w:leader="none" w:pos="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Payment of Other Taxes by Borrower</w:t>
      </w:r>
      <w:r>
        <w:rPr>
          <w:rFonts w:ascii="Times New Roman" w:cs="Times New Roman" w:eastAsia="Times New Roman" w:hAnsi="Times New Roman"/>
          <w:sz w:val="20"/>
          <w:szCs w:val="20"/>
          <w:color w:val="auto"/>
        </w:rPr>
        <w:t>. The Loan Parties shall timely pay to the relevant governmental authority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 or at the option of the Agent timely reimburse it for the payment of, any Other Taxes.</w:t>
      </w:r>
    </w:p>
    <w:p>
      <w:pPr>
        <w:spacing w:after="0" w:line="137" w:lineRule="exact"/>
        <w:rPr>
          <w:rFonts w:ascii="Times New Roman" w:cs="Times New Roman" w:eastAsia="Times New Roman" w:hAnsi="Times New Roman"/>
          <w:sz w:val="20"/>
          <w:szCs w:val="20"/>
          <w:color w:val="auto"/>
        </w:rPr>
      </w:pPr>
    </w:p>
    <w:p>
      <w:pPr>
        <w:jc w:val="both"/>
        <w:ind w:left="420" w:hanging="327"/>
        <w:spacing w:after="0" w:line="213" w:lineRule="auto"/>
        <w:tabs>
          <w:tab w:leader="none" w:pos="4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by Borrower</w:t>
      </w:r>
      <w:r>
        <w:rPr>
          <w:rFonts w:ascii="Times New Roman" w:cs="Times New Roman" w:eastAsia="Times New Roman" w:hAnsi="Times New Roman"/>
          <w:sz w:val="20"/>
          <w:szCs w:val="20"/>
          <w:color w:val="auto"/>
        </w:rPr>
        <w:t>. The Loan Parties shall indemnify each Recipient, within ten (10) days after demand therefor,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 In addition, the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spacing w:after="0" w:line="155" w:lineRule="exact"/>
        <w:rPr>
          <w:rFonts w:ascii="Times New Roman" w:cs="Times New Roman" w:eastAsia="Times New Roman" w:hAnsi="Times New Roman"/>
          <w:sz w:val="20"/>
          <w:szCs w:val="20"/>
          <w:color w:val="auto"/>
        </w:rPr>
      </w:pPr>
    </w:p>
    <w:p>
      <w:pPr>
        <w:ind w:left="420" w:hanging="327"/>
        <w:spacing w:after="0"/>
        <w:tabs>
          <w:tab w:leader="none" w:pos="42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Indemnification by the Lenders</w:t>
      </w:r>
      <w:r>
        <w:rPr>
          <w:rFonts w:ascii="Times New Roman" w:cs="Times New Roman" w:eastAsia="Times New Roman" w:hAnsi="Times New Roman"/>
          <w:sz w:val="19"/>
          <w:szCs w:val="19"/>
          <w:color w:val="auto"/>
        </w:rPr>
        <w:t>. Each Lender shall severally indemnify the Agent, within ten (10) days after demand therefor, for any</w:t>
      </w:r>
    </w:p>
    <w:p>
      <w:pPr>
        <w:ind w:left="700" w:hanging="283"/>
        <w:spacing w:after="0" w:line="211" w:lineRule="auto"/>
        <w:tabs>
          <w:tab w:leader="none" w:pos="7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Indemnified Taxes attributable to such Lender (but only to the extent that any Loan Party has not already indemnified the Agent for</w:t>
      </w:r>
    </w:p>
    <w:p>
      <w:pPr>
        <w:ind w:left="420"/>
        <w:spacing w:after="0" w:line="211" w:lineRule="auto"/>
        <w:rPr>
          <w:sz w:val="20"/>
          <w:szCs w:val="20"/>
          <w:color w:val="auto"/>
        </w:rPr>
      </w:pPr>
      <w:r>
        <w:rPr>
          <w:rFonts w:ascii="Times New Roman" w:cs="Times New Roman" w:eastAsia="Times New Roman" w:hAnsi="Times New Roman"/>
          <w:sz w:val="20"/>
          <w:szCs w:val="20"/>
          <w:color w:val="auto"/>
        </w:rPr>
        <w:t>such Indemnified Taxes and without limiting the obligation of the Loan Parties to do so), [(b) any Taxes attributable to such Lender’s</w:t>
      </w:r>
    </w:p>
    <w:p>
      <w:pPr>
        <w:spacing w:after="0" w:line="1" w:lineRule="exact"/>
        <w:rPr>
          <w:sz w:val="20"/>
          <w:szCs w:val="20"/>
          <w:color w:val="auto"/>
        </w:rPr>
      </w:pPr>
    </w:p>
    <w:p>
      <w:pPr>
        <w:jc w:val="both"/>
        <w:ind w:left="420"/>
        <w:spacing w:after="0" w:line="229" w:lineRule="auto"/>
        <w:rPr>
          <w:sz w:val="20"/>
          <w:szCs w:val="20"/>
          <w:color w:val="auto"/>
        </w:rPr>
      </w:pPr>
      <w:r>
        <w:rPr>
          <w:rFonts w:ascii="Times New Roman" w:cs="Times New Roman" w:eastAsia="Times New Roman" w:hAnsi="Times New Roman"/>
          <w:sz w:val="19"/>
          <w:szCs w:val="19"/>
          <w:color w:val="auto"/>
        </w:rPr>
        <w:t>failure to comply with the provisions of Section 11.8 of the Agreement relating to the maintenance of a Participant Register] and (c) any Excluded Taxes attributable to such Lender, in each case, that are payable or paid by the Agent in connection with any Loan Document,</w:t>
      </w:r>
    </w:p>
    <w:p>
      <w:pPr>
        <w:ind w:left="420"/>
        <w:spacing w:after="0" w:line="212" w:lineRule="auto"/>
        <w:rPr>
          <w:sz w:val="20"/>
          <w:szCs w:val="20"/>
          <w:color w:val="auto"/>
        </w:rPr>
      </w:pPr>
      <w:r>
        <w:rPr>
          <w:rFonts w:ascii="Times New Roman" w:cs="Times New Roman" w:eastAsia="Times New Roman" w:hAnsi="Times New Roman"/>
          <w:sz w:val="20"/>
          <w:szCs w:val="20"/>
          <w:color w:val="auto"/>
        </w:rPr>
        <w:t>and any reasonable expenses arising therefrom or with respect thereto, whether or not such Taxes were correctly or legally imposed or</w:t>
      </w:r>
    </w:p>
    <w:p>
      <w:pPr>
        <w:spacing w:after="0" w:line="1" w:lineRule="exact"/>
        <w:rPr>
          <w:sz w:val="20"/>
          <w:szCs w:val="20"/>
          <w:color w:val="auto"/>
        </w:rPr>
      </w:pPr>
    </w:p>
    <w:p>
      <w:pPr>
        <w:ind w:left="420"/>
        <w:spacing w:after="0" w:line="215" w:lineRule="auto"/>
        <w:rPr>
          <w:sz w:val="20"/>
          <w:szCs w:val="20"/>
          <w:color w:val="auto"/>
        </w:rPr>
      </w:pPr>
      <w:r>
        <w:rPr>
          <w:rFonts w:ascii="Times New Roman" w:cs="Times New Roman" w:eastAsia="Times New Roman" w:hAnsi="Times New Roman"/>
          <w:sz w:val="19"/>
          <w:szCs w:val="19"/>
          <w:color w:val="auto"/>
        </w:rPr>
        <w:t>asserted by the relevant governmental authority. A certificate as to the amount of such payment or liability delivered to any Lender by the Agent shall be conclusive absent manifest error. Each Lender hereby authorizes the Agent to set off and apply any and all amounts at</w:t>
      </w:r>
    </w:p>
    <w:p>
      <w:pPr>
        <w:ind w:left="420" w:right="20"/>
        <w:spacing w:after="0" w:line="228" w:lineRule="auto"/>
        <w:rPr>
          <w:sz w:val="20"/>
          <w:szCs w:val="20"/>
          <w:color w:val="auto"/>
        </w:rPr>
      </w:pPr>
      <w:r>
        <w:rPr>
          <w:rFonts w:ascii="Times New Roman" w:cs="Times New Roman" w:eastAsia="Times New Roman" w:hAnsi="Times New Roman"/>
          <w:sz w:val="20"/>
          <w:szCs w:val="20"/>
          <w:color w:val="auto"/>
        </w:rPr>
        <w:t>any time owing to such Lender under any Loan Document or otherwise payable by the Agent to the Lender from any other source against any amount due to the Agent under this Section 5.</w:t>
      </w:r>
    </w:p>
    <w:p>
      <w:pPr>
        <w:spacing w:after="0" w:line="145" w:lineRule="exact"/>
        <w:rPr>
          <w:sz w:val="20"/>
          <w:szCs w:val="20"/>
          <w:color w:val="auto"/>
        </w:rPr>
      </w:pPr>
    </w:p>
    <w:p>
      <w:pPr>
        <w:jc w:val="both"/>
        <w:ind w:left="420" w:hanging="327"/>
        <w:spacing w:after="0" w:line="223" w:lineRule="auto"/>
        <w:tabs>
          <w:tab w:leader="none" w:pos="4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Evidence of Payments</w:t>
      </w:r>
      <w:r>
        <w:rPr>
          <w:rFonts w:ascii="Times New Roman" w:cs="Times New Roman" w:eastAsia="Times New Roman" w:hAnsi="Times New Roman"/>
          <w:sz w:val="20"/>
          <w:szCs w:val="20"/>
          <w:color w:val="auto"/>
        </w:rPr>
        <w:t>. As soon as practicable after any payment of Taxes by any Loan Party to a governmental authority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of this Addendum 1, such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72" w:lineRule="exact"/>
        <w:rPr>
          <w:sz w:val="20"/>
          <w:szCs w:val="20"/>
          <w:color w:val="auto"/>
        </w:rPr>
      </w:pPr>
    </w:p>
    <w:p>
      <w:pPr>
        <w:ind w:left="420" w:hanging="327"/>
        <w:spacing w:after="0"/>
        <w:tabs>
          <w:tab w:leader="none" w:pos="4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Status of Lenders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1060" w:hanging="319"/>
        <w:spacing w:after="0" w:line="211" w:lineRule="auto"/>
        <w:tabs>
          <w:tab w:leader="none" w:pos="104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auto"/>
        </w:rPr>
      </w:pPr>
    </w:p>
    <w:p>
      <w:pPr>
        <w:ind w:left="1060" w:hanging="319"/>
        <w:spacing w:after="0"/>
        <w:tabs>
          <w:tab w:leader="none" w:pos="106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9" w:lineRule="exact"/>
        <w:rPr>
          <w:sz w:val="20"/>
          <w:szCs w:val="20"/>
          <w:color w:val="auto"/>
        </w:rPr>
      </w:pPr>
    </w:p>
    <w:p>
      <w:pPr>
        <w:jc w:val="right"/>
        <w:ind w:left="1560"/>
        <w:spacing w:after="0" w:line="215" w:lineRule="auto"/>
        <w:rPr>
          <w:sz w:val="20"/>
          <w:szCs w:val="20"/>
          <w:color w:val="auto"/>
        </w:rPr>
      </w:pPr>
      <w:r>
        <w:rPr>
          <w:rFonts w:ascii="Times New Roman" w:cs="Times New Roman" w:eastAsia="Times New Roman" w:hAnsi="Times New Roman"/>
          <w:sz w:val="20"/>
          <w:szCs w:val="20"/>
          <w:color w:val="auto"/>
        </w:rPr>
        <w:t>i. any Lender that is a U.S. Person shall deliver to the Borrower and the Agent on or prior to the date on which such Lender becomes a Lender under this Agreement (and from time to time thereafter upon the reasonable request of the</w:t>
      </w:r>
    </w:p>
    <w:p>
      <w:pPr>
        <w:spacing w:after="0" w:line="1" w:lineRule="exact"/>
        <w:rPr>
          <w:sz w:val="20"/>
          <w:szCs w:val="20"/>
          <w:color w:val="auto"/>
        </w:rPr>
      </w:pPr>
    </w:p>
    <w:p>
      <w:pPr>
        <w:ind w:left="1720"/>
        <w:spacing w:after="0" w:line="228" w:lineRule="auto"/>
        <w:rPr>
          <w:sz w:val="20"/>
          <w:szCs w:val="20"/>
          <w:color w:val="auto"/>
        </w:rPr>
      </w:pPr>
      <w:r>
        <w:rPr>
          <w:rFonts w:ascii="Times New Roman" w:cs="Times New Roman" w:eastAsia="Times New Roman" w:hAnsi="Times New Roman"/>
          <w:sz w:val="20"/>
          <w:szCs w:val="20"/>
          <w:color w:val="auto"/>
        </w:rPr>
        <w:t>Borrower or the Agent), executed copies of IRS Form W-9 certifying that such Lender is exempt from U.S. federal backup withholding tax;</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ii.any Foreign Lender shall, to the extent it is legally entitled to do so, deliver to the Borrower and the Agent (in such</w:t>
      </w:r>
    </w:p>
    <w:p>
      <w:pPr>
        <w:ind w:left="1720" w:right="20"/>
        <w:spacing w:after="0" w:line="204" w:lineRule="auto"/>
        <w:rPr>
          <w:sz w:val="20"/>
          <w:szCs w:val="20"/>
          <w:color w:val="auto"/>
        </w:rPr>
      </w:pPr>
      <w:r>
        <w:rPr>
          <w:rFonts w:ascii="Times New Roman" w:cs="Times New Roman" w:eastAsia="Times New Roman" w:hAnsi="Times New Roman"/>
          <w:sz w:val="20"/>
          <w:szCs w:val="20"/>
          <w:color w:val="auto"/>
        </w:rPr>
        <w:t>number of copies as shall be requested by the recipient) on or prior to the date on which such Foreign Lender becomes a Lender under this Agreement (and from time to time thereafter upon the reasonable request of the Borrower or the</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color w:val="auto"/>
        </w:rPr>
        <w:t>Agent), whichever of the following is applicable:</w:t>
      </w:r>
    </w:p>
    <w:p>
      <w:pPr>
        <w:spacing w:after="0" w:line="167" w:lineRule="exact"/>
        <w:rPr>
          <w:sz w:val="20"/>
          <w:szCs w:val="20"/>
          <w:color w:val="auto"/>
        </w:rPr>
      </w:pPr>
    </w:p>
    <w:p>
      <w:pPr>
        <w:jc w:val="both"/>
        <w:ind w:left="2360" w:hanging="323"/>
        <w:spacing w:after="0" w:line="215" w:lineRule="auto"/>
        <w:tabs>
          <w:tab w:leader="none" w:pos="235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50" w:lineRule="exact"/>
        <w:rPr>
          <w:rFonts w:ascii="Times New Roman" w:cs="Times New Roman" w:eastAsia="Times New Roman" w:hAnsi="Times New Roman"/>
          <w:sz w:val="20"/>
          <w:szCs w:val="20"/>
          <w:color w:val="auto"/>
        </w:rPr>
      </w:pPr>
    </w:p>
    <w:p>
      <w:pPr>
        <w:ind w:left="2360" w:hanging="323"/>
        <w:spacing w:after="0"/>
        <w:tabs>
          <w:tab w:leader="none" w:pos="23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188" w:lineRule="exact"/>
        <w:rPr>
          <w:rFonts w:ascii="Times New Roman" w:cs="Times New Roman" w:eastAsia="Times New Roman" w:hAnsi="Times New Roman"/>
          <w:sz w:val="20"/>
          <w:szCs w:val="20"/>
          <w:color w:val="auto"/>
        </w:rPr>
      </w:pPr>
    </w:p>
    <w:p>
      <w:pPr>
        <w:jc w:val="both"/>
        <w:ind w:left="2360" w:hanging="323"/>
        <w:spacing w:after="0" w:line="216" w:lineRule="auto"/>
        <w:tabs>
          <w:tab w:leader="none" w:pos="235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b w:val="1"/>
          <w:bCs w:val="1"/>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and (y) executed copies of IRS Form W-8BEN or IRS Form W-8BEN-E; or</w:t>
      </w:r>
    </w:p>
    <w:p>
      <w:pPr>
        <w:spacing w:after="0" w:line="162" w:lineRule="exact"/>
        <w:rPr>
          <w:rFonts w:ascii="Times New Roman" w:cs="Times New Roman" w:eastAsia="Times New Roman" w:hAnsi="Times New Roman"/>
          <w:sz w:val="20"/>
          <w:szCs w:val="20"/>
          <w:color w:val="auto"/>
        </w:rPr>
      </w:pPr>
    </w:p>
    <w:p>
      <w:pPr>
        <w:ind w:left="2360" w:hanging="323"/>
        <w:spacing w:after="0"/>
        <w:tabs>
          <w:tab w:leader="none" w:pos="235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W-8BEN, IRS Form W-8BEN-E, a U.S. Tax Compliance Certificate substantially in the form of Exhibit J-2 or</w:t>
      </w:r>
    </w:p>
    <w:p>
      <w:pPr>
        <w:ind w:left="2360"/>
        <w:spacing w:after="0" w:line="204" w:lineRule="auto"/>
        <w:rPr>
          <w:sz w:val="20"/>
          <w:szCs w:val="20"/>
          <w:color w:val="auto"/>
        </w:rPr>
      </w:pPr>
      <w:r>
        <w:rPr>
          <w:rFonts w:ascii="Times New Roman" w:cs="Times New Roman" w:eastAsia="Times New Roman" w:hAnsi="Times New Roman"/>
          <w:sz w:val="20"/>
          <w:szCs w:val="20"/>
          <w:color w:val="auto"/>
        </w:rPr>
        <w:t>Exhibit J-3, IRS Form W-9, and/or other certification documents from each beneficial owner, as applicable; provided that if the Foreign Lender is a partnership and one or more direct or indirect partners of such Foreign</w:t>
      </w:r>
    </w:p>
    <w:p>
      <w:pPr>
        <w:spacing w:after="0" w:line="1" w:lineRule="exact"/>
        <w:rPr>
          <w:sz w:val="20"/>
          <w:szCs w:val="20"/>
          <w:color w:val="auto"/>
        </w:rPr>
      </w:pPr>
    </w:p>
    <w:p>
      <w:pPr>
        <w:ind w:left="2360"/>
        <w:spacing w:after="0" w:line="242" w:lineRule="auto"/>
        <w:rPr>
          <w:sz w:val="20"/>
          <w:szCs w:val="20"/>
          <w:color w:val="auto"/>
        </w:rPr>
      </w:pPr>
      <w:r>
        <w:rPr>
          <w:rFonts w:ascii="Times New Roman" w:cs="Times New Roman" w:eastAsia="Times New Roman" w:hAnsi="Times New Roman"/>
          <w:sz w:val="19"/>
          <w:szCs w:val="19"/>
          <w:color w:val="auto"/>
        </w:rPr>
        <w:t>Lender are claiming the portfolio interest exemption, such Foreign Lender may provide a U.S. Tax Compliance Certificate substantially in the form of Exhibit J-4 on behalf of each such direct and indirect partner;</w:t>
      </w:r>
    </w:p>
    <w:p>
      <w:pPr>
        <w:spacing w:after="0" w:line="145" w:lineRule="exact"/>
        <w:rPr>
          <w:sz w:val="20"/>
          <w:szCs w:val="20"/>
          <w:color w:val="auto"/>
        </w:rPr>
      </w:pPr>
    </w:p>
    <w:p>
      <w:pPr>
        <w:jc w:val="both"/>
        <w:ind w:left="1720" w:hanging="169"/>
        <w:spacing w:after="0" w:line="215" w:lineRule="auto"/>
        <w:tabs>
          <w:tab w:leader="none" w:pos="1948"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64" w:lineRule="exact"/>
        <w:rPr>
          <w:rFonts w:ascii="Times New Roman" w:cs="Times New Roman" w:eastAsia="Times New Roman" w:hAnsi="Times New Roman"/>
          <w:sz w:val="20"/>
          <w:szCs w:val="20"/>
          <w:color w:val="auto"/>
        </w:rPr>
      </w:pPr>
    </w:p>
    <w:p>
      <w:pPr>
        <w:jc w:val="both"/>
        <w:ind w:left="1720" w:hanging="169"/>
        <w:spacing w:after="0" w:line="212" w:lineRule="auto"/>
        <w:tabs>
          <w:tab w:leader="none" w:pos="1937"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55" w:lineRule="exact"/>
        <w:rPr>
          <w:rFonts w:ascii="Times New Roman" w:cs="Times New Roman" w:eastAsia="Times New Roman" w:hAnsi="Times New Roman"/>
          <w:sz w:val="20"/>
          <w:szCs w:val="20"/>
          <w:color w:val="auto"/>
        </w:rPr>
      </w:pPr>
    </w:p>
    <w:p>
      <w:pPr>
        <w:jc w:val="both"/>
        <w:ind w:left="1060" w:hanging="319"/>
        <w:spacing w:after="0" w:line="230" w:lineRule="auto"/>
        <w:tabs>
          <w:tab w:leader="none" w:pos="104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44" w:lineRule="exact"/>
        <w:rPr>
          <w:rFonts w:ascii="Times New Roman" w:cs="Times New Roman" w:eastAsia="Times New Roman" w:hAnsi="Times New Roman"/>
          <w:sz w:val="20"/>
          <w:szCs w:val="20"/>
          <w:color w:val="auto"/>
        </w:rPr>
      </w:pPr>
    </w:p>
    <w:p>
      <w:pPr>
        <w:jc w:val="both"/>
        <w:ind w:left="420" w:hanging="327"/>
        <w:spacing w:after="0" w:line="222" w:lineRule="auto"/>
        <w:tabs>
          <w:tab w:leader="none" w:pos="42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Treatment of Certain Refunds</w:t>
      </w:r>
      <w:r>
        <w:rPr>
          <w:rFonts w:ascii="Times New Roman" w:cs="Times New Roman" w:eastAsia="Times New Roman" w:hAnsi="Times New Roman"/>
          <w:sz w:val="19"/>
          <w:szCs w:val="19"/>
          <w:color w:val="auto"/>
        </w:rPr>
        <w:t>. If any party determines, in its sole discretion exercised in good faith, that it has received a refund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(or any other information relating to its Taxes that it deems confidential) to the indemnifying party or any other Person.</w:t>
      </w:r>
    </w:p>
    <w:p>
      <w:pPr>
        <w:spacing w:after="0" w:line="185" w:lineRule="exact"/>
        <w:rPr>
          <w:sz w:val="20"/>
          <w:szCs w:val="20"/>
          <w:color w:val="auto"/>
        </w:rPr>
      </w:pPr>
    </w:p>
    <w:p>
      <w:pPr>
        <w:jc w:val="both"/>
        <w:ind w:left="420" w:hanging="327"/>
        <w:spacing w:after="0" w:line="216" w:lineRule="auto"/>
        <w:tabs>
          <w:tab w:leader="none" w:pos="4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Increased Costs</w:t>
      </w:r>
      <w:r>
        <w:rPr>
          <w:rFonts w:ascii="Times New Roman" w:cs="Times New Roman" w:eastAsia="Times New Roman" w:hAnsi="Times New Roman"/>
          <w:sz w:val="20"/>
          <w:szCs w:val="20"/>
          <w:color w:val="auto"/>
        </w:rPr>
        <w:t>. If any change in applicable law shall subject any Recipient to any Taxes (other than (A) Indemnified Taxes, (B) 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Advance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44" w:lineRule="exact"/>
        <w:rPr>
          <w:rFonts w:ascii="Times New Roman" w:cs="Times New Roman" w:eastAsia="Times New Roman" w:hAnsi="Times New Roman"/>
          <w:sz w:val="20"/>
          <w:szCs w:val="20"/>
          <w:color w:val="auto"/>
        </w:rPr>
      </w:pPr>
    </w:p>
    <w:p>
      <w:pPr>
        <w:jc w:val="both"/>
        <w:ind w:left="420" w:hanging="327"/>
        <w:spacing w:after="0" w:line="232" w:lineRule="auto"/>
        <w:tabs>
          <w:tab w:leader="none" w:pos="41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Survival</w:t>
      </w:r>
      <w:r>
        <w:rPr>
          <w:rFonts w:ascii="Times New Roman" w:cs="Times New Roman" w:eastAsia="Times New Roman" w:hAnsi="Times New Roman"/>
          <w:sz w:val="20"/>
          <w:szCs w:val="20"/>
          <w:color w:val="auto"/>
        </w:rPr>
        <w:t>. Each party’s obligations under the provisions of this Addendum 1 shall survive the resignation or replacement of the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assignment of rights by, or the replacement of, a Lender, the termination of the Term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w:t>
      </w:r>
      <w:r>
        <w:rPr>
          <w:rFonts w:ascii="Times New Roman" w:cs="Times New Roman" w:eastAsia="Times New Roman" w:hAnsi="Times New Roman"/>
          <w:sz w:val="14"/>
          <w:szCs w:val="14"/>
          <w:b w:val="1"/>
          <w:bCs w:val="1"/>
          <w:color w:val="FF0000"/>
          <w:strike w:val="1"/>
        </w:rPr>
        <w:t>138581207.1</w:t>
      </w:r>
      <w:r>
        <w:rPr>
          <w:rFonts w:ascii="Times New Roman" w:cs="Times New Roman" w:eastAsia="Times New Roman" w:hAnsi="Times New Roman"/>
          <w:sz w:val="14"/>
          <w:szCs w:val="14"/>
          <w:b w:val="1"/>
          <w:bCs w:val="1"/>
          <w:u w:val="single" w:color="auto"/>
          <w:color w:val="0000FF"/>
        </w:rPr>
        <w:t>138581207.7</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2"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20"/>
          <w:szCs w:val="20"/>
          <w:b w:val="1"/>
          <w:bCs w:val="1"/>
          <w:color w:val="auto"/>
        </w:rPr>
        <w:t>ADDENDUM 2 to LOAN AND SECURITY AGREEMENT</w:t>
      </w:r>
    </w:p>
    <w:p>
      <w:pPr>
        <w:spacing w:after="0" w:line="18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40" w:right="1440" w:bottom="1440" w:gutter="0" w:footer="0" w:header="0"/>
        </w:sectPr>
      </w:pPr>
    </w:p>
    <w:bookmarkStart w:id="196" w:name="page197"/>
    <w:bookmarkEnd w:id="196"/>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ADDENDUM 3 to LOAN AND SECURITY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Agent and Lender Terms</w:t>
      </w:r>
    </w:p>
    <w:p>
      <w:pPr>
        <w:spacing w:after="0" w:line="175" w:lineRule="exact"/>
        <w:rPr>
          <w:sz w:val="20"/>
          <w:szCs w:val="20"/>
          <w:color w:val="auto"/>
        </w:rPr>
      </w:pPr>
    </w:p>
    <w:p>
      <w:pPr>
        <w:jc w:val="both"/>
        <w:ind w:left="660" w:firstLine="644"/>
        <w:spacing w:after="0" w:line="230" w:lineRule="auto"/>
        <w:tabs>
          <w:tab w:leader="none" w:pos="19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14"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to indemnify the Agent in its capacity as such (to the extent not reimbursed by the Loan Parties and without limiting the obligation of the Loan Parties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22" w:lineRule="auto"/>
        <w:tabs>
          <w:tab w:leader="none" w:pos="19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61" w:lineRule="exact"/>
        <w:rPr>
          <w:rFonts w:ascii="Times New Roman" w:cs="Times New Roman" w:eastAsia="Times New Roman" w:hAnsi="Times New Roman"/>
          <w:sz w:val="20"/>
          <w:szCs w:val="20"/>
          <w:color w:val="auto"/>
        </w:rPr>
      </w:pPr>
    </w:p>
    <w:p>
      <w:pPr>
        <w:ind w:left="660" w:firstLine="644"/>
        <w:spacing w:after="0" w:line="233"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Exculpatory Provisions. The Agent shall have no duties or obligations except those expressly set forth herein and in the other Loan Documents. Without limiting the generality of the foregoing, the Agent shall not:</w:t>
      </w:r>
    </w:p>
    <w:p>
      <w:pPr>
        <w:spacing w:after="0" w:line="160" w:lineRule="exact"/>
        <w:rPr>
          <w:rFonts w:ascii="Times New Roman" w:cs="Times New Roman" w:eastAsia="Times New Roman" w:hAnsi="Times New Roman"/>
          <w:sz w:val="20"/>
          <w:szCs w:val="20"/>
          <w:color w:val="auto"/>
        </w:rPr>
      </w:pPr>
    </w:p>
    <w:p>
      <w:pPr>
        <w:ind w:left="2280" w:hanging="328"/>
        <w:spacing w:after="0"/>
        <w:tabs>
          <w:tab w:leader="none" w:pos="227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47" w:lineRule="exact"/>
        <w:rPr>
          <w:rFonts w:ascii="Times New Roman" w:cs="Times New Roman" w:eastAsia="Times New Roman" w:hAnsi="Times New Roman"/>
          <w:sz w:val="20"/>
          <w:szCs w:val="20"/>
          <w:color w:val="auto"/>
        </w:rPr>
      </w:pPr>
    </w:p>
    <w:p>
      <w:pPr>
        <w:jc w:val="both"/>
        <w:ind w:left="2280" w:hanging="328"/>
        <w:spacing w:after="0" w:line="220" w:lineRule="auto"/>
        <w:tabs>
          <w:tab w:leader="none" w:pos="2279"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60" w:lineRule="exact"/>
        <w:rPr>
          <w:rFonts w:ascii="Times New Roman" w:cs="Times New Roman" w:eastAsia="Times New Roman" w:hAnsi="Times New Roman"/>
          <w:sz w:val="20"/>
          <w:szCs w:val="20"/>
          <w:color w:val="auto"/>
        </w:rPr>
      </w:pPr>
    </w:p>
    <w:p>
      <w:pPr>
        <w:jc w:val="both"/>
        <w:ind w:left="2280" w:hanging="328"/>
        <w:spacing w:after="0" w:line="226" w:lineRule="auto"/>
        <w:tabs>
          <w:tab w:leader="none" w:pos="22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Agent shall not be liable for the failure to disclose, any information relating to any Loan Party or any of its Affiliates that is communicated to or obtained by any Person serving as the Agent or any of its Affiliates in any capacity.</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94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60" w:lineRule="exact"/>
        <w:rPr>
          <w:rFonts w:ascii="Times New Roman" w:cs="Times New Roman" w:eastAsia="Times New Roman" w:hAnsi="Times New Roman"/>
          <w:sz w:val="20"/>
          <w:szCs w:val="20"/>
          <w:color w:val="auto"/>
        </w:rPr>
      </w:pPr>
    </w:p>
    <w:p>
      <w:pPr>
        <w:ind w:left="660" w:firstLine="644"/>
        <w:spacing w:after="0" w:line="233" w:lineRule="auto"/>
        <w:tabs>
          <w:tab w:leader="none" w:pos="195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responsible for or have any duty to ascertain or inquire into (i) any statement, warranty or representation made in or in connection with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any other Loan Document, (ii) the contents of any certificate, report or other document delivered hereunder or thereunder or in</w:t>
      </w: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connection herewith or therewith, (iii) the performance or observance of any of the covenants, agreements or other terms or conditions set forth herein or therein or the occurrence of any default or Event of Default, (iv) the validity, enforceability,</w:t>
      </w:r>
    </w:p>
    <w:p>
      <w:pPr>
        <w:ind w:left="660"/>
        <w:spacing w:after="0" w:line="223" w:lineRule="auto"/>
        <w:rPr>
          <w:sz w:val="20"/>
          <w:szCs w:val="20"/>
          <w:color w:val="auto"/>
        </w:rPr>
      </w:pPr>
      <w:r>
        <w:rPr>
          <w:rFonts w:ascii="Times New Roman" w:cs="Times New Roman" w:eastAsia="Times New Roman" w:hAnsi="Times New Roman"/>
          <w:sz w:val="19"/>
          <w:szCs w:val="19"/>
          <w:color w:val="auto"/>
        </w:rPr>
        <w:t>effectiveness or genuineness of this Agreement, any other Loan Document or any other agreement, instrument or document or (v) the</w:t>
      </w:r>
    </w:p>
    <w:p>
      <w:pPr>
        <w:ind w:left="660"/>
        <w:spacing w:after="0" w:line="204" w:lineRule="auto"/>
        <w:rPr>
          <w:sz w:val="20"/>
          <w:szCs w:val="20"/>
          <w:color w:val="auto"/>
        </w:rPr>
      </w:pPr>
      <w:r>
        <w:rPr>
          <w:rFonts w:ascii="Times New Roman" w:cs="Times New Roman" w:eastAsia="Times New Roman" w:hAnsi="Times New Roman"/>
          <w:sz w:val="20"/>
          <w:szCs w:val="20"/>
          <w:color w:val="auto"/>
        </w:rPr>
        <w:t>satisfaction of any condition set forth in Section 4 or elsewhere herein, other than to confirm receipt of items expressly required to be delivered to the Agent. Reliance by Agent. Agent may rely, and shall be fully protected in acting, or refraining to act, upon, any</w:t>
      </w:r>
    </w:p>
    <w:p>
      <w:pPr>
        <w:ind w:left="660"/>
        <w:spacing w:after="0" w:line="211" w:lineRule="auto"/>
        <w:rPr>
          <w:sz w:val="20"/>
          <w:szCs w:val="20"/>
          <w:color w:val="auto"/>
        </w:rPr>
      </w:pPr>
      <w:r>
        <w:rPr>
          <w:rFonts w:ascii="Times New Roman" w:cs="Times New Roman" w:eastAsia="Times New Roman" w:hAnsi="Times New Roman"/>
          <w:sz w:val="20"/>
          <w:szCs w:val="20"/>
          <w:color w:val="auto"/>
        </w:rPr>
        <w:t>resolution, statement, certificate, instrument, opinion, report, notice, request, consent, order, bond or other paper or document that it</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has no reason to believe to be other than genuine and to have been signed or presented by the proper party or parties or, in the case of cables, telecopies and telexes, to have been sent by the proper party or parties. In the absence of its gross negligence or willful</w:t>
      </w:r>
    </w:p>
    <w:p>
      <w:pPr>
        <w:ind w:left="660"/>
        <w:spacing w:after="0" w:line="223" w:lineRule="auto"/>
        <w:rPr>
          <w:sz w:val="20"/>
          <w:szCs w:val="20"/>
          <w:color w:val="auto"/>
        </w:rPr>
      </w:pPr>
      <w:r>
        <w:rPr>
          <w:rFonts w:ascii="Times New Roman" w:cs="Times New Roman" w:eastAsia="Times New Roman" w:hAnsi="Times New Roman"/>
          <w:sz w:val="19"/>
          <w:szCs w:val="19"/>
          <w:color w:val="auto"/>
        </w:rPr>
        <w:t>misconduct, Agent may conclusively rely, as to the truth of the statements and the correctness of the opinions expressed therein, upon</w:t>
      </w:r>
    </w:p>
    <w:p>
      <w:pPr>
        <w:ind w:left="660"/>
        <w:spacing w:after="0" w:line="204" w:lineRule="auto"/>
        <w:rPr>
          <w:sz w:val="20"/>
          <w:szCs w:val="20"/>
          <w:color w:val="auto"/>
        </w:rPr>
      </w:pPr>
      <w:r>
        <w:rPr>
          <w:rFonts w:ascii="Times New Roman" w:cs="Times New Roman" w:eastAsia="Times New Roman" w:hAnsi="Times New Roman"/>
          <w:sz w:val="20"/>
          <w:szCs w:val="20"/>
          <w:color w:val="auto"/>
        </w:rPr>
        <w:t>any certificates or opinions furnished to Agent and conforming to the requirements of this Agreement or any of the other Loan Documents. Agent may consult with counsel, and any opinion or legal advice of such counsel shall be full and complete</w:t>
      </w:r>
    </w:p>
    <w:p>
      <w:pPr>
        <w:ind w:left="660"/>
        <w:spacing w:after="0" w:line="211" w:lineRule="auto"/>
        <w:rPr>
          <w:sz w:val="20"/>
          <w:szCs w:val="20"/>
          <w:color w:val="auto"/>
        </w:rPr>
      </w:pPr>
      <w:r>
        <w:rPr>
          <w:rFonts w:ascii="Times New Roman" w:cs="Times New Roman" w:eastAsia="Times New Roman" w:hAnsi="Times New Roman"/>
          <w:sz w:val="20"/>
          <w:szCs w:val="20"/>
          <w:color w:val="auto"/>
        </w:rPr>
        <w:t>authorization and protection in respect of any action taken, not taken or suffered by Agent hereunder or under any Loan Documents</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in accordance therewith. Agent shall have the right at any time to seek instructions concerning the administration of the Collateral from any court of competent jurisdiction. Agent shall not be under any obligation to exercise any of the rights or powers granted to</w:t>
      </w:r>
    </w:p>
    <w:p>
      <w:pPr>
        <w:ind w:left="660"/>
        <w:spacing w:after="0" w:line="211" w:lineRule="auto"/>
        <w:rPr>
          <w:sz w:val="20"/>
          <w:szCs w:val="20"/>
          <w:color w:val="auto"/>
        </w:rPr>
      </w:pPr>
      <w:r>
        <w:rPr>
          <w:rFonts w:ascii="Times New Roman" w:cs="Times New Roman" w:eastAsia="Times New Roman" w:hAnsi="Times New Roman"/>
          <w:sz w:val="20"/>
          <w:szCs w:val="20"/>
          <w:color w:val="auto"/>
        </w:rPr>
        <w:t>Agent by this Agreement and the other Loan Documents at the request or direction of the Lenders unless Agent shall have been</w:t>
      </w:r>
    </w:p>
    <w:p>
      <w:pPr>
        <w:spacing w:after="0" w:line="1"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provided by the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WEST\298100232.10</w:t>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WEST\298100232.10</w:t>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40" w:right="1440" w:bottom="1440" w:gutter="0" w:footer="0" w:header="0"/>
        </w:sectPr>
      </w:pPr>
    </w:p>
    <w:bookmarkStart w:id="199" w:name="page200"/>
    <w:bookmarkEnd w:id="199"/>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ADVANCE REQUEST</w:t>
      </w:r>
    </w:p>
    <w:p>
      <w:pPr>
        <w:spacing w:after="0" w:line="179" w:lineRule="exact"/>
        <w:rPr>
          <w:sz w:val="20"/>
          <w:szCs w:val="20"/>
          <w:color w:val="auto"/>
        </w:rPr>
      </w:pPr>
    </w:p>
    <w:p>
      <w:pPr>
        <w:spacing w:after="0"/>
        <w:tabs>
          <w:tab w:leader="none" w:pos="480" w:val="left"/>
          <w:tab w:leader="none" w:pos="1220" w:val="left"/>
          <w:tab w:leader="none" w:pos="2040" w:val="left"/>
        </w:tabs>
        <w:rPr>
          <w:sz w:val="20"/>
          <w:szCs w:val="20"/>
          <w:color w:val="auto"/>
        </w:rPr>
      </w:pPr>
      <w:r>
        <w:rPr>
          <w:rFonts w:ascii="Times New Roman" w:cs="Times New Roman" w:eastAsia="Times New Roman" w:hAnsi="Times New Roman"/>
          <w:sz w:val="20"/>
          <w:szCs w:val="20"/>
          <w:color w:val="auto"/>
        </w:rPr>
        <w:t>To:</w:t>
        <w:tab/>
        <w:t>Agent:</w:t>
        <w:tab/>
        <w:t>Date:</w:t>
      </w:r>
      <w:r>
        <w:rPr>
          <w:sz w:val="20"/>
          <w:szCs w:val="20"/>
          <w:color w:val="auto"/>
        </w:rPr>
        <w:tab/>
      </w:r>
      <w:r>
        <w:rPr>
          <w:rFonts w:ascii="Times New Roman" w:cs="Times New Roman" w:eastAsia="Times New Roman" w:hAnsi="Times New Roman"/>
          <w:sz w:val="19"/>
          <w:szCs w:val="19"/>
          <w:color w:val="auto"/>
        </w:rPr>
        <w:t>__________, 202_</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Hercules Capital, Inc. (the “Agent”)</w:t>
      </w:r>
    </w:p>
    <w:p>
      <w:pPr>
        <w:ind w:left="200"/>
        <w:spacing w:after="0" w:line="197" w:lineRule="auto"/>
        <w:rPr>
          <w:sz w:val="20"/>
          <w:szCs w:val="20"/>
          <w:color w:val="auto"/>
        </w:rPr>
      </w:pPr>
      <w:r>
        <w:rPr>
          <w:rFonts w:ascii="Times New Roman" w:cs="Times New Roman" w:eastAsia="Times New Roman" w:hAnsi="Times New Roman"/>
          <w:sz w:val="20"/>
          <w:szCs w:val="20"/>
          <w:color w:val="auto"/>
        </w:rPr>
        <w:t>400 Hamilton Avenue, Suite 310</w:t>
      </w:r>
    </w:p>
    <w:p>
      <w:pPr>
        <w:ind w:left="200"/>
        <w:spacing w:after="0" w:line="211" w:lineRule="auto"/>
        <w:rPr>
          <w:sz w:val="20"/>
          <w:szCs w:val="20"/>
          <w:color w:val="auto"/>
        </w:rPr>
      </w:pPr>
      <w:r>
        <w:rPr>
          <w:rFonts w:ascii="Times New Roman" w:cs="Times New Roman" w:eastAsia="Times New Roman" w:hAnsi="Times New Roman"/>
          <w:sz w:val="20"/>
          <w:szCs w:val="20"/>
          <w:color w:val="auto"/>
        </w:rPr>
        <w:t>Palo Alto, CA 94301</w:t>
      </w:r>
    </w:p>
    <w:p>
      <w:pPr>
        <w:ind w:left="200"/>
        <w:spacing w:after="0" w:line="211" w:lineRule="auto"/>
        <w:rPr>
          <w:sz w:val="20"/>
          <w:szCs w:val="20"/>
          <w:color w:val="auto"/>
        </w:rPr>
      </w:pPr>
      <w:r>
        <w:rPr>
          <w:rFonts w:ascii="Times New Roman" w:cs="Times New Roman" w:eastAsia="Times New Roman" w:hAnsi="Times New Roman"/>
          <w:sz w:val="20"/>
          <w:szCs w:val="20"/>
          <w:color w:val="auto"/>
        </w:rPr>
        <w:t>email: legal@htgc.com; _____________</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Attn: Legal Department; _____________</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Borrower hereby requests from HERCULES CAPITAL IV, L.P.INC. and HERCULES PRIVATE GLOBAL VENTURE GROWTH FUND I L.P. (collectively, Lender”) an Advance in the amount of _____________________ Dollars ($________________) (the “Advance Amount”)</w:t>
      </w:r>
    </w:p>
    <w:p>
      <w:pPr>
        <w:spacing w:after="0" w:line="208" w:lineRule="auto"/>
        <w:rPr>
          <w:sz w:val="20"/>
          <w:szCs w:val="20"/>
          <w:color w:val="auto"/>
        </w:rPr>
      </w:pPr>
      <w:r>
        <w:rPr>
          <w:rFonts w:ascii="Times New Roman" w:cs="Times New Roman" w:eastAsia="Times New Roman" w:hAnsi="Times New Roman"/>
          <w:sz w:val="19"/>
          <w:szCs w:val="19"/>
          <w:color w:val="auto"/>
        </w:rPr>
        <w:t>on ______________, _____ (the “Advance Date”) pursuant to the Loan and Security Agreement among Borrower, Agent and the Lender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“Agreement”). Capitalized words and other terms used but not otherwise defined herein are used with the same meanings as defined in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Issue a check payable to Borrower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w:t>
      </w:r>
    </w:p>
    <w:p>
      <w:pPr>
        <w:spacing w:after="0" w:line="189" w:lineRule="exact"/>
        <w:rPr>
          <w:sz w:val="20"/>
          <w:szCs w:val="20"/>
          <w:color w:val="auto"/>
        </w:rPr>
      </w:pPr>
    </w:p>
    <w:p>
      <w:pPr>
        <w:sectPr>
          <w:pgSz w:w="11900" w:h="16838" w:orient="portrait"/>
          <w:cols w:equalWidth="0" w:num="2">
            <w:col w:w="3800" w:space="200"/>
            <w:col w:w="7240"/>
          </w:cols>
          <w:pgMar w:left="320" w:top="1440"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9"/>
          <w:szCs w:val="19"/>
          <w:color w:val="auto"/>
        </w:rPr>
        <w:t>or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Wire Funds to Borrower’s account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w:t>
      </w:r>
    </w:p>
    <w:p>
      <w:pPr>
        <w:spacing w:after="0" w:line="181" w:lineRule="exact"/>
        <w:rPr>
          <w:sz w:val="20"/>
          <w:szCs w:val="20"/>
          <w:color w:val="auto"/>
        </w:rPr>
      </w:pPr>
    </w:p>
    <w:p>
      <w:pPr>
        <w:sectPr>
          <w:pgSz w:w="11900" w:h="16838" w:orient="portrait"/>
          <w:cols w:equalWidth="0" w:num="2">
            <w:col w:w="3820" w:space="200"/>
            <w:col w:w="7220"/>
          </w:cols>
          <w:pgMar w:left="320" w:top="1440"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20"/>
          <w:szCs w:val="20"/>
          <w:color w:val="auto"/>
        </w:rPr>
        <w:t>Bank: _____________________________</w:t>
      </w:r>
    </w:p>
    <w:p>
      <w:pPr>
        <w:ind w:left="840"/>
        <w:spacing w:after="0" w:line="197" w:lineRule="auto"/>
        <w:rPr>
          <w:sz w:val="20"/>
          <w:szCs w:val="20"/>
          <w:color w:val="auto"/>
        </w:rPr>
      </w:pPr>
      <w:r>
        <w:rPr>
          <w:rFonts w:ascii="Times New Roman" w:cs="Times New Roman" w:eastAsia="Times New Roman" w:hAnsi="Times New Roman"/>
          <w:sz w:val="20"/>
          <w:szCs w:val="20"/>
          <w:color w:val="auto"/>
        </w:rPr>
        <w:t>Address: _____________________________</w:t>
      </w:r>
    </w:p>
    <w:p>
      <w:pPr>
        <w:ind w:left="900"/>
        <w:spacing w:after="0" w:line="211" w:lineRule="auto"/>
        <w:rPr>
          <w:sz w:val="20"/>
          <w:szCs w:val="20"/>
          <w:color w:val="auto"/>
        </w:rPr>
      </w:pPr>
      <w:r>
        <w:rPr>
          <w:rFonts w:ascii="Times New Roman" w:cs="Times New Roman" w:eastAsia="Times New Roman" w:hAnsi="Times New Roman"/>
          <w:sz w:val="20"/>
          <w:szCs w:val="20"/>
          <w:color w:val="auto"/>
        </w:rPr>
        <w:t>_____________________________</w:t>
      </w:r>
    </w:p>
    <w:p>
      <w:pPr>
        <w:ind w:left="840"/>
        <w:spacing w:after="0" w:line="211" w:lineRule="auto"/>
        <w:rPr>
          <w:sz w:val="20"/>
          <w:szCs w:val="20"/>
          <w:color w:val="auto"/>
        </w:rPr>
      </w:pPr>
      <w:r>
        <w:rPr>
          <w:rFonts w:ascii="Times New Roman" w:cs="Times New Roman" w:eastAsia="Times New Roman" w:hAnsi="Times New Roman"/>
          <w:sz w:val="20"/>
          <w:szCs w:val="20"/>
          <w:color w:val="auto"/>
        </w:rPr>
        <w:t>ABA Number: _____________________________</w:t>
      </w:r>
    </w:p>
    <w:p>
      <w:pPr>
        <w:ind w:left="840"/>
        <w:spacing w:after="0" w:line="198" w:lineRule="auto"/>
        <w:rPr>
          <w:sz w:val="20"/>
          <w:szCs w:val="20"/>
          <w:color w:val="auto"/>
        </w:rPr>
      </w:pPr>
      <w:r>
        <w:rPr>
          <w:rFonts w:ascii="Times New Roman" w:cs="Times New Roman" w:eastAsia="Times New Roman" w:hAnsi="Times New Roman"/>
          <w:sz w:val="20"/>
          <w:szCs w:val="20"/>
          <w:color w:val="auto"/>
        </w:rPr>
        <w:t>Account Number: _____________________________</w:t>
      </w:r>
    </w:p>
    <w:p>
      <w:pPr>
        <w:ind w:left="840"/>
        <w:spacing w:after="0" w:line="211" w:lineRule="auto"/>
        <w:rPr>
          <w:sz w:val="20"/>
          <w:szCs w:val="20"/>
          <w:color w:val="auto"/>
        </w:rPr>
      </w:pPr>
      <w:r>
        <w:rPr>
          <w:rFonts w:ascii="Times New Roman" w:cs="Times New Roman" w:eastAsia="Times New Roman" w:hAnsi="Times New Roman"/>
          <w:sz w:val="20"/>
          <w:szCs w:val="20"/>
          <w:color w:val="auto"/>
        </w:rPr>
        <w:t>Account Name: _____________________________</w:t>
      </w:r>
    </w:p>
    <w:p>
      <w:pPr>
        <w:ind w:left="860"/>
        <w:spacing w:after="0" w:line="211" w:lineRule="auto"/>
        <w:rPr>
          <w:sz w:val="20"/>
          <w:szCs w:val="20"/>
          <w:color w:val="auto"/>
        </w:rPr>
      </w:pPr>
      <w:r>
        <w:rPr>
          <w:rFonts w:ascii="Times New Roman" w:cs="Times New Roman" w:eastAsia="Times New Roman" w:hAnsi="Times New Roman"/>
          <w:sz w:val="20"/>
          <w:szCs w:val="20"/>
          <w:color w:val="auto"/>
        </w:rPr>
        <w:t>Contact Person: _____________________________</w:t>
      </w:r>
    </w:p>
    <w:p>
      <w:pPr>
        <w:ind w:left="860"/>
        <w:spacing w:after="0" w:line="198" w:lineRule="auto"/>
        <w:rPr>
          <w:sz w:val="20"/>
          <w:szCs w:val="20"/>
          <w:color w:val="auto"/>
        </w:rPr>
      </w:pPr>
      <w:r>
        <w:rPr>
          <w:rFonts w:ascii="Times New Roman" w:cs="Times New Roman" w:eastAsia="Times New Roman" w:hAnsi="Times New Roman"/>
          <w:sz w:val="20"/>
          <w:szCs w:val="20"/>
          <w:color w:val="auto"/>
        </w:rPr>
        <w:t>Phone Number: _____________________________</w:t>
      </w:r>
    </w:p>
    <w:p>
      <w:pPr>
        <w:ind w:left="860"/>
        <w:spacing w:after="0" w:line="211" w:lineRule="auto"/>
        <w:rPr>
          <w:sz w:val="20"/>
          <w:szCs w:val="20"/>
          <w:color w:val="auto"/>
        </w:rPr>
      </w:pPr>
      <w:r>
        <w:rPr>
          <w:rFonts w:ascii="Times New Roman" w:cs="Times New Roman" w:eastAsia="Times New Roman" w:hAnsi="Times New Roman"/>
          <w:sz w:val="20"/>
          <w:szCs w:val="20"/>
          <w:color w:val="auto"/>
        </w:rPr>
        <w:t>To Verify Wire Info: _____________________________</w:t>
      </w:r>
    </w:p>
    <w:p>
      <w:pPr>
        <w:ind w:left="860"/>
        <w:spacing w:after="0"/>
        <w:rPr>
          <w:sz w:val="20"/>
          <w:szCs w:val="20"/>
          <w:color w:val="auto"/>
        </w:rPr>
      </w:pPr>
      <w:r>
        <w:rPr>
          <w:rFonts w:ascii="Times New Roman" w:cs="Times New Roman" w:eastAsia="Times New Roman" w:hAnsi="Times New Roman"/>
          <w:sz w:val="20"/>
          <w:szCs w:val="20"/>
          <w:color w:val="auto"/>
        </w:rPr>
        <w:t>Email address: _____________________________</w:t>
      </w:r>
    </w:p>
    <w:p>
      <w:pPr>
        <w:spacing w:after="0" w:line="194"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Borrower represents that the conditions precedent to the Advance set forth in the Agreement are satisfied and shall be satisfied upon the making of such Advance, including but not limited to: (i) that no event that has had or could reasonably be expected to have a Material</w:t>
      </w:r>
    </w:p>
    <w:p>
      <w:pPr>
        <w:spacing w:after="0" w:line="212" w:lineRule="auto"/>
        <w:rPr>
          <w:sz w:val="20"/>
          <w:szCs w:val="20"/>
          <w:color w:val="auto"/>
        </w:rPr>
      </w:pPr>
      <w:r>
        <w:rPr>
          <w:rFonts w:ascii="Times New Roman" w:cs="Times New Roman" w:eastAsia="Times New Roman" w:hAnsi="Times New Roman"/>
          <w:sz w:val="20"/>
          <w:szCs w:val="20"/>
          <w:color w:val="auto"/>
        </w:rPr>
        <w:t>Adverse Effect has occurred and is continuing; (ii) that the representations and warranties set forth in the Loan Documents are and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w:t>
      </w:r>
    </w:p>
    <w:p>
      <w:pPr>
        <w:spacing w:after="0" w:line="223" w:lineRule="auto"/>
        <w:rPr>
          <w:sz w:val="20"/>
          <w:szCs w:val="20"/>
          <w:color w:val="auto"/>
        </w:rPr>
      </w:pPr>
      <w:r>
        <w:rPr>
          <w:rFonts w:ascii="Times New Roman" w:cs="Times New Roman" w:eastAsia="Times New Roman" w:hAnsi="Times New Roman"/>
          <w:sz w:val="19"/>
          <w:szCs w:val="19"/>
          <w:color w:val="auto"/>
        </w:rPr>
        <w:t>provisions set forth in each Loan Document on its part to be observed or performed; and (iv) that as of the Advance Date, no fact or condition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exists that could (or could, with the passage of time, the giving of notice, or both) constitute an Event of Default under the Loan Documents. Borrower understands and acknowledges that Agent has the right to review the financial information supporting this representation and,</w:t>
      </w:r>
    </w:p>
    <w:p>
      <w:pPr>
        <w:spacing w:after="0"/>
        <w:rPr>
          <w:sz w:val="20"/>
          <w:szCs w:val="20"/>
          <w:color w:val="auto"/>
        </w:rPr>
      </w:pPr>
      <w:r>
        <w:rPr>
          <w:rFonts w:ascii="Times New Roman" w:cs="Times New Roman" w:eastAsia="Times New Roman" w:hAnsi="Times New Roman"/>
          <w:sz w:val="20"/>
          <w:szCs w:val="20"/>
          <w:color w:val="auto"/>
        </w:rPr>
        <w:t>based upon such review in its sole discretion, the Lender may decline to fund the requested Advance.</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Borrower hereby represents that each Loan Party’s corporate status and locations have not changed since the date of the Agreement or, if the Attachment to this Advance Request is completed, are as set forth in the Attachment to this Advance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type w:val="continuous"/>
        </w:sectPr>
      </w:pPr>
    </w:p>
    <w:bookmarkStart w:id="200" w:name="page201"/>
    <w:bookmarkEnd w:id="200"/>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Borrower agrees to notify Agent promptly before the funding of the Loan if any of the matters which have been represented above</w:t>
      </w:r>
    </w:p>
    <w:p>
      <w:pPr>
        <w:spacing w:after="0" w:line="221" w:lineRule="auto"/>
        <w:rPr>
          <w:sz w:val="20"/>
          <w:szCs w:val="20"/>
          <w:color w:val="auto"/>
        </w:rPr>
      </w:pPr>
      <w:r>
        <w:rPr>
          <w:rFonts w:ascii="Times New Roman" w:cs="Times New Roman" w:eastAsia="Times New Roman" w:hAnsi="Times New Roman"/>
          <w:sz w:val="20"/>
          <w:szCs w:val="20"/>
          <w:color w:val="auto"/>
        </w:rPr>
        <w:t>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Executed as of [ ], 202[●].</w:t>
      </w:r>
    </w:p>
    <w:p>
      <w:pPr>
        <w:spacing w:after="0" w:line="18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BORROWER: OUSTER, INC.</w:t>
      </w:r>
    </w:p>
    <w:p>
      <w:pPr>
        <w:spacing w:after="0" w:line="1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SIGNATURE:________________________</w:t>
      </w:r>
    </w:p>
    <w:p>
      <w:pPr>
        <w:ind w:left="4540"/>
        <w:spacing w:after="0" w:line="211" w:lineRule="auto"/>
        <w:rPr>
          <w:sz w:val="20"/>
          <w:szCs w:val="20"/>
          <w:color w:val="auto"/>
        </w:rPr>
      </w:pPr>
      <w:r>
        <w:rPr>
          <w:rFonts w:ascii="Times New Roman" w:cs="Times New Roman" w:eastAsia="Times New Roman" w:hAnsi="Times New Roman"/>
          <w:sz w:val="20"/>
          <w:szCs w:val="20"/>
          <w:color w:val="auto"/>
        </w:rPr>
        <w:t>TITLE:_____________________________</w:t>
      </w:r>
    </w:p>
    <w:p>
      <w:pPr>
        <w:ind w:left="4540"/>
        <w:spacing w:after="0"/>
        <w:rPr>
          <w:sz w:val="20"/>
          <w:szCs w:val="20"/>
          <w:color w:val="auto"/>
        </w:rPr>
      </w:pPr>
      <w:r>
        <w:rPr>
          <w:rFonts w:ascii="Times New Roman" w:cs="Times New Roman" w:eastAsia="Times New Roman" w:hAnsi="Times New Roman"/>
          <w:sz w:val="20"/>
          <w:szCs w:val="20"/>
          <w:color w:val="auto"/>
        </w:rPr>
        <w:t>PRINT NAME:______________________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WEST\298100232.10</w:t>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ATTACHMENT TO ADVANCE REQUEST</w:t>
      </w:r>
    </w:p>
    <w:p>
      <w:pPr>
        <w:spacing w:after="0" w:line="19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Dated: _______________________</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hereby represents and warrants to Agent that Borrower’s current name and organizational status is as follows: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OUSTER, INC.</w:t>
      </w:r>
    </w:p>
    <w:p>
      <w:pPr>
        <w:spacing w:after="0" w:line="189"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Type of organization:</w:t>
      </w:r>
      <w:r>
        <w:rPr>
          <w:sz w:val="20"/>
          <w:szCs w:val="20"/>
          <w:color w:val="auto"/>
        </w:rPr>
        <w:tab/>
      </w:r>
      <w:r>
        <w:rPr>
          <w:rFonts w:ascii="Times New Roman" w:cs="Times New Roman" w:eastAsia="Times New Roman" w:hAnsi="Times New Roman"/>
          <w:sz w:val="19"/>
          <w:szCs w:val="19"/>
          <w:color w:val="auto"/>
        </w:rPr>
        <w:t>corporation</w:t>
      </w:r>
    </w:p>
    <w:p>
      <w:pPr>
        <w:spacing w:after="0" w:line="17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State of organization:</w:t>
      </w:r>
      <w:r>
        <w:rPr>
          <w:sz w:val="20"/>
          <w:szCs w:val="20"/>
          <w:color w:val="auto"/>
        </w:rPr>
        <w:tab/>
      </w:r>
      <w:r>
        <w:rPr>
          <w:rFonts w:ascii="Times New Roman" w:cs="Times New Roman" w:eastAsia="Times New Roman" w:hAnsi="Times New Roman"/>
          <w:sz w:val="19"/>
          <w:szCs w:val="19"/>
          <w:color w:val="auto"/>
        </w:rPr>
        <w:t>Delaware</w:t>
      </w:r>
    </w:p>
    <w:p>
      <w:pPr>
        <w:spacing w:after="0" w:line="189"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20"/>
          <w:szCs w:val="20"/>
          <w:color w:val="auto"/>
        </w:rPr>
        <w:t>Organization file number:</w:t>
      </w:r>
      <w:r>
        <w:rPr>
          <w:sz w:val="20"/>
          <w:szCs w:val="20"/>
          <w:color w:val="auto"/>
        </w:rPr>
        <w:tab/>
      </w:r>
      <w:r>
        <w:rPr>
          <w:rFonts w:ascii="Times New Roman" w:cs="Times New Roman" w:eastAsia="Times New Roman" w:hAnsi="Times New Roman"/>
          <w:sz w:val="19"/>
          <w:szCs w:val="19"/>
          <w:color w:val="auto"/>
        </w:rPr>
        <w:t>___________________</w:t>
      </w:r>
    </w:p>
    <w:p>
      <w:pPr>
        <w:spacing w:after="0" w:line="189" w:lineRule="exact"/>
        <w:rPr>
          <w:sz w:val="20"/>
          <w:szCs w:val="20"/>
          <w:color w:val="auto"/>
        </w:rPr>
      </w:pPr>
    </w:p>
    <w:p>
      <w:pPr>
        <w:ind w:right="420"/>
        <w:spacing w:after="0" w:line="233" w:lineRule="auto"/>
        <w:rPr>
          <w:sz w:val="20"/>
          <w:szCs w:val="20"/>
          <w:color w:val="auto"/>
        </w:rPr>
      </w:pPr>
      <w:r>
        <w:rPr>
          <w:rFonts w:ascii="Times New Roman" w:cs="Times New Roman" w:eastAsia="Times New Roman" w:hAnsi="Times New Roman"/>
          <w:sz w:val="20"/>
          <w:szCs w:val="20"/>
          <w:color w:val="auto"/>
        </w:rPr>
        <w:t>Borrower hereby represents and warrants to Agent that the street addresses, cities, states and postal codes of its current locations are as follows: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Borrower hereby represents and warrants to Agent that the Advance Amount does not exceed the Maximum Term Loan Amount as follows:</w:t>
      </w:r>
    </w:p>
    <w:p>
      <w:pPr>
        <w:spacing w:after="0" w:line="187"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Amount: $________________</w:t>
      </w:r>
    </w:p>
    <w:p>
      <w:pPr>
        <w:spacing w:after="0" w:line="18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Maximum Term Loan Amount: Fifty Million Dollars ($50,000,000).</w:t>
      </w:r>
    </w:p>
    <w:p>
      <w:pPr>
        <w:spacing w:after="0" w:line="18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clause a. less than or equal to clause b.? Yes/Compliant _______ No/Non-Compliant 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FF0000"/>
          <w:strike w:val="1"/>
        </w:rPr>
        <w:t>WEST\298100232.10</w:t>
      </w:r>
    </w:p>
    <w:p>
      <w:pPr>
        <w:spacing w:after="0" w:line="19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100"/>
          </w:cols>
          <w:pgMar w:left="320" w:top="1440" w:right="47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NAME, LOCATIONS, AND OTHER INFORMATION FOR LOAN PARTIES</w:t>
      </w:r>
    </w:p>
    <w:p>
      <w:pPr>
        <w:spacing w:after="0" w:line="193" w:lineRule="exact"/>
        <w:rPr>
          <w:sz w:val="20"/>
          <w:szCs w:val="20"/>
          <w:color w:val="auto"/>
        </w:rPr>
      </w:pPr>
    </w:p>
    <w:p>
      <w:pPr>
        <w:ind w:firstLine="656"/>
        <w:spacing w:after="0"/>
        <w:tabs>
          <w:tab w:leader="none" w:pos="84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represents and warrants to Agent that the Loan Parties’ current name and organizational status as of the Closing Date is as follows:</w:t>
      </w:r>
    </w:p>
    <w:p>
      <w:pPr>
        <w:spacing w:after="0" w:line="14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OUSTER, INC.</w:t>
      </w:r>
    </w:p>
    <w:p>
      <w:pPr>
        <w:spacing w:after="0" w:line="189"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Type of organization:</w:t>
      </w:r>
      <w:r>
        <w:rPr>
          <w:sz w:val="20"/>
          <w:szCs w:val="20"/>
          <w:color w:val="auto"/>
        </w:rPr>
        <w:tab/>
      </w:r>
      <w:r>
        <w:rPr>
          <w:rFonts w:ascii="Times New Roman" w:cs="Times New Roman" w:eastAsia="Times New Roman" w:hAnsi="Times New Roman"/>
          <w:sz w:val="19"/>
          <w:szCs w:val="19"/>
          <w:color w:val="auto"/>
        </w:rPr>
        <w:t>corporation</w:t>
      </w:r>
    </w:p>
    <w:p>
      <w:pPr>
        <w:spacing w:after="0" w:line="17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State of organization:</w:t>
      </w:r>
      <w:r>
        <w:rPr>
          <w:sz w:val="20"/>
          <w:szCs w:val="20"/>
          <w:color w:val="auto"/>
        </w:rPr>
        <w:tab/>
      </w:r>
      <w:r>
        <w:rPr>
          <w:rFonts w:ascii="Times New Roman" w:cs="Times New Roman" w:eastAsia="Times New Roman" w:hAnsi="Times New Roman"/>
          <w:sz w:val="19"/>
          <w:szCs w:val="19"/>
          <w:color w:val="auto"/>
        </w:rPr>
        <w:t>Delaware</w:t>
      </w:r>
    </w:p>
    <w:p>
      <w:pPr>
        <w:spacing w:after="0" w:line="189"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20"/>
          <w:szCs w:val="20"/>
          <w:color w:val="auto"/>
        </w:rPr>
        <w:t>Organization file number:</w:t>
      </w:r>
      <w:r>
        <w:rPr>
          <w:sz w:val="20"/>
          <w:szCs w:val="20"/>
          <w:color w:val="auto"/>
        </w:rPr>
        <w:tab/>
      </w:r>
      <w:r>
        <w:rPr>
          <w:rFonts w:ascii="Times New Roman" w:cs="Times New Roman" w:eastAsia="Times New Roman" w:hAnsi="Times New Roman"/>
          <w:sz w:val="19"/>
          <w:szCs w:val="19"/>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SENSE PHOTONICS, INC.</w:t>
      </w:r>
    </w:p>
    <w:p>
      <w:pPr>
        <w:spacing w:after="0" w:line="175"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Type of organization:</w:t>
      </w:r>
      <w:r>
        <w:rPr>
          <w:sz w:val="20"/>
          <w:szCs w:val="20"/>
          <w:color w:val="auto"/>
        </w:rPr>
        <w:tab/>
      </w:r>
      <w:r>
        <w:rPr>
          <w:rFonts w:ascii="Times New Roman" w:cs="Times New Roman" w:eastAsia="Times New Roman" w:hAnsi="Times New Roman"/>
          <w:sz w:val="19"/>
          <w:szCs w:val="19"/>
          <w:color w:val="auto"/>
        </w:rPr>
        <w:t>corporation</w:t>
      </w:r>
    </w:p>
    <w:p>
      <w:pPr>
        <w:spacing w:after="0" w:line="189" w:lineRule="exact"/>
        <w:rPr>
          <w:sz w:val="20"/>
          <w:szCs w:val="20"/>
          <w:color w:val="auto"/>
        </w:rPr>
      </w:pPr>
    </w:p>
    <w:p>
      <w:pPr>
        <w:ind w:left="660"/>
        <w:spacing w:after="0"/>
        <w:tabs>
          <w:tab w:leader="none" w:pos="2540" w:val="left"/>
        </w:tabs>
        <w:rPr>
          <w:sz w:val="20"/>
          <w:szCs w:val="20"/>
          <w:color w:val="auto"/>
        </w:rPr>
      </w:pPr>
      <w:r>
        <w:rPr>
          <w:rFonts w:ascii="Times New Roman" w:cs="Times New Roman" w:eastAsia="Times New Roman" w:hAnsi="Times New Roman"/>
          <w:sz w:val="20"/>
          <w:szCs w:val="20"/>
          <w:color w:val="auto"/>
        </w:rPr>
        <w:t>State of organization:</w:t>
      </w:r>
      <w:r>
        <w:rPr>
          <w:sz w:val="20"/>
          <w:szCs w:val="20"/>
          <w:color w:val="auto"/>
        </w:rPr>
        <w:tab/>
      </w:r>
      <w:r>
        <w:rPr>
          <w:rFonts w:ascii="Times New Roman" w:cs="Times New Roman" w:eastAsia="Times New Roman" w:hAnsi="Times New Roman"/>
          <w:sz w:val="19"/>
          <w:szCs w:val="19"/>
          <w:color w:val="auto"/>
        </w:rPr>
        <w:t>Delaware</w:t>
      </w:r>
    </w:p>
    <w:p>
      <w:pPr>
        <w:spacing w:after="0" w:line="189" w:lineRule="exact"/>
        <w:rPr>
          <w:sz w:val="20"/>
          <w:szCs w:val="20"/>
          <w:color w:val="auto"/>
        </w:rPr>
      </w:pPr>
    </w:p>
    <w:p>
      <w:pPr>
        <w:ind w:left="660"/>
        <w:spacing w:after="0"/>
        <w:tabs>
          <w:tab w:leader="none" w:pos="2880" w:val="left"/>
        </w:tabs>
        <w:rPr>
          <w:sz w:val="20"/>
          <w:szCs w:val="20"/>
          <w:color w:val="auto"/>
        </w:rPr>
      </w:pPr>
      <w:r>
        <w:rPr>
          <w:rFonts w:ascii="Times New Roman" w:cs="Times New Roman" w:eastAsia="Times New Roman" w:hAnsi="Times New Roman"/>
          <w:sz w:val="20"/>
          <w:szCs w:val="20"/>
          <w:color w:val="auto"/>
        </w:rPr>
        <w:t>Organization file number:</w:t>
      </w:r>
      <w:r>
        <w:rPr>
          <w:sz w:val="20"/>
          <w:szCs w:val="20"/>
          <w:color w:val="auto"/>
        </w:rPr>
        <w:tab/>
      </w:r>
      <w:r>
        <w:rPr>
          <w:rFonts w:ascii="Times New Roman" w:cs="Times New Roman" w:eastAsia="Times New Roman" w:hAnsi="Times New Roman"/>
          <w:sz w:val="19"/>
          <w:szCs w:val="19"/>
          <w:color w:val="auto"/>
        </w:rPr>
        <w:t>___________________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8"/>
        <w:spacing w:after="0"/>
        <w:tabs>
          <w:tab w:leader="none" w:pos="21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represents and warrants to Agent that for five (5) years prior to the Closing Date, the Loan Parties did not do business under any other name or organization or form except the following:</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Name:</w:t>
      </w:r>
    </w:p>
    <w:p>
      <w:pPr>
        <w:ind w:left="660"/>
        <w:spacing w:after="0" w:line="211" w:lineRule="auto"/>
        <w:rPr>
          <w:sz w:val="20"/>
          <w:szCs w:val="20"/>
          <w:color w:val="auto"/>
        </w:rPr>
      </w:pPr>
      <w:r>
        <w:rPr>
          <w:rFonts w:ascii="Times New Roman" w:cs="Times New Roman" w:eastAsia="Times New Roman" w:hAnsi="Times New Roman"/>
          <w:sz w:val="20"/>
          <w:szCs w:val="20"/>
          <w:color w:val="auto"/>
        </w:rPr>
        <w:t>Used during dates of:</w:t>
      </w:r>
    </w:p>
    <w:p>
      <w:pPr>
        <w:ind w:left="660"/>
        <w:spacing w:after="0" w:line="211" w:lineRule="auto"/>
        <w:rPr>
          <w:sz w:val="20"/>
          <w:szCs w:val="20"/>
          <w:color w:val="auto"/>
        </w:rPr>
      </w:pPr>
      <w:r>
        <w:rPr>
          <w:rFonts w:ascii="Times New Roman" w:cs="Times New Roman" w:eastAsia="Times New Roman" w:hAnsi="Times New Roman"/>
          <w:sz w:val="20"/>
          <w:szCs w:val="20"/>
          <w:color w:val="auto"/>
        </w:rPr>
        <w:t>Type of Organization:</w:t>
      </w:r>
    </w:p>
    <w:p>
      <w:pPr>
        <w:ind w:left="660"/>
        <w:spacing w:after="0" w:line="197" w:lineRule="auto"/>
        <w:rPr>
          <w:sz w:val="20"/>
          <w:szCs w:val="20"/>
          <w:color w:val="auto"/>
        </w:rPr>
      </w:pPr>
      <w:r>
        <w:rPr>
          <w:rFonts w:ascii="Times New Roman" w:cs="Times New Roman" w:eastAsia="Times New Roman" w:hAnsi="Times New Roman"/>
          <w:sz w:val="20"/>
          <w:szCs w:val="20"/>
          <w:color w:val="auto"/>
        </w:rPr>
        <w:t>State of organization: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Organization file Number: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Each Loan Party represents and warrants to Agent that their chief executive office(s) is/are located at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03" w:name="page204"/>
    <w:bookmarkEnd w:id="203"/>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17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LOAN PARTIES’ PATENTS, TRADEMARKS, COPYRIGHTS AND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36" w:right="1440" w:bottom="1440" w:gutter="0" w:footer="0" w:header="0"/>
        </w:sectPr>
      </w:pPr>
    </w:p>
    <w:bookmarkStart w:id="204" w:name="page205"/>
    <w:bookmarkEnd w:id="204"/>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1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LOAN PARTIES’ DEPOSIT ACCOUNTS AND INVESTMENT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36" w:right="1440" w:bottom="1440" w:gutter="0" w:footer="0" w:header="0"/>
        </w:sectPr>
      </w:pPr>
    </w:p>
    <w:bookmarkStart w:id="205" w:name="page206"/>
    <w:bookmarkEnd w:id="20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EXHIBIT 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COMPLIANCE CERTIFICATE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Hercules Capital, Inc. (as “Agent”)</w:t>
      </w:r>
    </w:p>
    <w:p>
      <w:pPr>
        <w:spacing w:after="0" w:line="197" w:lineRule="auto"/>
        <w:rPr>
          <w:sz w:val="20"/>
          <w:szCs w:val="20"/>
          <w:color w:val="auto"/>
        </w:rPr>
      </w:pPr>
      <w:r>
        <w:rPr>
          <w:rFonts w:ascii="Times New Roman" w:cs="Times New Roman" w:eastAsia="Times New Roman" w:hAnsi="Times New Roman"/>
          <w:sz w:val="20"/>
          <w:szCs w:val="20"/>
          <w:color w:val="auto"/>
        </w:rPr>
        <w:t>400 Hamilton Avenue, Suite 310</w:t>
      </w:r>
    </w:p>
    <w:p>
      <w:pPr>
        <w:spacing w:after="0"/>
        <w:rPr>
          <w:sz w:val="20"/>
          <w:szCs w:val="20"/>
          <w:color w:val="auto"/>
        </w:rPr>
      </w:pPr>
      <w:r>
        <w:rPr>
          <w:rFonts w:ascii="Times New Roman" w:cs="Times New Roman" w:eastAsia="Times New Roman" w:hAnsi="Times New Roman"/>
          <w:sz w:val="20"/>
          <w:szCs w:val="20"/>
          <w:color w:val="auto"/>
        </w:rPr>
        <w:t>Palo Alto, CA 94301</w:t>
      </w:r>
    </w:p>
    <w:p>
      <w:pPr>
        <w:spacing w:after="0" w:line="167"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9"/>
          <w:szCs w:val="19"/>
          <w:color w:val="auto"/>
        </w:rPr>
        <w:t>Reference is made to that certain Loan and Security Agreement dated January 21, 2022 and the Loan Documents (as defined therein) entered into in connection with such Loan and Security Agreement all as may be amended from time to time (hereinafter referred to</w:t>
      </w:r>
    </w:p>
    <w:p>
      <w:pPr>
        <w:spacing w:after="0" w:line="211" w:lineRule="auto"/>
        <w:rPr>
          <w:sz w:val="20"/>
          <w:szCs w:val="20"/>
          <w:color w:val="auto"/>
        </w:rPr>
      </w:pPr>
      <w:r>
        <w:rPr>
          <w:rFonts w:ascii="Times New Roman" w:cs="Times New Roman" w:eastAsia="Times New Roman" w:hAnsi="Times New Roman"/>
          <w:sz w:val="20"/>
          <w:szCs w:val="20"/>
          <w:color w:val="auto"/>
        </w:rPr>
        <w:t>collectively as the “Loan Agreement”) by and among Hercules Capital, Inc. (the “Agent”), the several banks and other financial institutions</w:t>
      </w:r>
    </w:p>
    <w:p>
      <w:pPr>
        <w:spacing w:after="0" w:line="1"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20"/>
          <w:szCs w:val="20"/>
          <w:color w:val="auto"/>
        </w:rPr>
        <w:t>or entities from time to time party thereto (collectively, the “Lender”) and OUSTER, INC. (the “Company”) as Borrower and each other Loan Party. All capitalized terms not defined herein shall have the same meaning as defined in the Loan Agreement.</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undersigned is an Officer of the Company, knowledgeable of all Company financial matters, and is authorized to provide</w:t>
      </w:r>
    </w:p>
    <w:p>
      <w:pPr>
        <w:spacing w:after="0" w:line="204" w:lineRule="auto"/>
        <w:rPr>
          <w:sz w:val="20"/>
          <w:szCs w:val="20"/>
          <w:color w:val="auto"/>
        </w:rPr>
      </w:pPr>
      <w:r>
        <w:rPr>
          <w:rFonts w:ascii="Times New Roman" w:cs="Times New Roman" w:eastAsia="Times New Roman" w:hAnsi="Times New Roman"/>
          <w:sz w:val="20"/>
          <w:szCs w:val="20"/>
          <w:color w:val="auto"/>
        </w:rPr>
        <w:t>certification of information regarding the Company; hereby certifies, in such capacity, that in accordance with the terms and conditions of the Loan Agreement, the Company is in compliance for the period ending ___________ of all covenants, conditions and terms and hereby</w:t>
      </w:r>
    </w:p>
    <w:p>
      <w:pPr>
        <w:spacing w:after="0" w:line="211" w:lineRule="auto"/>
        <w:rPr>
          <w:sz w:val="20"/>
          <w:szCs w:val="20"/>
          <w:color w:val="auto"/>
        </w:rPr>
      </w:pPr>
      <w:r>
        <w:rPr>
          <w:rFonts w:ascii="Times New Roman" w:cs="Times New Roman" w:eastAsia="Times New Roman" w:hAnsi="Times New Roman"/>
          <w:sz w:val="20"/>
          <w:szCs w:val="20"/>
          <w:color w:val="auto"/>
        </w:rPr>
        <w:t>reaffirms that all representations and warranties contained therein are true and correct on and as of the date of this Compliance Certificate</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with the same effect as though made on and as of such date, except to the extent such representations and warranties expressly relate to an earlier date, after giving effect in all cases to any standard(s) of materiality contained in the Loan Agreement as to such representations and</w:t>
      </w:r>
    </w:p>
    <w:p>
      <w:pPr>
        <w:spacing w:after="0" w:line="222" w:lineRule="auto"/>
        <w:rPr>
          <w:sz w:val="20"/>
          <w:szCs w:val="20"/>
          <w:color w:val="auto"/>
        </w:rPr>
      </w:pPr>
      <w:r>
        <w:rPr>
          <w:rFonts w:ascii="Times New Roman" w:cs="Times New Roman" w:eastAsia="Times New Roman" w:hAnsi="Times New Roman"/>
          <w:sz w:val="19"/>
          <w:szCs w:val="19"/>
          <w:color w:val="auto"/>
        </w:rPr>
        <w:t>warranties. Attached are the required documents supporting the above certification. The undersigned further certifies that these are prepared</w:t>
      </w:r>
    </w:p>
    <w:p>
      <w:pPr>
        <w:ind w:right="140"/>
        <w:spacing w:after="0" w:line="221" w:lineRule="auto"/>
        <w:rPr>
          <w:sz w:val="20"/>
          <w:szCs w:val="20"/>
          <w:color w:val="auto"/>
        </w:rPr>
      </w:pPr>
      <w:r>
        <w:rPr>
          <w:rFonts w:ascii="Times New Roman" w:cs="Times New Roman" w:eastAsia="Times New Roman" w:hAnsi="Times New Roman"/>
          <w:sz w:val="20"/>
          <w:szCs w:val="20"/>
          <w:color w:val="auto"/>
        </w:rPr>
        <w:t>in accordance with GAAP (except for the absence of footnotes with respect to unaudited financial statement and subject to normal year-end adjustments) and are consistent from one period to the next except as explained below.</w:t>
      </w:r>
    </w:p>
    <w:p>
      <w:pPr>
        <w:sectPr>
          <w:pgSz w:w="11900" w:h="16838" w:orient="portrait"/>
          <w:cols w:equalWidth="0" w:num="1">
            <w:col w:w="11200"/>
          </w:cols>
          <w:pgMar w:left="320" w:top="1436" w:right="379" w:bottom="1440" w:gutter="0" w:footer="0" w:header="0"/>
        </w:sectPr>
      </w:pP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REPORTING REQUIREMENT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ATTACHED</w:t>
      </w:r>
    </w:p>
    <w:p>
      <w:pPr>
        <w:spacing w:after="0" w:line="200" w:lineRule="exact"/>
        <w:rPr>
          <w:sz w:val="20"/>
          <w:szCs w:val="20"/>
          <w:color w:val="auto"/>
        </w:rPr>
      </w:pPr>
    </w:p>
    <w:p>
      <w:pPr>
        <w:sectPr>
          <w:pgSz w:w="11900" w:h="16838" w:orient="portrait"/>
          <w:cols w:equalWidth="0" w:num="3">
            <w:col w:w="4240" w:space="720"/>
            <w:col w:w="2300" w:space="720"/>
            <w:col w:w="3220"/>
          </w:cols>
          <w:pgMar w:left="320" w:top="1436" w:right="379" w:bottom="1440" w:gutter="0" w:footer="0" w:header="0"/>
          <w:type w:val="continuous"/>
        </w:sectPr>
      </w:pPr>
    </w:p>
    <w:p>
      <w:pPr>
        <w:spacing w:after="0" w:line="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Monthly within 45 days (if within</w:t>
      </w:r>
    </w:p>
    <w:p>
      <w:pPr>
        <w:sectPr>
          <w:pgSz w:w="11900" w:h="16838" w:orient="portrait"/>
          <w:cols w:equalWidth="0" w:num="1">
            <w:col w:w="11200"/>
          </w:cols>
          <w:pgMar w:left="320" w:top="1436" w:right="379" w:bottom="1440" w:gutter="0" w:footer="0" w:header="0"/>
          <w:type w:val="continuous"/>
        </w:sectPr>
      </w:pP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Interim Financial Statements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Trigger Period)</w:t>
      </w:r>
    </w:p>
    <w:p>
      <w:pPr>
        <w:spacing w:after="0" w:line="200" w:lineRule="exact"/>
        <w:rPr>
          <w:sz w:val="20"/>
          <w:szCs w:val="20"/>
          <w:color w:val="auto"/>
        </w:rPr>
      </w:pPr>
    </w:p>
    <w:p>
      <w:pPr>
        <w:sectPr>
          <w:pgSz w:w="11900" w:h="16838" w:orient="portrait"/>
          <w:cols w:equalWidth="0" w:num="2">
            <w:col w:w="4240" w:space="720"/>
            <w:col w:w="6240"/>
          </w:cols>
          <w:pgMar w:left="320" w:top="1436" w:right="379" w:bottom="1440" w:gutter="0" w:footer="0" w:header="0"/>
          <w:type w:val="continuous"/>
        </w:sectPr>
      </w:pP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Interim Financial Statements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Quarterly within 45 days</w:t>
      </w:r>
    </w:p>
    <w:p>
      <w:pPr>
        <w:spacing w:after="0" w:line="200" w:lineRule="exact"/>
        <w:rPr>
          <w:sz w:val="20"/>
          <w:szCs w:val="20"/>
          <w:color w:val="auto"/>
        </w:rPr>
      </w:pPr>
    </w:p>
    <w:p>
      <w:pPr>
        <w:sectPr>
          <w:pgSz w:w="11900" w:h="16838" w:orient="portrait"/>
          <w:cols w:equalWidth="0" w:num="2">
            <w:col w:w="4240" w:space="720"/>
            <w:col w:w="6240"/>
          </w:cols>
          <w:pgMar w:left="320" w:top="1436" w:right="379" w:bottom="1440" w:gutter="0" w:footer="0" w:header="0"/>
          <w:type w:val="continuous"/>
        </w:sectPr>
      </w:pPr>
    </w:p>
    <w:p>
      <w:pPr>
        <w:spacing w:after="0" w:line="10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Audited Financial Statements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FYE within 90 days</w:t>
      </w:r>
    </w:p>
    <w:p>
      <w:pPr>
        <w:spacing w:after="0" w:line="200" w:lineRule="exact"/>
        <w:rPr>
          <w:sz w:val="20"/>
          <w:szCs w:val="20"/>
          <w:color w:val="auto"/>
        </w:rPr>
      </w:pPr>
    </w:p>
    <w:p>
      <w:pPr>
        <w:sectPr>
          <w:pgSz w:w="11900" w:h="16838" w:orient="portrait"/>
          <w:cols w:equalWidth="0" w:num="2">
            <w:col w:w="4240" w:space="720"/>
            <w:col w:w="6240"/>
          </w:cols>
          <w:pgMar w:left="320" w:top="1436" w:right="379" w:bottom="1440" w:gutter="0" w:footer="0" w:header="0"/>
          <w:type w:val="continuous"/>
        </w:sect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OF LOAN PARTIES AND THEIR SUBSIDIARIES AND AFFILIATES</w:t>
      </w:r>
    </w:p>
    <w:p>
      <w:pPr>
        <w:spacing w:after="0" w:line="17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undersigned hereby also confirms the below disclosed accounts represent all depository accounts and securities accounts presently open in the name of each Loan Party or Loan Party’s Subsidiary/Affiliate, as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new account that has been opened since delivery of the previous Compliance Certificate is designated below with a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00"/>
          </w:cols>
          <w:pgMar w:left="320" w:top="1436" w:right="379" w:bottom="1440" w:gutter="0" w:footer="0" w:header="0"/>
          <w:type w:val="continuous"/>
        </w:sectPr>
      </w:pPr>
    </w:p>
    <w:bookmarkStart w:id="206" w:name="page207"/>
    <w:bookmarkEnd w:id="206"/>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600" w:type="dxa"/>
            <w:vAlign w:val="bottom"/>
            <w:tcBorders>
              <w:top w:val="single" w:sz="8" w:color="auto"/>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Financial</w:t>
            </w:r>
          </w:p>
        </w:tc>
        <w:tc>
          <w:tcPr>
            <w:tcW w:w="1780" w:type="dxa"/>
            <w:vAlign w:val="bottom"/>
            <w:tcBorders>
              <w:top w:val="single" w:sz="8" w:color="auto"/>
            </w:tcBorders>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Account Type</w:t>
            </w:r>
          </w:p>
        </w:tc>
        <w:tc>
          <w:tcPr>
            <w:tcW w:w="1500" w:type="dxa"/>
            <w:vAlign w:val="bottom"/>
            <w:tcBorders>
              <w:top w:val="single" w:sz="8" w:color="auto"/>
            </w:tcBorders>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Last Month</w:t>
            </w:r>
          </w:p>
        </w:tc>
        <w:tc>
          <w:tcPr>
            <w:tcW w:w="152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Purpose of</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178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(Depository /</w:t>
            </w:r>
          </w:p>
        </w:tc>
        <w:tc>
          <w:tcPr>
            <w:tcW w:w="1500" w:type="dxa"/>
            <w:vAlign w:val="bottom"/>
          </w:tcPr>
          <w:p>
            <w:pPr>
              <w:ind w:left="40"/>
              <w:spacing w:after="0" w:line="203" w:lineRule="exact"/>
              <w:rPr>
                <w:sz w:val="20"/>
                <w:szCs w:val="20"/>
                <w:color w:val="auto"/>
              </w:rPr>
            </w:pPr>
            <w:r>
              <w:rPr>
                <w:rFonts w:ascii="Times New Roman" w:cs="Times New Roman" w:eastAsia="Times New Roman" w:hAnsi="Times New Roman"/>
                <w:sz w:val="20"/>
                <w:szCs w:val="20"/>
                <w:b w:val="1"/>
                <w:bCs w:val="1"/>
                <w:color w:val="auto"/>
              </w:rPr>
              <w:t>Ending Account</w:t>
            </w:r>
          </w:p>
        </w:tc>
        <w:tc>
          <w:tcPr>
            <w:tcW w:w="15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00" w:type="dxa"/>
            <w:vAlign w:val="bottom"/>
            <w:tcBorders>
              <w:left w:val="single" w:sz="8" w:color="auto"/>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Depository AC #   Institution</w:t>
            </w:r>
          </w:p>
        </w:tc>
        <w:tc>
          <w:tcPr>
            <w:tcW w:w="1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1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Balance</w:t>
            </w:r>
          </w:p>
        </w:tc>
        <w:tc>
          <w:tcPr>
            <w:tcW w:w="15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Account</w:t>
            </w:r>
          </w:p>
        </w:tc>
        <w:tc>
          <w:tcPr>
            <w:tcW w:w="0" w:type="dxa"/>
            <w:vAlign w:val="bottom"/>
          </w:tcPr>
          <w:p>
            <w:pPr>
              <w:spacing w:after="0"/>
              <w:rPr>
                <w:sz w:val="1"/>
                <w:szCs w:val="1"/>
                <w:color w:val="auto"/>
              </w:rPr>
            </w:pPr>
          </w:p>
        </w:tc>
      </w:tr>
      <w:tr>
        <w:trPr>
          <w:trHeight w:val="250"/>
        </w:trPr>
        <w:tc>
          <w:tcPr>
            <w:tcW w:w="6460" w:type="dxa"/>
            <w:vAlign w:val="bottom"/>
            <w:tcBorders>
              <w:left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LOAN PARTY Name/Address:</w:t>
            </w:r>
          </w:p>
        </w:tc>
        <w:tc>
          <w:tcPr>
            <w:tcW w:w="1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left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w:t>
            </w:r>
          </w:p>
        </w:tc>
        <w:tc>
          <w:tcPr>
            <w:tcW w:w="17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3</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4</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5</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6</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7</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tcBorders>
              <w:left w:val="single" w:sz="8" w:color="auto"/>
              <w:bottom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LOAN PARTY Name/Address:</w:t>
            </w:r>
          </w:p>
        </w:tc>
        <w:tc>
          <w:tcPr>
            <w:tcW w:w="1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left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w:t>
            </w:r>
          </w:p>
        </w:tc>
        <w:tc>
          <w:tcPr>
            <w:tcW w:w="17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3</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4</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5</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6</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7</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tcBorders>
              <w:left w:val="single" w:sz="8" w:color="auto"/>
              <w:bottom w:val="single" w:sz="8" w:color="auto"/>
            </w:tcBorders>
            <w:gridSpan w:val="4"/>
          </w:tcPr>
          <w:p>
            <w:pPr>
              <w:ind w:left="80"/>
              <w:spacing w:after="0" w:line="250" w:lineRule="exact"/>
              <w:rPr>
                <w:sz w:val="20"/>
                <w:szCs w:val="20"/>
                <w:color w:val="auto"/>
              </w:rPr>
            </w:pPr>
            <w:r>
              <w:rPr>
                <w:rFonts w:ascii="Times New Roman" w:cs="Times New Roman" w:eastAsia="Times New Roman" w:hAnsi="Times New Roman"/>
                <w:sz w:val="20"/>
                <w:szCs w:val="20"/>
                <w:b w:val="1"/>
                <w:bCs w:val="1"/>
                <w:color w:val="auto"/>
              </w:rPr>
              <w:t>NON-LOAN PARTY SUBSIDIARIES Name(s)/Address(s):</w:t>
            </w:r>
            <w:r>
              <w:rPr>
                <w:rFonts w:ascii="Times New Roman" w:cs="Times New Roman" w:eastAsia="Times New Roman" w:hAnsi="Times New Roman"/>
                <w:sz w:val="25"/>
                <w:szCs w:val="25"/>
                <w:b w:val="1"/>
                <w:bCs w:val="1"/>
                <w:color w:val="auto"/>
                <w:vertAlign w:val="superscript"/>
              </w:rPr>
              <w:t>1</w:t>
            </w:r>
          </w:p>
        </w:tc>
        <w:tc>
          <w:tcPr>
            <w:tcW w:w="17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0" w:type="dxa"/>
            <w:vAlign w:val="bottom"/>
            <w:tcBorders>
              <w:left w:val="single" w:sz="8" w:color="auto"/>
              <w:right w:val="single" w:sz="8" w:color="auto"/>
            </w:tcBorders>
          </w:tcPr>
          <w:p>
            <w:pPr>
              <w:spacing w:after="0"/>
              <w:rPr>
                <w:sz w:val="21"/>
                <w:szCs w:val="21"/>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1</w:t>
            </w:r>
          </w:p>
        </w:tc>
        <w:tc>
          <w:tcPr>
            <w:tcW w:w="172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2</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3</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4</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5</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0" w:type="dxa"/>
            <w:vAlign w:val="bottom"/>
            <w:tcBorders>
              <w:left w:val="single" w:sz="8" w:color="auto"/>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6</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00" w:type="dxa"/>
            <w:vAlign w:val="bottom"/>
            <w:tcBorders>
              <w:left w:val="single" w:sz="8" w:color="auto"/>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7</w:t>
            </w: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20" w:hanging="112"/>
        <w:spacing w:after="0"/>
        <w:tabs>
          <w:tab w:leader="none" w:pos="120" w:val="left"/>
        </w:tabs>
        <w:numPr>
          <w:ilvl w:val="0"/>
          <w:numId w:val="9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measuring compliance with Section 7.12(b) and “Excluded Accounts”.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60"/>
          </w:cols>
          <w:pgMar w:left="320" w:top="1440" w:right="319" w:bottom="1440" w:gutter="0" w:footer="0" w:header="0"/>
        </w:sectPr>
      </w:pPr>
    </w:p>
    <w:bookmarkStart w:id="207" w:name="page208"/>
    <w:bookmarkEnd w:id="207"/>
    <w:p>
      <w:pPr>
        <w:spacing w:after="0" w:line="4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Financial Covenant</w:t>
            </w:r>
          </w:p>
        </w:tc>
        <w:tc>
          <w:tcPr>
            <w:tcW w:w="14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Required Level</w:t>
            </w:r>
          </w:p>
        </w:tc>
        <w:tc>
          <w:tcPr>
            <w:tcW w:w="1360" w:type="dxa"/>
            <w:vAlign w:val="bottom"/>
            <w:tcBorders>
              <w:top w:val="single" w:sz="8" w:color="auto"/>
              <w:bottom w:val="single" w:sz="8" w:color="auto"/>
              <w:right w:val="single" w:sz="8" w:color="auto"/>
            </w:tcBorders>
          </w:tcPr>
          <w:p>
            <w:pPr>
              <w:spacing w:after="0"/>
              <w:rPr>
                <w:sz w:val="23"/>
                <w:szCs w:val="23"/>
                <w:color w:val="auto"/>
              </w:rPr>
            </w:pPr>
          </w:p>
        </w:tc>
        <w:tc>
          <w:tcPr>
            <w:tcW w:w="28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Actual Level</w:t>
            </w:r>
          </w:p>
        </w:tc>
        <w:tc>
          <w:tcPr>
            <w:tcW w:w="2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In Compliance? (Y; N; N/A)</w:t>
            </w:r>
          </w:p>
        </w:tc>
        <w:tc>
          <w:tcPr>
            <w:tcW w:w="0" w:type="dxa"/>
            <w:vAlign w:val="bottom"/>
          </w:tcPr>
          <w:p>
            <w:pPr>
              <w:spacing w:after="0"/>
              <w:rPr>
                <w:sz w:val="1"/>
                <w:szCs w:val="1"/>
                <w:color w:val="auto"/>
              </w:rPr>
            </w:pPr>
          </w:p>
        </w:tc>
      </w:tr>
      <w:tr>
        <w:trPr>
          <w:trHeight w:val="252"/>
        </w:trPr>
        <w:tc>
          <w:tcPr>
            <w:tcW w:w="2840" w:type="dxa"/>
            <w:vAlign w:val="bottom"/>
            <w:tcBorders>
              <w:left w:val="single" w:sz="8" w:color="auto"/>
              <w:right w:val="single" w:sz="8" w:color="auto"/>
            </w:tcBorders>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Yes</w:t>
            </w:r>
          </w:p>
        </w:tc>
        <w:tc>
          <w:tcPr>
            <w:tcW w:w="0" w:type="dxa"/>
            <w:vAlign w:val="bottom"/>
          </w:tcPr>
          <w:p>
            <w:pPr>
              <w:spacing w:after="0"/>
              <w:rPr>
                <w:sz w:val="1"/>
                <w:szCs w:val="1"/>
                <w:color w:val="auto"/>
              </w:rPr>
            </w:pPr>
          </w:p>
        </w:tc>
      </w:tr>
      <w:tr>
        <w:trPr>
          <w:trHeight w:val="855"/>
        </w:trPr>
        <w:tc>
          <w:tcPr>
            <w:tcW w:w="2840" w:type="dxa"/>
            <w:vAlign w:val="bottom"/>
            <w:tcBorders>
              <w:left w:val="single" w:sz="8" w:color="auto"/>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10"/>
        </w:trPr>
        <w:tc>
          <w:tcPr>
            <w:tcW w:w="2840" w:type="dxa"/>
            <w:vAlign w:val="bottom"/>
            <w:tcBorders>
              <w:left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20"/>
                <w:szCs w:val="20"/>
                <w:color w:val="auto"/>
              </w:rPr>
              <w:t>Revenue Covenant</w:t>
            </w:r>
          </w:p>
        </w:tc>
        <w:tc>
          <w:tcPr>
            <w:tcW w:w="2800" w:type="dxa"/>
            <w:vAlign w:val="bottom"/>
            <w:tcBorders>
              <w:right w:val="single" w:sz="8" w:color="auto"/>
            </w:tcBorders>
            <w:gridSpan w:val="2"/>
          </w:tcPr>
          <w:p>
            <w:pPr>
              <w:ind w:left="60"/>
              <w:spacing w:after="0" w:line="210" w:lineRule="exact"/>
              <w:rPr>
                <w:sz w:val="20"/>
                <w:szCs w:val="20"/>
                <w:color w:val="auto"/>
              </w:rPr>
            </w:pPr>
            <w:r>
              <w:rPr>
                <w:rFonts w:ascii="Times New Roman" w:cs="Times New Roman" w:eastAsia="Times New Roman" w:hAnsi="Times New Roman"/>
                <w:sz w:val="20"/>
                <w:szCs w:val="20"/>
                <w:color w:val="auto"/>
              </w:rPr>
              <w:t>the number provided in Schedule</w:t>
            </w: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[__]</w:t>
            </w:r>
          </w:p>
        </w:tc>
        <w:tc>
          <w:tcPr>
            <w:tcW w:w="2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i w:val="1"/>
                <w:iCs w:val="1"/>
                <w:color w:val="auto"/>
              </w:rPr>
              <w:t>Section 7.19(a) of the Loan</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7.19(a)</w:t>
            </w:r>
          </w:p>
        </w:tc>
        <w:tc>
          <w:tcPr>
            <w:tcW w:w="1360" w:type="dxa"/>
            <w:vAlign w:val="bottom"/>
            <w:tcBorders>
              <w:right w:val="single" w:sz="8" w:color="auto"/>
            </w:tcBorders>
          </w:tcPr>
          <w:p>
            <w:pPr>
              <w:spacing w:after="0"/>
              <w:rPr>
                <w:sz w:val="22"/>
                <w:szCs w:val="22"/>
                <w:color w:val="auto"/>
              </w:rPr>
            </w:pPr>
          </w:p>
        </w:tc>
        <w:tc>
          <w:tcPr>
            <w:tcW w:w="2820" w:type="dxa"/>
            <w:vAlign w:val="bottom"/>
            <w:tcBorders>
              <w:right w:val="single" w:sz="8" w:color="auto"/>
            </w:tcBorders>
            <w:vMerge w:val="continue"/>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right w:val="single" w:sz="8" w:color="auto"/>
            </w:tcBorders>
            <w:vMerge w:val="continue"/>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$____________</w:t>
            </w:r>
          </w:p>
        </w:tc>
        <w:tc>
          <w:tcPr>
            <w:tcW w:w="136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$____________</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N/A</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345"/>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i w:val="1"/>
                <w:iCs w:val="1"/>
                <w:color w:val="auto"/>
              </w:rPr>
              <w:t>Agreement</w:t>
            </w:r>
          </w:p>
        </w:tc>
        <w:tc>
          <w:tcPr>
            <w:tcW w:w="1440" w:type="dxa"/>
            <w:vAlign w:val="bottom"/>
            <w:vMerge w:val="continue"/>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continue"/>
          </w:tcPr>
          <w:p>
            <w:pPr>
              <w:spacing w:after="0"/>
              <w:rPr>
                <w:sz w:val="24"/>
                <w:szCs w:val="24"/>
                <w:color w:val="auto"/>
              </w:rPr>
            </w:pPr>
          </w:p>
        </w:tc>
        <w:tc>
          <w:tcPr>
            <w:tcW w:w="28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4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For purposes of calculating the</w:t>
            </w:r>
          </w:p>
        </w:tc>
        <w:tc>
          <w:tcPr>
            <w:tcW w:w="144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$____________</w:t>
            </w:r>
          </w:p>
        </w:tc>
        <w:tc>
          <w:tcPr>
            <w:tcW w:w="2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20"/>
                <w:szCs w:val="20"/>
                <w:color w:val="auto"/>
              </w:rPr>
              <w:t>above, average amount for the</w:t>
            </w:r>
          </w:p>
        </w:tc>
        <w:tc>
          <w:tcPr>
            <w:tcW w:w="1440" w:type="dxa"/>
            <w:vAlign w:val="bottom"/>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last five days of each month</w:t>
            </w:r>
          </w:p>
        </w:tc>
        <w:tc>
          <w:tcPr>
            <w:tcW w:w="1440" w:type="dxa"/>
            <w:vAlign w:val="bottom"/>
            <w:tcBorders>
              <w:bottom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28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2"/>
          </w:tcPr>
          <w:p>
            <w:pPr>
              <w:ind w:left="60"/>
              <w:spacing w:after="0" w:line="186" w:lineRule="exact"/>
              <w:rPr>
                <w:sz w:val="20"/>
                <w:szCs w:val="20"/>
                <w:color w:val="auto"/>
              </w:rPr>
            </w:pPr>
            <w:r>
              <w:rPr>
                <w:rFonts w:ascii="Times New Roman" w:cs="Times New Roman" w:eastAsia="Times New Roman" w:hAnsi="Times New Roman"/>
                <w:sz w:val="20"/>
                <w:szCs w:val="20"/>
                <w:color w:val="auto"/>
              </w:rPr>
              <w:t>$60,000,000 in Deposit Accounts</w:t>
            </w:r>
          </w:p>
        </w:tc>
        <w:tc>
          <w:tcPr>
            <w:tcW w:w="282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$____________</w:t>
            </w:r>
          </w:p>
        </w:tc>
        <w:tc>
          <w:tcPr>
            <w:tcW w:w="280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Yes</w:t>
            </w:r>
          </w:p>
        </w:tc>
        <w:tc>
          <w:tcPr>
            <w:tcW w:w="0" w:type="dxa"/>
            <w:vAlign w:val="bottom"/>
          </w:tcPr>
          <w:p>
            <w:pPr>
              <w:spacing w:after="0"/>
              <w:rPr>
                <w:sz w:val="1"/>
                <w:szCs w:val="1"/>
                <w:color w:val="auto"/>
              </w:rPr>
            </w:pPr>
          </w:p>
        </w:tc>
      </w:tr>
      <w:tr>
        <w:trPr>
          <w:trHeight w:val="193"/>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gridSpan w:val="2"/>
          </w:tcPr>
          <w:p>
            <w:pPr>
              <w:ind w:left="60"/>
              <w:spacing w:after="0" w:line="193" w:lineRule="exact"/>
              <w:rPr>
                <w:sz w:val="20"/>
                <w:szCs w:val="20"/>
                <w:color w:val="auto"/>
              </w:rPr>
            </w:pPr>
            <w:r>
              <w:rPr>
                <w:rFonts w:ascii="Times New Roman" w:cs="Times New Roman" w:eastAsia="Times New Roman" w:hAnsi="Times New Roman"/>
                <w:sz w:val="20"/>
                <w:szCs w:val="20"/>
                <w:color w:val="auto"/>
              </w:rPr>
              <w:t>with respect to which Agent has</w:t>
            </w: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40" w:type="dxa"/>
            <w:vAlign w:val="bottom"/>
            <w:tcBorders>
              <w:left w:val="single" w:sz="8" w:color="auto"/>
              <w:right w:val="single" w:sz="8" w:color="auto"/>
            </w:tcBorders>
          </w:tcPr>
          <w:p>
            <w:pPr>
              <w:spacing w:after="0"/>
              <w:rPr>
                <w:sz w:val="22"/>
                <w:szCs w:val="22"/>
                <w:color w:val="auto"/>
              </w:rPr>
            </w:pPr>
          </w:p>
        </w:tc>
        <w:tc>
          <w:tcPr>
            <w:tcW w:w="28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an Account Control Agreement</w:t>
            </w:r>
          </w:p>
        </w:tc>
        <w:tc>
          <w:tcPr>
            <w:tcW w:w="2820" w:type="dxa"/>
            <w:vAlign w:val="bottom"/>
            <w:tcBorders>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2840" w:type="dxa"/>
            <w:vAlign w:val="bottom"/>
            <w:tcBorders>
              <w:left w:val="single" w:sz="8" w:color="auto"/>
              <w:righ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w:t>
            </w:r>
          </w:p>
        </w:tc>
        <w:tc>
          <w:tcPr>
            <w:tcW w:w="0" w:type="dxa"/>
            <w:vAlign w:val="bottom"/>
          </w:tcPr>
          <w:p>
            <w:pPr>
              <w:spacing w:after="0"/>
              <w:rPr>
                <w:sz w:val="1"/>
                <w:szCs w:val="1"/>
                <w:color w:val="auto"/>
              </w:rPr>
            </w:pPr>
          </w:p>
        </w:tc>
      </w:tr>
      <w:tr>
        <w:trPr>
          <w:trHeight w:val="270"/>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Liquidity Covenant</w:t>
            </w:r>
          </w:p>
        </w:tc>
        <w:tc>
          <w:tcPr>
            <w:tcW w:w="144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i w:val="1"/>
                <w:iCs w:val="1"/>
                <w:color w:val="auto"/>
              </w:rPr>
              <w:t>Section 7.19(b) of the Loan</w:t>
            </w:r>
          </w:p>
        </w:tc>
        <w:tc>
          <w:tcPr>
            <w:tcW w:w="1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N/A</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345"/>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i w:val="1"/>
                <w:iCs w:val="1"/>
                <w:color w:val="auto"/>
              </w:rPr>
              <w:t>Agreement</w:t>
            </w:r>
          </w:p>
        </w:tc>
        <w:tc>
          <w:tcPr>
            <w:tcW w:w="1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gridSpan w:val="2"/>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5"/>
        </w:trPr>
        <w:tc>
          <w:tcPr>
            <w:tcW w:w="2840" w:type="dxa"/>
            <w:vAlign w:val="bottom"/>
          </w:tcPr>
          <w:p>
            <w:pPr>
              <w:spacing w:after="0"/>
              <w:rPr>
                <w:sz w:val="24"/>
                <w:szCs w:val="24"/>
                <w:color w:val="auto"/>
              </w:rPr>
            </w:pPr>
          </w:p>
        </w:tc>
        <w:tc>
          <w:tcPr>
            <w:tcW w:w="5620" w:type="dxa"/>
            <w:vAlign w:val="bottom"/>
            <w:gridSpan w:val="3"/>
          </w:tcPr>
          <w:p>
            <w:pPr>
              <w:ind w:left="1060"/>
              <w:spacing w:after="0"/>
              <w:rPr>
                <w:sz w:val="20"/>
                <w:szCs w:val="20"/>
                <w:color w:val="auto"/>
              </w:rPr>
            </w:pPr>
            <w:r>
              <w:rPr>
                <w:rFonts w:ascii="Times New Roman" w:cs="Times New Roman" w:eastAsia="Times New Roman" w:hAnsi="Times New Roman"/>
                <w:sz w:val="20"/>
                <w:szCs w:val="20"/>
                <w:color w:val="auto"/>
              </w:rPr>
              <w:t>Very Truly Yours,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840" w:type="dxa"/>
            <w:vAlign w:val="bottom"/>
          </w:tcPr>
          <w:p>
            <w:pPr>
              <w:spacing w:after="0"/>
              <w:rPr>
                <w:sz w:val="24"/>
                <w:szCs w:val="24"/>
                <w:color w:val="auto"/>
              </w:rPr>
            </w:pPr>
          </w:p>
        </w:tc>
        <w:tc>
          <w:tcPr>
            <w:tcW w:w="5620" w:type="dxa"/>
            <w:vAlign w:val="bottom"/>
            <w:gridSpan w:val="3"/>
          </w:tcPr>
          <w:p>
            <w:pPr>
              <w:ind w:left="1060"/>
              <w:spacing w:after="0"/>
              <w:rPr>
                <w:sz w:val="20"/>
                <w:szCs w:val="20"/>
                <w:color w:val="auto"/>
              </w:rPr>
            </w:pPr>
            <w:r>
              <w:rPr>
                <w:rFonts w:ascii="Times New Roman" w:cs="Times New Roman" w:eastAsia="Times New Roman" w:hAnsi="Times New Roman"/>
                <w:sz w:val="20"/>
                <w:szCs w:val="20"/>
                <w:color w:val="auto"/>
              </w:rPr>
              <w:t>OUSTER, INC.</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2840" w:type="dxa"/>
            <w:vAlign w:val="bottom"/>
          </w:tcPr>
          <w:p>
            <w:pPr>
              <w:spacing w:after="0"/>
              <w:rPr>
                <w:sz w:val="24"/>
                <w:szCs w:val="2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By:</w:t>
            </w:r>
          </w:p>
        </w:tc>
        <w:tc>
          <w:tcPr>
            <w:tcW w:w="4180" w:type="dxa"/>
            <w:vAlign w:val="bottom"/>
            <w:gridSpan w:val="2"/>
          </w:tcPr>
          <w:p>
            <w:pPr>
              <w:jc w:val="right"/>
              <w:ind w:right="1221"/>
              <w:spacing w:after="0"/>
              <w:rPr>
                <w:sz w:val="20"/>
                <w:szCs w:val="20"/>
                <w:color w:val="auto"/>
              </w:rPr>
            </w:pPr>
            <w:r>
              <w:rPr>
                <w:rFonts w:ascii="Times New Roman" w:cs="Times New Roman" w:eastAsia="Times New Roman" w:hAnsi="Times New Roman"/>
                <w:sz w:val="20"/>
                <w:szCs w:val="20"/>
                <w:color w:val="auto"/>
              </w:rPr>
              <w:t>____________________________</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40" w:type="dxa"/>
            <w:vAlign w:val="bottom"/>
          </w:tcPr>
          <w:p>
            <w:pPr>
              <w:spacing w:after="0"/>
              <w:rPr>
                <w:sz w:val="16"/>
                <w:szCs w:val="16"/>
                <w:color w:val="auto"/>
              </w:rPr>
            </w:pPr>
          </w:p>
        </w:tc>
        <w:tc>
          <w:tcPr>
            <w:tcW w:w="5620" w:type="dxa"/>
            <w:vAlign w:val="bottom"/>
            <w:gridSpan w:val="3"/>
          </w:tcPr>
          <w:p>
            <w:pPr>
              <w:ind w:left="1060"/>
              <w:spacing w:after="0" w:line="193" w:lineRule="exact"/>
              <w:rPr>
                <w:sz w:val="20"/>
                <w:szCs w:val="20"/>
                <w:color w:val="auto"/>
              </w:rPr>
            </w:pPr>
            <w:r>
              <w:rPr>
                <w:rFonts w:ascii="Times New Roman" w:cs="Times New Roman" w:eastAsia="Times New Roman" w:hAnsi="Times New Roman"/>
                <w:sz w:val="20"/>
                <w:szCs w:val="20"/>
                <w:color w:val="auto"/>
              </w:rPr>
              <w:t>Name: ____________________________</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40" w:type="dxa"/>
            <w:vAlign w:val="bottom"/>
          </w:tcPr>
          <w:p>
            <w:pPr>
              <w:spacing w:after="0"/>
              <w:rPr>
                <w:sz w:val="22"/>
                <w:szCs w:val="22"/>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Its:</w:t>
            </w:r>
          </w:p>
        </w:tc>
        <w:tc>
          <w:tcPr>
            <w:tcW w:w="4180" w:type="dxa"/>
            <w:vAlign w:val="bottom"/>
            <w:gridSpan w:val="2"/>
          </w:tcPr>
          <w:p>
            <w:pPr>
              <w:jc w:val="right"/>
              <w:ind w:right="1241"/>
              <w:spacing w:after="0"/>
              <w:rPr>
                <w:sz w:val="20"/>
                <w:szCs w:val="20"/>
                <w:color w:val="auto"/>
              </w:rPr>
            </w:pPr>
            <w:r>
              <w:rPr>
                <w:rFonts w:ascii="Times New Roman" w:cs="Times New Roman" w:eastAsia="Times New Roman" w:hAnsi="Times New Roman"/>
                <w:sz w:val="20"/>
                <w:szCs w:val="20"/>
                <w:color w:val="auto"/>
              </w:rPr>
              <w:t>____________________________</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1153795</wp:posOffset>
            </wp:positionV>
            <wp:extent cx="1714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hanging="112"/>
        <w:spacing w:after="0"/>
        <w:tabs>
          <w:tab w:leader="none" w:pos="120" w:val="left"/>
        </w:tabs>
        <w:numPr>
          <w:ilvl w:val="0"/>
          <w:numId w:val="9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 Covenant only tested quarterly beginning on June 30, 2023 and until the Merger Effective Date.</w:t>
      </w:r>
    </w:p>
    <w:p>
      <w:pPr>
        <w:spacing w:after="0" w:line="154" w:lineRule="exact"/>
        <w:rPr>
          <w:sz w:val="20"/>
          <w:szCs w:val="20"/>
          <w:color w:val="auto"/>
        </w:rPr>
      </w:pPr>
    </w:p>
    <w:p>
      <w:pPr>
        <w:ind w:left="120" w:hanging="112"/>
        <w:spacing w:after="0"/>
        <w:tabs>
          <w:tab w:leader="none" w:pos="120" w:val="left"/>
        </w:tabs>
        <w:numPr>
          <w:ilvl w:val="0"/>
          <w:numId w:val="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Liquidity Covenant only tested on and after the Merger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200" w:lineRule="exact"/>
        <w:rPr>
          <w:sz w:val="20"/>
          <w:szCs w:val="20"/>
          <w:color w:val="auto"/>
        </w:rPr>
      </w:pPr>
    </w:p>
    <w:p>
      <w:pPr>
        <w:spacing w:after="0" w:line="25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EXHIBIT F</w:t>
      </w:r>
    </w:p>
    <w:p>
      <w:pPr>
        <w:spacing w:after="0" w:line="17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Joinder  Agreement  (the  “Joinder  Agreement”)  is  made  and  dated  as  of  [  ],  20[  ],  and  is  entered  into  by  and</w:t>
      </w:r>
    </w:p>
    <w:p>
      <w:pPr>
        <w:spacing w:after="0" w:line="197" w:lineRule="auto"/>
        <w:rPr>
          <w:sz w:val="20"/>
          <w:szCs w:val="20"/>
          <w:color w:val="auto"/>
        </w:rPr>
      </w:pPr>
      <w:r>
        <w:rPr>
          <w:rFonts w:ascii="Times New Roman" w:cs="Times New Roman" w:eastAsia="Times New Roman" w:hAnsi="Times New Roman"/>
          <w:sz w:val="20"/>
          <w:szCs w:val="20"/>
          <w:color w:val="auto"/>
        </w:rPr>
        <w:t>between__________________., a ___________ corporation (“Subsidiary”), and HERCULES CAPITAL, INC., a Maryland corporation (as</w:t>
      </w: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 Subsidiary’s Affiliate, OUSTER, INC. (“Company”) has entered into that certain Loan and Security Agreement dated as of April 29, 2022, with Company, Guarantors (as defined in the Loan Agreement), the several banks and other financial institutions or entities from</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time to time party thereto as lender (each a “Lender”, and collectively, the “Lenders”) and the Agent, as such agreement may be amended (the “Loan Agreement”), together with the other agreements executed and delivered in connection therewith; and</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 Subsidiary acknowledges and agrees that it will benefit both directly and indirectly from Company’s execution of the Loan Agreement and the other agreements executed and delivered in connection therewith.</w:t>
      </w:r>
    </w:p>
    <w:p>
      <w:pPr>
        <w:spacing w:after="0" w:line="1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Subsidiary and Agent agree as follows:</w:t>
      </w:r>
    </w:p>
    <w:p>
      <w:pPr>
        <w:spacing w:after="0" w:line="189" w:lineRule="exact"/>
        <w:rPr>
          <w:sz w:val="20"/>
          <w:szCs w:val="20"/>
          <w:color w:val="auto"/>
        </w:rPr>
      </w:pPr>
    </w:p>
    <w:p>
      <w:pPr>
        <w:ind w:left="340" w:right="20" w:hanging="332"/>
        <w:spacing w:after="0" w:line="233" w:lineRule="auto"/>
        <w:tabs>
          <w:tab w:leader="none" w:pos="3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recitals set forth above are incorporated into and made part of this Joinder Agreement. Capitalized terms not defined herein shall have the meaning provided in the Loan Agreement.</w:t>
      </w:r>
    </w:p>
    <w:p>
      <w:pPr>
        <w:spacing w:after="0" w:line="160" w:lineRule="exact"/>
        <w:rPr>
          <w:rFonts w:ascii="Times New Roman" w:cs="Times New Roman" w:eastAsia="Times New Roman" w:hAnsi="Times New Roman"/>
          <w:sz w:val="20"/>
          <w:szCs w:val="20"/>
          <w:color w:val="auto"/>
        </w:rPr>
      </w:pPr>
    </w:p>
    <w:p>
      <w:pPr>
        <w:jc w:val="both"/>
        <w:ind w:left="340" w:hanging="332"/>
        <w:spacing w:after="0" w:line="211" w:lineRule="auto"/>
        <w:tabs>
          <w:tab w:leader="none" w:pos="39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Joinder Agreement, Subsidiary shall be bound by the terms and conditions of the Loan Agreement the same as if it were the Guarantor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112" w:lineRule="exact"/>
        <w:rPr>
          <w:rFonts w:ascii="Times New Roman" w:cs="Times New Roman" w:eastAsia="Times New Roman" w:hAnsi="Times New Roman"/>
          <w:sz w:val="20"/>
          <w:szCs w:val="20"/>
          <w:color w:val="auto"/>
        </w:rPr>
      </w:pPr>
    </w:p>
    <w:p>
      <w:pPr>
        <w:ind w:left="340" w:hanging="332"/>
        <w:spacing w:after="0" w:line="233" w:lineRule="auto"/>
        <w:tabs>
          <w:tab w:leader="none" w:pos="3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106" w:lineRule="exact"/>
        <w:rPr>
          <w:rFonts w:ascii="Times New Roman" w:cs="Times New Roman" w:eastAsia="Times New Roman" w:hAnsi="Times New Roman"/>
          <w:sz w:val="20"/>
          <w:szCs w:val="20"/>
          <w:color w:val="auto"/>
        </w:rPr>
      </w:pPr>
    </w:p>
    <w:p>
      <w:pPr>
        <w:jc w:val="both"/>
        <w:ind w:left="340" w:hanging="332"/>
        <w:spacing w:after="0" w:line="231" w:lineRule="auto"/>
        <w:tabs>
          <w:tab w:leader="none" w:pos="34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209" w:name="page210"/>
    <w:bookmarkEnd w:id="209"/>
    <w:p>
      <w:pPr>
        <w:ind w:left="340" w:hanging="332"/>
        <w:spacing w:after="0" w:line="233" w:lineRule="auto"/>
        <w:tabs>
          <w:tab w:leader="none" w:pos="3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210" w:name="page211"/>
    <w:bookmarkEnd w:id="210"/>
    <w:p>
      <w:pPr>
        <w:jc w:val="right"/>
        <w:ind w:right="2399"/>
        <w:spacing w:after="0"/>
        <w:rPr>
          <w:sz w:val="20"/>
          <w:szCs w:val="20"/>
          <w:color w:val="auto"/>
        </w:rPr>
      </w:pPr>
      <w:r>
        <w:rPr>
          <w:rFonts w:ascii="Times New Roman" w:cs="Times New Roman" w:eastAsia="Times New Roman" w:hAnsi="Times New Roman"/>
          <w:sz w:val="20"/>
          <w:szCs w:val="20"/>
          <w:color w:val="auto"/>
        </w:rPr>
        <w:t>[SIGNATURE PAGE TO JOINDER AGREEMENT]</w:t>
      </w:r>
    </w:p>
    <w:p>
      <w:pPr>
        <w:spacing w:after="0" w:line="1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SUBSIDIARY:</w:t>
      </w:r>
    </w:p>
    <w:p>
      <w:pPr>
        <w:spacing w:after="0" w:line="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By:</w:t>
      </w:r>
    </w:p>
    <w:p>
      <w:pPr>
        <w:ind w:left="300"/>
        <w:spacing w:after="0" w:line="197" w:lineRule="auto"/>
        <w:rPr>
          <w:sz w:val="20"/>
          <w:szCs w:val="20"/>
          <w:color w:val="auto"/>
        </w:rPr>
      </w:pPr>
      <w:r>
        <w:rPr>
          <w:rFonts w:ascii="Times New Roman" w:cs="Times New Roman" w:eastAsia="Times New Roman" w:hAnsi="Times New Roman"/>
          <w:sz w:val="20"/>
          <w:szCs w:val="20"/>
          <w:color w:val="auto"/>
        </w:rPr>
        <w:t>Name:</w:t>
      </w:r>
    </w:p>
    <w:p>
      <w:pPr>
        <w:ind w:left="280"/>
        <w:spacing w:after="0"/>
        <w:rPr>
          <w:sz w:val="20"/>
          <w:szCs w:val="20"/>
          <w:color w:val="auto"/>
        </w:rPr>
      </w:pPr>
      <w:r>
        <w:rPr>
          <w:rFonts w:ascii="Times New Roman" w:cs="Times New Roman" w:eastAsia="Times New Roman" w:hAnsi="Times New Roman"/>
          <w:sz w:val="20"/>
          <w:szCs w:val="20"/>
          <w:color w:val="auto"/>
        </w:rPr>
        <w:t>Title:</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Address:</w:t>
      </w:r>
    </w:p>
    <w:p>
      <w:pPr>
        <w:spacing w:after="0" w:line="3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Telephone: ___________</w:t>
      </w:r>
    </w:p>
    <w:p>
      <w:pPr>
        <w:ind w:left="300"/>
        <w:spacing w:after="0"/>
        <w:rPr>
          <w:sz w:val="20"/>
          <w:szCs w:val="20"/>
          <w:color w:val="auto"/>
        </w:rPr>
      </w:pPr>
      <w:r>
        <w:rPr>
          <w:rFonts w:ascii="Times New Roman" w:cs="Times New Roman" w:eastAsia="Times New Roman" w:hAnsi="Times New Roman"/>
          <w:sz w:val="20"/>
          <w:szCs w:val="20"/>
          <w:color w:val="auto"/>
        </w:rPr>
        <w:t>email: ____________</w:t>
      </w:r>
    </w:p>
    <w:p>
      <w:pPr>
        <w:spacing w:after="0" w:line="15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1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By:____________________________________</w:t>
      </w:r>
    </w:p>
    <w:p>
      <w:pPr>
        <w:ind w:left="1800"/>
        <w:spacing w:after="0" w:line="211" w:lineRule="auto"/>
        <w:rPr>
          <w:sz w:val="20"/>
          <w:szCs w:val="20"/>
          <w:color w:val="auto"/>
        </w:rPr>
      </w:pPr>
      <w:r>
        <w:rPr>
          <w:rFonts w:ascii="Times New Roman" w:cs="Times New Roman" w:eastAsia="Times New Roman" w:hAnsi="Times New Roman"/>
          <w:sz w:val="20"/>
          <w:szCs w:val="20"/>
          <w:color w:val="auto"/>
        </w:rPr>
        <w:t>Name:__________________________________</w:t>
      </w:r>
    </w:p>
    <w:p>
      <w:pPr>
        <w:ind w:left="1800"/>
        <w:spacing w:after="0"/>
        <w:rPr>
          <w:sz w:val="20"/>
          <w:szCs w:val="20"/>
          <w:color w:val="auto"/>
        </w:rPr>
      </w:pPr>
      <w:r>
        <w:rPr>
          <w:rFonts w:ascii="Times New Roman" w:cs="Times New Roman" w:eastAsia="Times New Roman" w:hAnsi="Times New Roman"/>
          <w:sz w:val="20"/>
          <w:szCs w:val="20"/>
          <w:color w:val="auto"/>
        </w:rPr>
        <w:t>Title: ___________________________________</w:t>
      </w:r>
    </w:p>
    <w:p>
      <w:pPr>
        <w:spacing w:after="0" w:line="1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Address:</w:t>
      </w:r>
    </w:p>
    <w:p>
      <w:pPr>
        <w:ind w:left="1800"/>
        <w:spacing w:after="0" w:line="211" w:lineRule="auto"/>
        <w:rPr>
          <w:sz w:val="20"/>
          <w:szCs w:val="20"/>
          <w:color w:val="auto"/>
        </w:rPr>
      </w:pPr>
      <w:r>
        <w:rPr>
          <w:rFonts w:ascii="Times New Roman" w:cs="Times New Roman" w:eastAsia="Times New Roman" w:hAnsi="Times New Roman"/>
          <w:sz w:val="20"/>
          <w:szCs w:val="20"/>
          <w:color w:val="auto"/>
        </w:rPr>
        <w:t>400 Hamilton Ave., Suite 310</w:t>
      </w:r>
    </w:p>
    <w:p>
      <w:pPr>
        <w:ind w:left="1800"/>
        <w:spacing w:after="0" w:line="211" w:lineRule="auto"/>
        <w:rPr>
          <w:sz w:val="20"/>
          <w:szCs w:val="20"/>
          <w:color w:val="auto"/>
        </w:rPr>
      </w:pPr>
      <w:r>
        <w:rPr>
          <w:rFonts w:ascii="Times New Roman" w:cs="Times New Roman" w:eastAsia="Times New Roman" w:hAnsi="Times New Roman"/>
          <w:sz w:val="20"/>
          <w:szCs w:val="20"/>
          <w:color w:val="auto"/>
        </w:rPr>
        <w:t>Palo Alto, CA 94301</w:t>
      </w:r>
    </w:p>
    <w:p>
      <w:pPr>
        <w:ind w:left="1800"/>
        <w:spacing w:after="0" w:line="197" w:lineRule="auto"/>
        <w:rPr>
          <w:sz w:val="20"/>
          <w:szCs w:val="20"/>
          <w:color w:val="auto"/>
        </w:rPr>
      </w:pPr>
      <w:r>
        <w:rPr>
          <w:rFonts w:ascii="Times New Roman" w:cs="Times New Roman" w:eastAsia="Times New Roman" w:hAnsi="Times New Roman"/>
          <w:sz w:val="20"/>
          <w:szCs w:val="20"/>
          <w:color w:val="auto"/>
        </w:rPr>
        <w:t>email: legal@htgc.com</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Telephone: 650-289-3060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40" w:right="1440" w:bottom="1440" w:gutter="0" w:footer="0" w:header="0"/>
        </w:sectPr>
      </w:pPr>
    </w:p>
    <w:bookmarkStart w:id="211" w:name="page212"/>
    <w:bookmarkEnd w:id="211"/>
    <w:p>
      <w:pPr>
        <w:ind w:left="5100"/>
        <w:spacing w:after="0"/>
        <w:rPr>
          <w:sz w:val="20"/>
          <w:szCs w:val="20"/>
          <w:color w:val="auto"/>
        </w:rPr>
      </w:pPr>
      <w:r>
        <w:rPr>
          <w:rFonts w:ascii="Times New Roman" w:cs="Times New Roman" w:eastAsia="Times New Roman" w:hAnsi="Times New Roman"/>
          <w:sz w:val="20"/>
          <w:szCs w:val="20"/>
          <w:b w:val="1"/>
          <w:bCs w:val="1"/>
          <w:color w:val="auto"/>
        </w:rPr>
        <w:t>EXHIBIT G</w:t>
      </w:r>
    </w:p>
    <w:p>
      <w:pPr>
        <w:spacing w:after="0" w:line="175"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20"/>
          <w:szCs w:val="20"/>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36" w:right="1440"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H</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ACH DEBIT AUTHORIZATION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HERCULES CAPITAL,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 Hamilton Avenue, Suite 310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Palo Alto, CA 94301</w:t>
      </w:r>
    </w:p>
    <w:p>
      <w:pPr>
        <w:spacing w:after="0" w:line="241" w:lineRule="exact"/>
        <w:rPr>
          <w:sz w:val="20"/>
          <w:szCs w:val="20"/>
          <w:color w:val="auto"/>
        </w:rPr>
      </w:pPr>
    </w:p>
    <w:p>
      <w:pPr>
        <w:ind w:left="660" w:right="740"/>
        <w:spacing w:after="0" w:line="283" w:lineRule="auto"/>
        <w:rPr>
          <w:sz w:val="20"/>
          <w:szCs w:val="20"/>
          <w:color w:val="auto"/>
        </w:rPr>
      </w:pPr>
      <w:r>
        <w:rPr>
          <w:rFonts w:ascii="Times New Roman" w:cs="Times New Roman" w:eastAsia="Times New Roman" w:hAnsi="Times New Roman"/>
          <w:sz w:val="20"/>
          <w:szCs w:val="20"/>
          <w:color w:val="auto"/>
        </w:rPr>
        <w:t>Re: Loan and Security Agreement dated April 29, 2022 (the “Agreement”) by and among OUSTER, INC. (“Borrower”) and Hercules Capital, Inc., as agent (“Agent ”) and the lenders party thereto (collectively, the “Lenders”)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color w:val="auto"/>
        </w:rPr>
        <w:t>In connection with the above referenced Agreement, the Borrower hereby authorizes the Company to initiate debit entries for (i) the periodic payments due under the Agreement and (ii) out-of-pocket legal fees and costs incurred by Agent or the Lenders pursuant to Section 11.12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DEPOSITORY NAME</w:t>
            </w:r>
          </w:p>
        </w:tc>
        <w:tc>
          <w:tcPr>
            <w:tcW w:w="3380" w:type="dxa"/>
            <w:vAlign w:val="bottom"/>
          </w:tcPr>
          <w:p>
            <w:pPr>
              <w:ind w:left="2080"/>
              <w:spacing w:after="0"/>
              <w:rPr>
                <w:sz w:val="20"/>
                <w:szCs w:val="20"/>
                <w:color w:val="auto"/>
              </w:rPr>
            </w:pPr>
            <w:r>
              <w:rPr>
                <w:rFonts w:ascii="Times New Roman" w:cs="Times New Roman" w:eastAsia="Times New Roman" w:hAnsi="Times New Roman"/>
                <w:sz w:val="13"/>
                <w:szCs w:val="13"/>
                <w:color w:val="auto"/>
              </w:rPr>
              <w:t>BRANCH</w:t>
            </w:r>
          </w:p>
        </w:tc>
      </w:tr>
      <w:tr>
        <w:trPr>
          <w:trHeight w:val="446"/>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CITY</w:t>
            </w:r>
          </w:p>
        </w:tc>
        <w:tc>
          <w:tcPr>
            <w:tcW w:w="3380" w:type="dxa"/>
            <w:vAlign w:val="bottom"/>
          </w:tcPr>
          <w:p>
            <w:pPr>
              <w:ind w:left="2080"/>
              <w:spacing w:after="0"/>
              <w:rPr>
                <w:sz w:val="20"/>
                <w:szCs w:val="20"/>
                <w:color w:val="auto"/>
              </w:rPr>
            </w:pPr>
            <w:r>
              <w:rPr>
                <w:rFonts w:ascii="Times New Roman" w:cs="Times New Roman" w:eastAsia="Times New Roman" w:hAnsi="Times New Roman"/>
                <w:sz w:val="13"/>
                <w:szCs w:val="13"/>
                <w:color w:val="auto"/>
                <w:w w:val="96"/>
              </w:rPr>
              <w:t>STATE AND ZIP CODE</w:t>
            </w:r>
          </w:p>
        </w:tc>
      </w:tr>
      <w:tr>
        <w:trPr>
          <w:trHeight w:val="445"/>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auto"/>
              </w:rPr>
              <w:t>TRANSIT/ABA NUMBER</w:t>
            </w:r>
          </w:p>
        </w:tc>
        <w:tc>
          <w:tcPr>
            <w:tcW w:w="3380" w:type="dxa"/>
            <w:vAlign w:val="bottom"/>
          </w:tcPr>
          <w:p>
            <w:pPr>
              <w:ind w:left="2080"/>
              <w:spacing w:after="0"/>
              <w:rPr>
                <w:sz w:val="20"/>
                <w:szCs w:val="20"/>
                <w:color w:val="auto"/>
              </w:rPr>
            </w:pPr>
            <w:r>
              <w:rPr>
                <w:rFonts w:ascii="Times New Roman" w:cs="Times New Roman" w:eastAsia="Times New Roman" w:hAnsi="Times New Roman"/>
                <w:sz w:val="13"/>
                <w:szCs w:val="13"/>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40575" cy="8572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40575" cy="85725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authority will remain in full force and effect so long as any amounts are due under the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_OUSTER, INC.__________________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_________________________________________</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13" w:name="page214"/>
    <w:bookmarkEnd w:id="213"/>
    <w:p>
      <w:pPr>
        <w:ind w:left="5140"/>
        <w:spacing w:after="0"/>
        <w:rPr>
          <w:sz w:val="20"/>
          <w:szCs w:val="20"/>
          <w:color w:val="auto"/>
        </w:rPr>
      </w:pPr>
      <w:r>
        <w:rPr>
          <w:rFonts w:ascii="Times New Roman" w:cs="Times New Roman" w:eastAsia="Times New Roman" w:hAnsi="Times New Roman"/>
          <w:sz w:val="20"/>
          <w:szCs w:val="20"/>
          <w:b w:val="1"/>
          <w:bCs w:val="1"/>
          <w:color w:val="auto"/>
        </w:rPr>
        <w:t>EXHIBIT I</w:t>
      </w:r>
    </w:p>
    <w:p>
      <w:pPr>
        <w:spacing w:after="0" w:line="175"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20"/>
          <w:szCs w:val="20"/>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0139"/>
          </w:cols>
          <w:pgMar w:left="320" w:top="1436" w:right="1440" w:bottom="1440" w:gutter="0" w:footer="0" w:header="0"/>
        </w:sectPr>
      </w:pPr>
    </w:p>
    <w:bookmarkStart w:id="214" w:name="page215"/>
    <w:bookmarkEnd w:id="214"/>
    <w:p>
      <w:pPr>
        <w:jc w:val="center"/>
        <w:ind w:right="1700"/>
        <w:spacing w:after="0"/>
        <w:rPr>
          <w:sz w:val="20"/>
          <w:szCs w:val="20"/>
          <w:color w:val="auto"/>
        </w:rPr>
      </w:pPr>
      <w:r>
        <w:rPr>
          <w:rFonts w:ascii="Times New Roman" w:cs="Times New Roman" w:eastAsia="Times New Roman" w:hAnsi="Times New Roman"/>
          <w:sz w:val="20"/>
          <w:szCs w:val="20"/>
          <w:b w:val="1"/>
          <w:bCs w:val="1"/>
          <w:color w:val="auto"/>
        </w:rPr>
        <w:t>EXHIBIT J-1</w:t>
      </w:r>
    </w:p>
    <w:p>
      <w:pPr>
        <w:spacing w:after="0" w:line="175"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189"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20"/>
          <w:szCs w:val="20"/>
          <w:b w:val="1"/>
          <w:bCs w:val="1"/>
          <w:color w:val="auto"/>
        </w:rPr>
        <w:t>(For Foreign Lenders That Are Not Partnerships For U.S. Federal Income Tax Purposes)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April 29, 2022 (as amended, supplemented or otherwise modified from time to time, the “Loan Agreement”) by and among OUSTER, INC., a Delaware corporation (the “Borrower”), SENSE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PHOTONICS, INC., a Delaware corporation (together with each of Borrower’s Subsidiaries that delivers a Joinder Agreement pursuant to Section 7.13 of the Agreement, each a “Guarantor” and, collectively, “Guarantors”), the several banks and other financial institutions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entities from time to time parties to this Agreement (each a “Lender” and, collectively, “Lenders”) and HERCULES CAPITAL, INC., a Maryland corporation, in its capacity as administrative agent and collateral agent for itself and the Lenders (in such capacity, the “Agent”).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and beneficial owner of the Loan(s) (as well as any promissory note(s) evidencing such Loan(s)) in respect of which it is providing this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certificate, (ii) it is not a “bank” within the meaning of Section 881(c)(3)(A) of the Code, (iii) it is not a “ten percent shareholder” of the Borrower within the meaning of Section 871(h)(3)(B) of the Code and (iv) it is not a “controlled foreign corporation” related to the Borrower</w:t>
      </w:r>
    </w:p>
    <w:p>
      <w:pPr>
        <w:spacing w:after="0"/>
        <w:rPr>
          <w:sz w:val="20"/>
          <w:szCs w:val="20"/>
          <w:color w:val="auto"/>
        </w:rPr>
      </w:pPr>
      <w:r>
        <w:rPr>
          <w:rFonts w:ascii="Times New Roman" w:cs="Times New Roman" w:eastAsia="Times New Roman" w:hAnsi="Times New Roman"/>
          <w:sz w:val="20"/>
          <w:szCs w:val="20"/>
          <w:color w:val="auto"/>
        </w:rPr>
        <w:t>as described in Section 881(c)(3)(C) of the Code.</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w:t>
      </w:r>
    </w:p>
    <w:p>
      <w:pPr>
        <w:spacing w:after="0" w:line="222" w:lineRule="auto"/>
        <w:rPr>
          <w:sz w:val="20"/>
          <w:szCs w:val="20"/>
          <w:color w:val="auto"/>
        </w:rPr>
      </w:pPr>
      <w:r>
        <w:rPr>
          <w:rFonts w:ascii="Times New Roman" w:cs="Times New Roman" w:eastAsia="Times New Roman" w:hAnsi="Times New Roman"/>
          <w:sz w:val="19"/>
          <w:szCs w:val="19"/>
          <w:color w:val="auto"/>
        </w:rPr>
        <w:t>undersigned shall promptly so inform the Borrower and the Agent, and (2) the undersigned shall have at all times furnished the Borrower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Agent with a properly completed and currently effective certificate in either the calendar year in which each payment is to be made to the undersigned, or in either of the two calendar years preceding such payments.</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20"/>
          <w:szCs w:val="20"/>
          <w:color w:val="auto"/>
        </w:rPr>
        <w:t>Date: _____________ ___, 20___</w:t>
      </w:r>
      <w:r>
        <w:rPr>
          <w:sz w:val="20"/>
          <w:szCs w:val="20"/>
          <w:color w:val="auto"/>
        </w:rPr>
        <w:tab/>
      </w:r>
      <w:r>
        <w:rPr>
          <w:rFonts w:ascii="Times New Roman" w:cs="Times New Roman" w:eastAsia="Times New Roman" w:hAnsi="Times New Roman"/>
          <w:sz w:val="19"/>
          <w:szCs w:val="19"/>
          <w:color w:val="auto"/>
        </w:rPr>
        <w:t>[NAME OF LENDER]</w:t>
      </w:r>
    </w:p>
    <w:p>
      <w:pPr>
        <w:spacing w:after="0" w:line="210"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line="207"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15" w:name="page216"/>
    <w:bookmarkEnd w:id="215"/>
    <w:p>
      <w:pPr>
        <w:ind w:left="5040"/>
        <w:spacing w:after="0"/>
        <w:rPr>
          <w:sz w:val="20"/>
          <w:szCs w:val="20"/>
          <w:color w:val="auto"/>
        </w:rPr>
      </w:pPr>
      <w:r>
        <w:rPr>
          <w:rFonts w:ascii="Times New Roman" w:cs="Times New Roman" w:eastAsia="Times New Roman" w:hAnsi="Times New Roman"/>
          <w:sz w:val="20"/>
          <w:szCs w:val="20"/>
          <w:b w:val="1"/>
          <w:bCs w:val="1"/>
          <w:color w:val="auto"/>
        </w:rPr>
        <w:t>EXHIBIT J-2</w:t>
      </w:r>
    </w:p>
    <w:p>
      <w:pPr>
        <w:spacing w:after="0" w:line="17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18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(For Foreign Participants That Are Not Partnerships For U.S. Federal Income Tax Purposes)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April 29, 2022 (as amended, supplemented or otherwise modified from time to time, the “Loan Agreement”) by and among OUSTER, INC., a Delaware corporation (the “Borrower”), SENSE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PHOTONICS, INC., a Delaware corporation (together with each of Borrower’s Subsidiaries that delivers a Joinder Agreement pursuant to Section 7.13 of the Agreement, each a “Guarantor” and, collectively, “Guarantors”), the several banks and other financial institutions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entities from time to time parties to this Agreement (each a “Lender” and, collectively, “Lenders”) and HERCULES CAPITAL, INC., a Maryland corporation, in its capacity as administrative agent and collateral agent for itself and the Lenders (in such capacity, the “Agent”).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has furnished its participating Lender with a certificate of its non-U.S. Person status on IRS Form W-8BEN or IRS</w:t>
      </w:r>
    </w:p>
    <w:p>
      <w:pPr>
        <w:spacing w:after="0" w:line="204" w:lineRule="auto"/>
        <w:rPr>
          <w:sz w:val="20"/>
          <w:szCs w:val="20"/>
          <w:color w:val="auto"/>
        </w:rPr>
      </w:pPr>
      <w:r>
        <w:rPr>
          <w:rFonts w:ascii="Times New Roman" w:cs="Times New Roman" w:eastAsia="Times New Roman" w:hAnsi="Times New Roman"/>
          <w:sz w:val="20"/>
          <w:szCs w:val="20"/>
          <w:color w:val="auto"/>
        </w:rPr>
        <w:t>Form W-8BEN-E. By executing this certificate, the undersigned agrees that (1) if the information provided in this certificate changes, the undersigned shall promptly so inform such Lender in writing, and (2) the undersigned shall have at all times furnished such Lender with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properly completed and currently effective certificate in either the calendar year in which each payment is to be made to the undersigned, or in either of the two calendar years preceding such payments.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20"/>
          <w:szCs w:val="20"/>
          <w:color w:val="auto"/>
        </w:rPr>
        <w:t>Date: _____________ ___, 20___</w:t>
      </w:r>
      <w:r>
        <w:rPr>
          <w:sz w:val="20"/>
          <w:szCs w:val="20"/>
          <w:color w:val="auto"/>
        </w:rPr>
        <w:tab/>
      </w:r>
      <w:r>
        <w:rPr>
          <w:rFonts w:ascii="Times New Roman" w:cs="Times New Roman" w:eastAsia="Times New Roman" w:hAnsi="Times New Roman"/>
          <w:sz w:val="19"/>
          <w:szCs w:val="19"/>
          <w:color w:val="auto"/>
        </w:rPr>
        <w:t>[NAME OF PARTICIPANT]</w:t>
      </w:r>
    </w:p>
    <w:p>
      <w:pPr>
        <w:spacing w:after="0" w:line="19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line="222"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16" w:name="page217"/>
    <w:bookmarkEnd w:id="216"/>
    <w:p>
      <w:pPr>
        <w:ind w:left="5040"/>
        <w:spacing w:after="0"/>
        <w:rPr>
          <w:sz w:val="20"/>
          <w:szCs w:val="20"/>
          <w:color w:val="auto"/>
        </w:rPr>
      </w:pPr>
      <w:r>
        <w:rPr>
          <w:rFonts w:ascii="Times New Roman" w:cs="Times New Roman" w:eastAsia="Times New Roman" w:hAnsi="Times New Roman"/>
          <w:sz w:val="20"/>
          <w:szCs w:val="20"/>
          <w:b w:val="1"/>
          <w:bCs w:val="1"/>
          <w:color w:val="auto"/>
        </w:rPr>
        <w:t>EXHIBIT J-3</w:t>
      </w:r>
    </w:p>
    <w:p>
      <w:pPr>
        <w:spacing w:after="0" w:line="17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1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auto"/>
        </w:rPr>
        <w:t>(For Foreign Participants That Are Partnerships For U.S. Federal Income Tax Purposes)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April 29, 2022 (as amended, supplemented or otherwise modified from time to time, the “Loan Agreement”) by and among OUSTER, INC., a Delaware corporation (the “Borrower”), SENSE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PHOTONICS, INC., a Delaware corporation (together with each of Borrower’s Subsidiaries that delivers a Joinder Agreement pursuant to Section 7.13 of the Agreement, each a “Guarantor” and, collectively, “Guarantors”), the several banks and other financial institutions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entities from time to time parties to this Agreement (each a “Lender” and, collectively, “Lenders”) and HERCULES CAPITAL, INC., a Maryland corporation, in its capacity as administrative agent and collateral agent for itself and the Lenders (in such capacity, the “Agent”).</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such participation, (iii) with respect to such participation, neither the undersigned nor any of its direct or indirect partners/members is a “bank” extending credit pursuant to a loan agreement entered into in the ordinary course of its trade or business within the meaning of</w:t>
      </w:r>
    </w:p>
    <w:p>
      <w:pPr>
        <w:spacing w:after="0" w:line="211" w:lineRule="auto"/>
        <w:rPr>
          <w:sz w:val="20"/>
          <w:szCs w:val="20"/>
          <w:color w:val="auto"/>
        </w:rPr>
      </w:pPr>
      <w:r>
        <w:rPr>
          <w:rFonts w:ascii="Times New Roman" w:cs="Times New Roman" w:eastAsia="Times New Roman" w:hAnsi="Times New Roman"/>
          <w:sz w:val="20"/>
          <w:szCs w:val="20"/>
          <w:color w:val="auto"/>
        </w:rPr>
        <w:t>Section 881(c)(3)(A) of the Code, (iv) none of its direct or indirect partners/members is a “ten percent shareholder” of the Borrower within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meaning of Section 871(h)(3)(B) of the Code and (v) none of its direct or indirect partners/members is a “controlled foreign corporation” related to the Borrower as described in Section 881(c)(3)(C) of the Code.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w:t>
      </w:r>
    </w:p>
    <w:p>
      <w:pPr>
        <w:spacing w:after="0" w:line="204" w:lineRule="auto"/>
        <w:rPr>
          <w:sz w:val="20"/>
          <w:szCs w:val="20"/>
          <w:color w:val="auto"/>
        </w:rPr>
      </w:pPr>
      <w:r>
        <w:rPr>
          <w:rFonts w:ascii="Times New Roman" w:cs="Times New Roman" w:eastAsia="Times New Roman" w:hAnsi="Times New Roman"/>
          <w:sz w:val="20"/>
          <w:szCs w:val="20"/>
          <w:color w:val="auto"/>
        </w:rPr>
        <w:t>each of its partners/members that is claiming the portfolio interest exemption: (i) an IRS Form W-8BEN or IRS Form W-8BEN-E or (ii) an IRS Form W-8IMY accompanied by an IRS Form W-8BEN or IRS Form W-8BEN-E from each of such partner’s/member’s beneficial</w:t>
      </w:r>
    </w:p>
    <w:p>
      <w:pPr>
        <w:spacing w:after="0" w:line="211" w:lineRule="auto"/>
        <w:rPr>
          <w:sz w:val="20"/>
          <w:szCs w:val="20"/>
          <w:color w:val="auto"/>
        </w:rPr>
      </w:pPr>
      <w:r>
        <w:rPr>
          <w:rFonts w:ascii="Times New Roman" w:cs="Times New Roman" w:eastAsia="Times New Roman" w:hAnsi="Times New Roman"/>
          <w:sz w:val="20"/>
          <w:szCs w:val="20"/>
          <w:color w:val="auto"/>
        </w:rPr>
        <w:t>owners that is claiming the portfolio interest exemption. By executing this certificate, the undersigned agrees that (1) if the information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provided in this certificate changes, the undersigned shall promptly so inform such Lender and (2) the undersigned shall have at all times furnished such Lender with a properly completed and currently effective certificate in either the calendar year in which each payment is to be</w:t>
      </w:r>
    </w:p>
    <w:p>
      <w:pPr>
        <w:spacing w:after="0"/>
        <w:rPr>
          <w:sz w:val="20"/>
          <w:szCs w:val="20"/>
          <w:color w:val="auto"/>
        </w:rPr>
      </w:pPr>
      <w:r>
        <w:rPr>
          <w:rFonts w:ascii="Times New Roman" w:cs="Times New Roman" w:eastAsia="Times New Roman" w:hAnsi="Times New Roman"/>
          <w:sz w:val="20"/>
          <w:szCs w:val="20"/>
          <w:color w:val="auto"/>
        </w:rPr>
        <w:t>made to the undersigned, or in either of the two calendar years preceding such payments.</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20"/>
          <w:szCs w:val="20"/>
          <w:color w:val="auto"/>
        </w:rPr>
        <w:t>Date: _____________ ___, 20___</w:t>
      </w:r>
      <w:r>
        <w:rPr>
          <w:sz w:val="20"/>
          <w:szCs w:val="20"/>
          <w:color w:val="auto"/>
        </w:rPr>
        <w:tab/>
      </w:r>
      <w:r>
        <w:rPr>
          <w:rFonts w:ascii="Times New Roman" w:cs="Times New Roman" w:eastAsia="Times New Roman" w:hAnsi="Times New Roman"/>
          <w:sz w:val="19"/>
          <w:szCs w:val="19"/>
          <w:color w:val="auto"/>
        </w:rPr>
        <w:t>[NAME OF PARTICIPANT]</w:t>
      </w:r>
    </w:p>
    <w:p>
      <w:pPr>
        <w:spacing w:after="0" w:line="19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line="222"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17" w:name="page218"/>
    <w:bookmarkEnd w:id="217"/>
    <w:p>
      <w:pPr>
        <w:ind w:left="5040"/>
        <w:spacing w:after="0"/>
        <w:rPr>
          <w:sz w:val="20"/>
          <w:szCs w:val="20"/>
          <w:color w:val="auto"/>
        </w:rPr>
      </w:pPr>
      <w:r>
        <w:rPr>
          <w:rFonts w:ascii="Times New Roman" w:cs="Times New Roman" w:eastAsia="Times New Roman" w:hAnsi="Times New Roman"/>
          <w:sz w:val="20"/>
          <w:szCs w:val="20"/>
          <w:b w:val="1"/>
          <w:bCs w:val="1"/>
          <w:color w:val="auto"/>
        </w:rPr>
        <w:t>EXHIBIT J-4</w:t>
      </w:r>
    </w:p>
    <w:p>
      <w:pPr>
        <w:spacing w:after="0" w:line="17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b w:val="1"/>
          <w:bCs w:val="1"/>
          <w:color w:val="auto"/>
        </w:rPr>
        <w:t>FORM OF U.S. TAX COMPLIANCE CERTIFICATE</w:t>
      </w:r>
    </w:p>
    <w:p>
      <w:pPr>
        <w:spacing w:after="0" w:line="18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(For Foreign Lenders That Are Partnerships For U.S. Federal Income Tax Purposes)</w:t>
      </w:r>
    </w:p>
    <w:p>
      <w:pPr>
        <w:spacing w:after="0" w:line="19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April 29, 2022 (as amended, supplemented or otherwise modified from time to time, the “Loan Agreement”) by and among OUSTER, INC., a Delaware corporation (the “Borrower”), SENSE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PHOTONICS, INC., a Delaware corporation (together with each of Borrower’s Subsidiaries that delivers a Joinder Agreement pursuant to Section 7.13 of the Agreement, each a “Guarantor” and, collectively, “Guarantors”), the several banks and other financial institutions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entities from time to time parties to this Agreement (each a “Lender” and, collectively, “Lenders”) and HERCULES CAPITAL, INC., a Maryland corporation, in its capacity as administrative agent and collateral agent for itself and the Lenders (in such capacity, the “Agent”).</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indirect partners/members are the sole beneficial owners of such Loan(s) (as well as any promissory note(s) evidencing such Loan(s)), (iii) with respect to the extension of credit pursuant to this Loan Agreement or any other Loan Document, neither the undersigned nor any of its</w:t>
      </w:r>
    </w:p>
    <w:p>
      <w:pPr>
        <w:spacing w:after="0" w:line="211" w:lineRule="auto"/>
        <w:rPr>
          <w:sz w:val="20"/>
          <w:szCs w:val="20"/>
          <w:color w:val="auto"/>
        </w:rPr>
      </w:pPr>
      <w:r>
        <w:rPr>
          <w:rFonts w:ascii="Times New Roman" w:cs="Times New Roman" w:eastAsia="Times New Roman" w:hAnsi="Times New Roman"/>
          <w:sz w:val="20"/>
          <w:szCs w:val="20"/>
          <w:color w:val="auto"/>
        </w:rPr>
        <w:t>direct or indirect partners/members is a “bank” extending credit pursuant to a loan agreement entered into in the ordinary course of its trade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business within the meaning of Section 881(c)(3)(A) of the Code, (iv) none of its direct or indirect partners/members is a “ten percent shareholder” of the Borrower within the meaning of Section 871(h)(3)(B) of the Code and (v) none of its direct or indirect partners/members</w:t>
      </w:r>
    </w:p>
    <w:p>
      <w:pPr>
        <w:spacing w:after="0"/>
        <w:rPr>
          <w:sz w:val="20"/>
          <w:szCs w:val="20"/>
          <w:color w:val="auto"/>
        </w:rPr>
      </w:pPr>
      <w:r>
        <w:rPr>
          <w:rFonts w:ascii="Times New Roman" w:cs="Times New Roman" w:eastAsia="Times New Roman" w:hAnsi="Times New Roman"/>
          <w:sz w:val="20"/>
          <w:szCs w:val="20"/>
          <w:color w:val="auto"/>
        </w:rPr>
        <w:t>is a “controlled foreign corporation” related to the Borrower as described in Section 881(c)(3)(C) of the Code.</w:t>
      </w:r>
    </w:p>
    <w:p>
      <w:pPr>
        <w:spacing w:after="0" w:line="16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9"/>
          <w:szCs w:val="19"/>
          <w:color w:val="auto"/>
        </w:rPr>
        <w:t>The undersigned has furnished the Agent and the Borrower with IRS Form W-8IMY accompanied by one of the following forms from each of its partners/members that is claiming the portfolio interest exemption: (i) an IRS Form W-8BEN or IRS Form W-8BEN-E or (ii)</w:t>
      </w:r>
    </w:p>
    <w:p>
      <w:pPr>
        <w:spacing w:after="0" w:line="211" w:lineRule="auto"/>
        <w:rPr>
          <w:sz w:val="20"/>
          <w:szCs w:val="20"/>
          <w:color w:val="auto"/>
        </w:rPr>
      </w:pPr>
      <w:r>
        <w:rPr>
          <w:rFonts w:ascii="Times New Roman" w:cs="Times New Roman" w:eastAsia="Times New Roman" w:hAnsi="Times New Roman"/>
          <w:sz w:val="20"/>
          <w:szCs w:val="20"/>
          <w:color w:val="auto"/>
        </w:rPr>
        <w:t>an IRS Form W-8IMY accompanied by an IRS Form W-8BEN or IRS Form W-8BEN-E from each of such partner’s/member’s beneficial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owners that is claiming the portfolio interest exemption. By executing this certificate, the undersigned agrees that (1) if the information provided in this certificate changes, the undersigned shall promptly so inform the Borrower and the Agent, and (2) the undersigned shall have</w:t>
      </w:r>
    </w:p>
    <w:p>
      <w:pPr>
        <w:spacing w:after="0" w:line="228" w:lineRule="auto"/>
        <w:rPr>
          <w:sz w:val="20"/>
          <w:szCs w:val="20"/>
          <w:color w:val="auto"/>
        </w:rPr>
      </w:pPr>
      <w:r>
        <w:rPr>
          <w:rFonts w:ascii="Times New Roman" w:cs="Times New Roman" w:eastAsia="Times New Roman" w:hAnsi="Times New Roman"/>
          <w:sz w:val="20"/>
          <w:szCs w:val="20"/>
          <w:color w:val="auto"/>
        </w:rPr>
        <w:t>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20"/>
          <w:szCs w:val="20"/>
          <w:color w:val="auto"/>
        </w:rPr>
        <w:t>Date: _____________ ___, 20___</w:t>
      </w:r>
      <w:r>
        <w:rPr>
          <w:sz w:val="20"/>
          <w:szCs w:val="20"/>
          <w:color w:val="auto"/>
        </w:rPr>
        <w:tab/>
      </w:r>
      <w:r>
        <w:rPr>
          <w:rFonts w:ascii="Times New Roman" w:cs="Times New Roman" w:eastAsia="Times New Roman" w:hAnsi="Times New Roman"/>
          <w:sz w:val="19"/>
          <w:szCs w:val="19"/>
          <w:color w:val="auto"/>
        </w:rPr>
        <w:t>[NAME OF LENDER]</w:t>
      </w:r>
    </w:p>
    <w:p>
      <w:pPr>
        <w:spacing w:after="0" w:line="197"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line="222" w:lineRule="auto"/>
        <w:tabs>
          <w:tab w:leader="none" w:pos="46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____________________________</w:t>
      </w:r>
    </w:p>
    <w:p>
      <w:pPr>
        <w:ind w:left="3900"/>
        <w:spacing w:after="0"/>
        <w:tabs>
          <w:tab w:leader="none" w:pos="45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40"/>
          </w:cols>
          <w:pgMar w:left="320" w:top="1436" w:right="339" w:bottom="1440" w:gutter="0" w:footer="0" w:header="0"/>
        </w:sectPr>
      </w:pPr>
    </w:p>
    <w:bookmarkStart w:id="218" w:name="page219"/>
    <w:bookmarkEnd w:id="218"/>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COMMITMENTS</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TRANCHE 1 COMMITMENT</w:t>
            </w:r>
          </w:p>
        </w:tc>
        <w:tc>
          <w:tcPr>
            <w:tcW w:w="28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TRANCHE 2 COMMITMENT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COMMITMENT</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Hercules Capital, Inc.</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$37,500,000</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263"/>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Hercules Private Global Venture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$12,500,000</w:t>
            </w:r>
          </w:p>
        </w:tc>
      </w:tr>
      <w:tr>
        <w:trPr>
          <w:trHeight w:val="270"/>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Growth Fund I L.P.</w:t>
            </w:r>
          </w:p>
        </w:tc>
        <w:tc>
          <w:tcPr>
            <w:tcW w:w="2800" w:type="dxa"/>
            <w:vAlign w:val="bottom"/>
            <w:tcBorders>
              <w:right w:val="single" w:sz="8" w:color="auto"/>
            </w:tcBorders>
          </w:tcPr>
          <w:p>
            <w:pPr>
              <w:spacing w:after="0"/>
              <w:rPr>
                <w:sz w:val="23"/>
                <w:szCs w:val="23"/>
                <w:color w:val="auto"/>
              </w:rPr>
            </w:pPr>
          </w:p>
        </w:tc>
        <w:tc>
          <w:tcPr>
            <w:tcW w:w="28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spacing w:after="0"/>
              <w:rPr>
                <w:sz w:val="23"/>
                <w:szCs w:val="23"/>
                <w:color w:val="auto"/>
              </w:rPr>
            </w:pP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264"/>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COMMITMENTS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$40,000,000</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$50,000,000</w:t>
            </w: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60"/>
          </w:cols>
          <w:pgMar w:left="320" w:top="1440" w:right="319" w:bottom="1440" w:gutter="0" w:footer="0" w:header="0"/>
        </w:sectPr>
      </w:pPr>
    </w:p>
    <w:bookmarkStart w:id="219" w:name="page220"/>
    <w:bookmarkEnd w:id="219"/>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40" w:type="dxa"/>
            <w:vAlign w:val="bottom"/>
            <w:gridSpan w:val="2"/>
          </w:tcPr>
          <w:p>
            <w:pPr>
              <w:jc w:val="center"/>
              <w:ind w:right="5230"/>
              <w:spacing w:after="0"/>
              <w:rPr>
                <w:sz w:val="20"/>
                <w:szCs w:val="20"/>
                <w:color w:val="auto"/>
              </w:rPr>
            </w:pPr>
            <w:r>
              <w:rPr>
                <w:rFonts w:ascii="Times New Roman" w:cs="Times New Roman" w:eastAsia="Times New Roman" w:hAnsi="Times New Roman"/>
                <w:sz w:val="18"/>
                <w:szCs w:val="18"/>
                <w:b w:val="1"/>
                <w:bCs w:val="1"/>
                <w:color w:val="auto"/>
              </w:rPr>
              <w:t>SCHEDULE 7.19</w:t>
            </w:r>
          </w:p>
        </w:tc>
      </w:tr>
      <w:tr>
        <w:trPr>
          <w:trHeight w:val="391"/>
        </w:trPr>
        <w:tc>
          <w:tcPr>
            <w:tcW w:w="3620" w:type="dxa"/>
            <w:vAlign w:val="bottom"/>
          </w:tcPr>
          <w:p>
            <w:pPr>
              <w:spacing w:after="0"/>
              <w:rPr>
                <w:sz w:val="24"/>
                <w:szCs w:val="24"/>
                <w:color w:val="auto"/>
              </w:rPr>
            </w:pPr>
          </w:p>
        </w:tc>
        <w:tc>
          <w:tcPr>
            <w:tcW w:w="7640" w:type="dxa"/>
            <w:vAlign w:val="bottom"/>
            <w:gridSpan w:val="2"/>
          </w:tcPr>
          <w:p>
            <w:pPr>
              <w:jc w:val="center"/>
              <w:ind w:right="5230"/>
              <w:spacing w:after="0"/>
              <w:rPr>
                <w:sz w:val="20"/>
                <w:szCs w:val="20"/>
                <w:color w:val="auto"/>
              </w:rPr>
            </w:pPr>
            <w:r>
              <w:rPr>
                <w:rFonts w:ascii="Times New Roman" w:cs="Times New Roman" w:eastAsia="Times New Roman" w:hAnsi="Times New Roman"/>
                <w:sz w:val="18"/>
                <w:szCs w:val="18"/>
                <w:b w:val="1"/>
                <w:bCs w:val="1"/>
                <w:color w:val="auto"/>
              </w:rPr>
              <w:t>T12M Revenue Calculation</w:t>
            </w:r>
          </w:p>
        </w:tc>
      </w:tr>
      <w:tr>
        <w:trPr>
          <w:trHeight w:val="229"/>
        </w:trPr>
        <w:tc>
          <w:tcPr>
            <w:tcW w:w="3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5620" w:type="dxa"/>
            <w:vAlign w:val="bottom"/>
            <w:tcBorders>
              <w:bottom w:val="single" w:sz="8" w:color="auto"/>
            </w:tcBorders>
          </w:tcPr>
          <w:p>
            <w:pPr>
              <w:spacing w:after="0"/>
              <w:rPr>
                <w:sz w:val="19"/>
                <w:szCs w:val="19"/>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GAAP Revenue</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3"/>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June 30, 2023</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3"/>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$85,000,000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3"/>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rPr>
              <w:t>December 31, 2023</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9"/>
              </w:rPr>
              <w:t>March 31, 2024</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June 30, 2024</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rPr>
              <w:t>December 31, 2024</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9"/>
              </w:rPr>
              <w:t>March 31, 2025</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June 30, 2025</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$425,000,000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rPr>
              <w:t>December 31, 2025</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10"/>
              <w:spacing w:after="0"/>
              <w:rPr>
                <w:sz w:val="20"/>
                <w:szCs w:val="20"/>
                <w:color w:val="auto"/>
              </w:rPr>
            </w:pPr>
            <w:r>
              <w:rPr>
                <w:rFonts w:ascii="Times New Roman" w:cs="Times New Roman" w:eastAsia="Times New Roman" w:hAnsi="Times New Roman"/>
                <w:sz w:val="18"/>
                <w:szCs w:val="18"/>
                <w:color w:val="auto"/>
                <w:w w:val="99"/>
              </w:rPr>
              <w:t>March 31, 2026</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64"/>
        </w:trPr>
        <w:tc>
          <w:tcPr>
            <w:tcW w:w="3620" w:type="dxa"/>
            <w:vAlign w:val="bottom"/>
            <w:tcBorders>
              <w:left w:val="single" w:sz="8" w:color="auto"/>
            </w:tcBorders>
          </w:tcPr>
          <w:p>
            <w:pPr>
              <w:jc w:val="center"/>
              <w:ind w:left="1930"/>
              <w:spacing w:after="0"/>
              <w:rPr>
                <w:sz w:val="20"/>
                <w:szCs w:val="20"/>
                <w:color w:val="auto"/>
              </w:rPr>
            </w:pPr>
            <w:r>
              <w:rPr>
                <w:rFonts w:ascii="Times New Roman" w:cs="Times New Roman" w:eastAsia="Times New Roman" w:hAnsi="Times New Roman"/>
                <w:sz w:val="18"/>
                <w:szCs w:val="18"/>
                <w:color w:val="auto"/>
                <w:w w:val="99"/>
              </w:rPr>
              <w:t>June 30, 2026</w:t>
            </w:r>
          </w:p>
        </w:tc>
        <w:tc>
          <w:tcPr>
            <w:tcW w:w="2020" w:type="dxa"/>
            <w:vAlign w:val="bottom"/>
            <w:tcBorders>
              <w:right w:val="single" w:sz="8" w:color="auto"/>
            </w:tcBorders>
          </w:tcPr>
          <w:p>
            <w:pPr>
              <w:spacing w:after="0"/>
              <w:rPr>
                <w:sz w:val="22"/>
                <w:szCs w:val="22"/>
                <w:color w:val="auto"/>
              </w:rPr>
            </w:pP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r>
      <w:tr>
        <w:trPr>
          <w:trHeight w:val="54"/>
        </w:trPr>
        <w:tc>
          <w:tcPr>
            <w:tcW w:w="3620" w:type="dxa"/>
            <w:vAlign w:val="bottom"/>
            <w:tcBorders>
              <w:left w:val="single" w:sz="8" w:color="auto"/>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FF0000"/>
          <w:strike w:val="1"/>
        </w:rPr>
        <w:t>WEST\298100232.10</w:t>
      </w:r>
    </w:p>
    <w:p>
      <w:pPr>
        <w:spacing w:after="0" w:line="201" w:lineRule="exact"/>
        <w:rPr>
          <w:sz w:val="20"/>
          <w:szCs w:val="20"/>
          <w:color w:val="auto"/>
        </w:rPr>
      </w:pPr>
    </w:p>
    <w:p>
      <w:pPr>
        <w:spacing w:after="0"/>
        <w:rPr>
          <w:sz w:val="20"/>
          <w:szCs w:val="20"/>
          <w:color w:val="auto"/>
        </w:rPr>
      </w:pPr>
      <w:r>
        <w:rPr>
          <w:rFonts w:ascii="Calibri" w:cs="Calibri" w:eastAsia="Calibri" w:hAnsi="Calibri"/>
          <w:sz w:val="14"/>
          <w:szCs w:val="14"/>
          <w:color w:val="auto"/>
        </w:rPr>
        <w:t>|US-DOCS\</w:t>
      </w:r>
      <w:r>
        <w:rPr>
          <w:rFonts w:ascii="Calibri" w:cs="Calibri" w:eastAsia="Calibri" w:hAnsi="Calibri"/>
          <w:sz w:val="14"/>
          <w:szCs w:val="14"/>
          <w:b w:val="1"/>
          <w:bCs w:val="1"/>
          <w:color w:val="FF0000"/>
          <w:strike w:val="1"/>
        </w:rPr>
        <w:t>138581207.1</w:t>
      </w:r>
      <w:r>
        <w:rPr>
          <w:rFonts w:ascii="Calibri" w:cs="Calibri" w:eastAsia="Calibri" w:hAnsi="Calibri"/>
          <w:sz w:val="14"/>
          <w:szCs w:val="14"/>
          <w:b w:val="1"/>
          <w:bCs w:val="1"/>
          <w:u w:val="single" w:color="auto"/>
          <w:color w:val="0000FF"/>
        </w:rPr>
        <w:t>138581207.7</w:t>
      </w:r>
      <w:r>
        <w:rPr>
          <w:rFonts w:ascii="Calibri" w:cs="Calibri" w:eastAsia="Calibri" w:hAnsi="Calibri"/>
          <w:sz w:val="14"/>
          <w:szCs w:val="14"/>
          <w:color w:val="auto"/>
        </w:rPr>
        <w:t>||</w:t>
      </w:r>
    </w:p>
    <w:p>
      <w:pPr>
        <w:sectPr>
          <w:pgSz w:w="11900" w:h="16838" w:orient="portrait"/>
          <w:cols w:equalWidth="0" w:num="1">
            <w:col w:w="11260"/>
          </w:cols>
          <w:pgMar w:left="320" w:top="1440" w:right="319" w:bottom="1440" w:gutter="0" w:footer="0" w:header="0"/>
        </w:sectPr>
      </w:pPr>
    </w:p>
    <w:bookmarkStart w:id="220" w:name="page221"/>
    <w:bookmarkEnd w:id="2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direct and indirect subsidiaries of Ouster, Inc., that is current as of March 24, 2023:</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200" w:lineRule="exact"/>
        <w:rPr>
          <w:sz w:val="20"/>
          <w:szCs w:val="20"/>
          <w:color w:val="auto"/>
        </w:rPr>
      </w:pPr>
    </w:p>
    <w:p>
      <w:pPr>
        <w:sectPr>
          <w:pgSz w:w="11900" w:h="16838" w:orient="portrait"/>
          <w:cols w:equalWidth="0" w:num="2">
            <w:col w:w="6120" w:space="720"/>
            <w:col w:w="4400"/>
          </w:cols>
          <w:pgMar w:left="320" w:top="104" w:right="339" w:bottom="1440" w:gutter="0" w:footer="0" w:header="0"/>
          <w:type w:val="continuous"/>
        </w:sectPr>
      </w:pP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Canada Limited</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Canada, Inc.</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Ouster (Suzhou) Intelligent Technology Co., Ltd.</w:t>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Beijing Velodyne LiDAR Technology Co., Ltd.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Sense Photonics, Inc.</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Velodyne Lidar USA, Inc.</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France SAS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Velodyne Europe GmbH</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Hong Kong Limited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Velodyne HK Limited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Velodyne Lidar India Private Limited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Netherlands, B.V.</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(Thailand) Co., Ltd.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Velodyne 2022 Limited</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Ouster UK Limited</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mainland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mainland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United States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United States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Hong-Kong, 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Hong-Kong, China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Thailand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ectPr>
          <w:pgSz w:w="11900" w:h="16838" w:orient="portrait"/>
          <w:cols w:equalWidth="0" w:num="2">
            <w:col w:w="6120" w:space="720"/>
            <w:col w:w="4400"/>
          </w:cols>
          <w:pgMar w:left="320" w:top="104" w:right="339" w:bottom="1440" w:gutter="0" w:footer="0" w:header="0"/>
          <w:type w:val="continuous"/>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333-264600 and 333-254987) and Form S-8 (Nos. 333-269748, 333-266141, 333-266140, 333-260576 and 333-257859) of Ouster, Inc. of our report dated March 24, 2023 relating to the financial statements, which appears in this Form 10-K.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19" w:lineRule="auto"/>
        <w:rPr>
          <w:sz w:val="20"/>
          <w:szCs w:val="20"/>
          <w:color w:val="auto"/>
        </w:rPr>
      </w:pPr>
      <w:r>
        <w:rPr>
          <w:rFonts w:ascii="Times New Roman" w:cs="Times New Roman" w:eastAsia="Times New Roman" w:hAnsi="Times New Roman"/>
          <w:sz w:val="18"/>
          <w:szCs w:val="18"/>
          <w:color w:val="auto"/>
        </w:rPr>
        <w:t>San Jose, CA</w:t>
      </w:r>
    </w:p>
    <w:p>
      <w:pPr>
        <w:spacing w:after="0"/>
        <w:rPr>
          <w:sz w:val="20"/>
          <w:szCs w:val="20"/>
          <w:color w:val="auto"/>
        </w:rPr>
      </w:pPr>
      <w:r>
        <w:rPr>
          <w:rFonts w:ascii="Times New Roman" w:cs="Times New Roman" w:eastAsia="Times New Roman" w:hAnsi="Times New Roman"/>
          <w:sz w:val="18"/>
          <w:szCs w:val="18"/>
          <w:color w:val="auto"/>
        </w:rPr>
        <w:t>March 24, 2023</w:t>
      </w:r>
    </w:p>
    <w:p>
      <w:pPr>
        <w:sectPr>
          <w:pgSz w:w="11900" w:h="16838" w:orient="portrait"/>
          <w:cols w:equalWidth="0" w:num="1">
            <w:col w:w="11240"/>
          </w:cols>
          <w:pgMar w:left="320" w:top="104" w:right="339" w:bottom="1440" w:gutter="0" w:footer="0" w:header="0"/>
        </w:sectPr>
      </w:pPr>
    </w:p>
    <w:bookmarkStart w:id="223" w:name="page224"/>
    <w:bookmarkEnd w:id="223"/>
    <w:p>
      <w:pPr>
        <w:ind w:left="1018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KNOW ALL MEN BY THESE PRESENTS, that OUSTER, INC., a Delaware corporation (the “Company”), and each of the undersigned directors of the Company, hereby constitutes and appoints Angus Pacala and Mark Weinswig, and each of them (with full power to each of them to act alone), his or her true and lawful attorney-in-fact and agent, with full power of substitution and resubstitution, for him or her and on his or her behalf in his or her name, place and stead, in any and all capacities to sign, execute, affix his or her seal thereto and file, or cause such actions to be taken with regards to, the Company’s Annual Report on Form 10-K for the year ended December 31, 2022 under the Securities Exchange Act of 1934, as amended, including any amendment or amendments thereto, with all exhibits and any all documents required to be filed with respect thereto with any regulatory authority.</w:t>
      </w:r>
    </w:p>
    <w:p>
      <w:pPr>
        <w:spacing w:after="0" w:line="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hereby granted to said attorneys-in-fact and agents, and each of them, full power and authority to do and perform each and every act and thing, requisite and necessary to be done in respect of the foregoing as fully as he or she might or could do if personally present, thereby ratifying and confirming all that said attorneys-in-fact and agents, or their substitute or substitutes may lawfully do or cause to be done by virtue hereof.</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This Power of Attorney may be executed in any number of counterparts, each of which shall be an original, but all of which taken together shall constitute one and the same instrument and any of the undersigned directors may execute this Power of Attorney by signing any such counterpart.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Theodore L. Tewksbury, Ph.D.</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Theodore L. Tewksbury, Ph.D.</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5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Virginia Boulet</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 Boulet</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5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Susan Heystee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Heystee</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5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Ernest Maddock</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Ernest Maddock</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5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Karin Rådström</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Karin Rådström</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5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Kristin Slanina</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7"/>
        </w:trPr>
        <w:tc>
          <w:tcPr>
            <w:tcW w:w="5120" w:type="dxa"/>
            <w:vAlign w:val="bottom"/>
            <w:tcBorders>
              <w:bottom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Slanina</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6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Riaz Valani</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March 24, 2023</w:t>
            </w:r>
          </w:p>
        </w:tc>
      </w:tr>
      <w:tr>
        <w:trPr>
          <w:trHeight w:val="256"/>
        </w:trPr>
        <w:tc>
          <w:tcPr>
            <w:tcW w:w="5120" w:type="dxa"/>
            <w:vAlign w:val="bottom"/>
            <w:tcBorders>
              <w:bottom w:val="single" w:sz="8" w:color="auto"/>
            </w:tcBorders>
          </w:tcPr>
          <w:p>
            <w:pPr>
              <w:spacing w:after="0"/>
              <w:rPr>
                <w:sz w:val="22"/>
                <w:szCs w:val="22"/>
                <w:color w:val="auto"/>
              </w:rPr>
            </w:pPr>
          </w:p>
        </w:tc>
        <w:tc>
          <w:tcPr>
            <w:tcW w:w="35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Riaz Valani</w:t>
            </w:r>
          </w:p>
        </w:tc>
        <w:tc>
          <w:tcPr>
            <w:tcW w:w="358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ectPr>
          <w:pgSz w:w="11900" w:h="16838" w:orient="portrait"/>
          <w:cols w:equalWidth="0" w:num="1">
            <w:col w:w="11180"/>
          </w:cols>
          <w:pgMar w:left="320" w:top="104" w:right="39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Angus Pacala, certify that:</w:t>
      </w:r>
    </w:p>
    <w:p>
      <w:pPr>
        <w:spacing w:after="0" w:line="306" w:lineRule="exact"/>
        <w:rPr>
          <w:sz w:val="20"/>
          <w:szCs w:val="20"/>
          <w:color w:val="auto"/>
        </w:rPr>
      </w:pPr>
    </w:p>
    <w:p>
      <w:pPr>
        <w:ind w:left="560" w:hanging="534"/>
        <w:spacing w:after="0"/>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ind w:left="560" w:right="2660" w:hanging="534"/>
        <w:spacing w:after="0" w:line="266" w:lineRule="auto"/>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ind w:left="560" w:right="2680" w:hanging="534"/>
        <w:spacing w:after="0" w:line="231" w:lineRule="auto"/>
        <w:tabs>
          <w:tab w:leader="none" w:pos="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0" w:right="2740" w:hanging="534"/>
        <w:spacing w:after="0" w:line="247" w:lineRule="auto"/>
        <w:tabs>
          <w:tab w:leader="none" w:pos="56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1080" w:right="2480" w:hanging="527"/>
        <w:spacing w:after="0" w:line="195" w:lineRule="auto"/>
        <w:tabs>
          <w:tab w:leader="none" w:pos="1080" w:val="left"/>
        </w:tabs>
        <w:numPr>
          <w:ilvl w:val="1"/>
          <w:numId w:val="10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36"/>
          <w:szCs w:val="36"/>
          <w:color w:val="auto"/>
          <w:vertAlign w:val="superscript"/>
        </w:rPr>
      </w:pPr>
    </w:p>
    <w:p>
      <w:pPr>
        <w:spacing w:after="0" w:line="268" w:lineRule="exact"/>
        <w:rPr>
          <w:rFonts w:ascii="Times New Roman" w:cs="Times New Roman" w:eastAsia="Times New Roman" w:hAnsi="Times New Roman"/>
          <w:sz w:val="36"/>
          <w:szCs w:val="36"/>
          <w:color w:val="auto"/>
          <w:vertAlign w:val="superscript"/>
        </w:rPr>
      </w:pPr>
    </w:p>
    <w:p>
      <w:pPr>
        <w:ind w:left="1080" w:right="2480" w:hanging="527"/>
        <w:spacing w:after="0" w:line="224" w:lineRule="auto"/>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1080" w:right="2660" w:hanging="527"/>
        <w:spacing w:after="0" w:line="231" w:lineRule="auto"/>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24" w:lineRule="auto"/>
        <w:tabs>
          <w:tab w:leader="none" w:pos="10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right="2740" w:hanging="534"/>
        <w:spacing w:after="0" w:line="231"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440" w:hanging="527"/>
        <w:spacing w:after="0" w:line="226" w:lineRule="auto"/>
        <w:tabs>
          <w:tab w:leader="none" w:pos="1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60" w:right="2580" w:hanging="527"/>
        <w:spacing w:after="0" w:line="250" w:lineRule="auto"/>
        <w:tabs>
          <w:tab w:leader="none" w:pos="10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Angus Pacala</w:t>
      </w:r>
    </w:p>
    <w:p>
      <w:pPr>
        <w:spacing w:after="0" w:line="10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31"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Weinswig, certify that:</w:t>
      </w:r>
    </w:p>
    <w:p>
      <w:pPr>
        <w:spacing w:after="0" w:line="261" w:lineRule="exact"/>
        <w:rPr>
          <w:sz w:val="20"/>
          <w:szCs w:val="20"/>
          <w:color w:val="auto"/>
        </w:rPr>
      </w:pPr>
    </w:p>
    <w:p>
      <w:pPr>
        <w:ind w:left="560" w:hanging="534"/>
        <w:spacing w:after="0"/>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Ouster, Inc.;</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60" w:right="2660" w:hanging="534"/>
        <w:spacing w:after="0" w:line="242" w:lineRule="auto"/>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560" w:right="2680" w:hanging="534"/>
        <w:spacing w:after="0" w:line="250" w:lineRule="auto"/>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560" w:right="2740" w:hanging="534"/>
        <w:spacing w:after="0" w:line="272" w:lineRule="auto"/>
        <w:tabs>
          <w:tab w:leader="none" w:pos="5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8" w:lineRule="exact"/>
        <w:rPr>
          <w:rFonts w:ascii="Times New Roman" w:cs="Times New Roman" w:eastAsia="Times New Roman" w:hAnsi="Times New Roman"/>
          <w:sz w:val="17"/>
          <w:szCs w:val="17"/>
          <w:color w:val="auto"/>
        </w:rPr>
      </w:pPr>
    </w:p>
    <w:p>
      <w:pPr>
        <w:ind w:left="1080" w:right="2480" w:hanging="527"/>
        <w:spacing w:after="0" w:line="245" w:lineRule="auto"/>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080" w:right="2480" w:hanging="527"/>
        <w:spacing w:after="0" w:line="245" w:lineRule="auto"/>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1080" w:right="2660" w:hanging="527"/>
        <w:spacing w:after="0" w:line="250" w:lineRule="auto"/>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080" w:right="2460" w:hanging="527"/>
        <w:spacing w:after="0" w:line="245" w:lineRule="auto"/>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31"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0" w:right="2740" w:hanging="53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ind w:left="1060" w:right="2460" w:hanging="527"/>
        <w:spacing w:after="0" w:line="250" w:lineRule="auto"/>
        <w:tabs>
          <w:tab w:leader="none" w:pos="1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1060" w:right="2580" w:hanging="527"/>
        <w:spacing w:after="0" w:line="266" w:lineRule="auto"/>
        <w:tabs>
          <w:tab w:leader="none" w:pos="10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5120" w:val="left"/>
          <w:tab w:leader="none" w:pos="5940" w:val="left"/>
        </w:tabs>
        <w:rPr>
          <w:sz w:val="20"/>
          <w:szCs w:val="20"/>
          <w:color w:val="auto"/>
        </w:rPr>
      </w:pPr>
      <w:r>
        <w:rPr>
          <w:rFonts w:ascii="Times New Roman" w:cs="Times New Roman" w:eastAsia="Times New Roman" w:hAnsi="Times New Roman"/>
          <w:sz w:val="18"/>
          <w:szCs w:val="18"/>
          <w:color w:val="auto"/>
        </w:rPr>
        <w:t>Date: March 24,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33515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Weinswig</w:t>
      </w:r>
    </w:p>
    <w:p>
      <w:pPr>
        <w:spacing w:after="0" w:line="10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20"/>
          </w:cols>
          <w:pgMar w:left="340" w:top="131"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2022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82" w:lineRule="exact"/>
        <w:rPr>
          <w:rFonts w:ascii="Times New Roman" w:cs="Times New Roman" w:eastAsia="Times New Roman" w:hAnsi="Times New Roman"/>
          <w:sz w:val="18"/>
          <w:szCs w:val="18"/>
          <w:color w:val="auto"/>
        </w:rPr>
      </w:pPr>
    </w:p>
    <w:p>
      <w:pPr>
        <w:ind w:left="1080" w:right="2460" w:hanging="527"/>
        <w:spacing w:after="0" w:line="237"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720" w:val="left"/>
          <w:tab w:leader="none" w:pos="6600" w:val="left"/>
        </w:tabs>
        <w:rPr>
          <w:sz w:val="20"/>
          <w:szCs w:val="20"/>
          <w:color w:val="auto"/>
        </w:rPr>
      </w:pPr>
      <w:r>
        <w:rPr>
          <w:rFonts w:ascii="Times New Roman" w:cs="Times New Roman" w:eastAsia="Times New Roman" w:hAnsi="Times New Roman"/>
          <w:sz w:val="18"/>
          <w:szCs w:val="18"/>
          <w:color w:val="auto"/>
        </w:rPr>
        <w:t>Date: March 24,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/s/Angus Pacala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17145</wp:posOffset>
            </wp:positionV>
            <wp:extent cx="29400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Angus Pacala</w:t>
      </w:r>
    </w:p>
    <w:p>
      <w:pPr>
        <w:spacing w:after="0" w:line="9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Co-Founder and Chief Executive Officer</w:t>
      </w:r>
    </w:p>
    <w:p>
      <w:pPr>
        <w:spacing w:after="0" w:line="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31"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99" w:lineRule="exact"/>
        <w:rPr>
          <w:sz w:val="20"/>
          <w:szCs w:val="20"/>
          <w:color w:val="auto"/>
        </w:rPr>
      </w:pPr>
    </w:p>
    <w:p>
      <w:pPr>
        <w:ind w:right="3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Ouster, Inc. (the “Company”) for the period ended December 31, 2022 as filed with the Securities and Exchange Commission on the date hereof (the “Report”), I certify, pursuant to 18 U.S.C. § 1350, as adopted pursuant to § 906 of the Sarbanes-Oxley Act of 2002, that:</w:t>
      </w:r>
    </w:p>
    <w:p>
      <w:pPr>
        <w:spacing w:after="0" w:line="243" w:lineRule="exact"/>
        <w:rPr>
          <w:sz w:val="20"/>
          <w:szCs w:val="20"/>
          <w:color w:val="auto"/>
        </w:rPr>
      </w:pPr>
    </w:p>
    <w:p>
      <w:pPr>
        <w:ind w:left="1080" w:right="2580" w:hanging="527"/>
        <w:spacing w:after="0" w:line="237"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right="2460" w:hanging="527"/>
        <w:spacing w:after="0" w:line="250"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560" w:val="left"/>
          <w:tab w:leader="none" w:pos="6440" w:val="left"/>
        </w:tabs>
        <w:rPr>
          <w:sz w:val="20"/>
          <w:szCs w:val="20"/>
          <w:color w:val="auto"/>
        </w:rPr>
      </w:pPr>
      <w:r>
        <w:rPr>
          <w:rFonts w:ascii="Times New Roman" w:cs="Times New Roman" w:eastAsia="Times New Roman" w:hAnsi="Times New Roman"/>
          <w:sz w:val="18"/>
          <w:szCs w:val="18"/>
          <w:color w:val="auto"/>
        </w:rPr>
        <w:t>Date: March 24,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Weinswig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Mark Weinswig</w:t>
      </w:r>
    </w:p>
    <w:p>
      <w:pPr>
        <w:spacing w:after="0" w:line="10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lowerRoman"/>
      <w:start w:val="3"/>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1)"/>
      <w:numFmt w:val="lowerRoman"/>
      <w:start w:val="1"/>
    </w:lvl>
  </w:abstractNum>
  <w:abstractNum w:abstractNumId="31">
    <w:nsid w:val="100F8FCA"/>
    <w:multiLevelType w:val="hybridMultilevel"/>
    <w:lvl w:ilvl="0">
      <w:lvlJc w:val="left"/>
      <w:lvlText w:val="%1."/>
      <w:numFmt w:val="upperLetter"/>
      <w:start w:val="1"/>
    </w:lvl>
  </w:abstractNum>
  <w:abstractNum w:abstractNumId="32">
    <w:nsid w:val="6590700B"/>
    <w:multiLevelType w:val="hybridMultilevel"/>
    <w:lvl w:ilvl="0">
      <w:lvlJc w:val="left"/>
      <w:lvlText w:val="(%1)"/>
      <w:numFmt w:val="lowerLetter"/>
      <w:start w:val="1"/>
    </w:lvl>
  </w:abstractNum>
  <w:abstractNum w:abstractNumId="33">
    <w:nsid w:val="15014ACB"/>
    <w:multiLevelType w:val="hybridMultilevel"/>
    <w:lvl w:ilvl="0">
      <w:lvlJc w:val="left"/>
      <w:lvlText w:val="(%1)"/>
      <w:numFmt w:val="lowerLetter"/>
      <w:start w:val="1"/>
    </w:lvl>
    <w:lvl w:ilvl="1">
      <w:lvlJc w:val="left"/>
      <w:lvlText w:val="(%2)"/>
      <w:numFmt w:val="lowerRoman"/>
      <w:start w:val="1"/>
    </w:lvl>
  </w:abstractNum>
  <w:abstractNum w:abstractNumId="34">
    <w:nsid w:val="5F5E7FD0"/>
    <w:multiLevelType w:val="hybridMultilevel"/>
    <w:lvl w:ilvl="0">
      <w:lvlJc w:val="left"/>
      <w:lvlText w:val="%1"/>
      <w:numFmt w:val="lowerLetter"/>
      <w:start w:val="1"/>
    </w:lvl>
    <w:lvl w:ilvl="1">
      <w:lvlJc w:val="left"/>
      <w:lvlText w:val="(%2)"/>
      <w:numFmt w:val="lowerLetter"/>
      <w:start w:val="1"/>
    </w:lvl>
  </w:abstractNum>
  <w:abstractNum w:abstractNumId="35">
    <w:nsid w:val="98A3148"/>
    <w:multiLevelType w:val="hybridMultilevel"/>
    <w:lvl w:ilvl="0">
      <w:lvlJc w:val="left"/>
      <w:lvlText w:val="(%1)"/>
      <w:numFmt w:val="lowerLetter"/>
      <w:start w:val="35"/>
    </w:lvl>
    <w:lvl w:ilvl="1">
      <w:lvlJc w:val="left"/>
      <w:lvlText w:val="%2"/>
      <w:numFmt w:val="lowerLetter"/>
      <w:start w:val="1"/>
    </w:lvl>
  </w:abstractNum>
  <w:abstractNum w:abstractNumId="36">
    <w:nsid w:val="799D0247"/>
    <w:multiLevelType w:val="hybridMultilevel"/>
    <w:lvl w:ilvl="0">
      <w:lvlJc w:val="left"/>
      <w:lvlText w:val="(%1)"/>
      <w:numFmt w:val="lowerLetter"/>
      <w:start w:val="3"/>
    </w:lvl>
    <w:lvl w:ilvl="1">
      <w:lvlJc w:val="left"/>
      <w:lvlText w:val="(%2)"/>
      <w:numFmt w:val="lowerRoman"/>
      <w:start w:val="1"/>
    </w:lvl>
  </w:abstractNum>
  <w:abstractNum w:abstractNumId="37">
    <w:nsid w:val="6B94764"/>
    <w:multiLevelType w:val="hybridMultilevel"/>
    <w:lvl w:ilvl="0">
      <w:lvlJc w:val="left"/>
      <w:lvlText w:val="(%1)"/>
      <w:numFmt w:val="lowerLetter"/>
      <w:start w:val="1"/>
    </w:lvl>
    <w:lvl w:ilvl="1">
      <w:lvlJc w:val="left"/>
      <w:lvlText w:val="(%2)"/>
      <w:numFmt w:val="lowerRoman"/>
      <w:start w:val="1"/>
    </w:lvl>
  </w:abstractNum>
  <w:abstractNum w:abstractNumId="38">
    <w:nsid w:val="42C296BD"/>
    <w:multiLevelType w:val="hybridMultilevel"/>
    <w:lvl w:ilvl="0">
      <w:lvlJc w:val="left"/>
      <w:lvlText w:val="(%1)"/>
      <w:numFmt w:val="lowerLetter"/>
      <w:start w:val="8"/>
    </w:lvl>
  </w:abstractNum>
  <w:abstractNum w:abstractNumId="39">
    <w:nsid w:val="168E121F"/>
    <w:multiLevelType w:val="hybridMultilevel"/>
    <w:lvl w:ilvl="0">
      <w:lvlJc w:val="left"/>
      <w:lvlText w:val="%1."/>
      <w:numFmt w:val="upperLetter"/>
      <w:start w:val="1"/>
    </w:lvl>
  </w:abstractNum>
  <w:abstractNum w:abstractNumId="40">
    <w:nsid w:val="1EBA5D23"/>
    <w:multiLevelType w:val="hybridMultilevel"/>
    <w:lvl w:ilvl="0">
      <w:lvlJc w:val="left"/>
      <w:lvlText w:val="(%1)"/>
      <w:numFmt w:val="lowerLetter"/>
      <w:start w:val="1"/>
    </w:lvl>
    <w:lvl w:ilvl="1">
      <w:lvlJc w:val="left"/>
      <w:lvlText w:val="(%2)"/>
      <w:numFmt w:val="lowerRoman"/>
      <w:start w:val="1"/>
    </w:lvl>
  </w:abstractNum>
  <w:abstractNum w:abstractNumId="41">
    <w:nsid w:val="661E3F1E"/>
    <w:multiLevelType w:val="hybridMultilevel"/>
    <w:lvl w:ilvl="0">
      <w:lvlJc w:val="left"/>
      <w:lvlText w:val="(%1)"/>
      <w:numFmt w:val="lowerRoman"/>
      <w:start w:val="1"/>
    </w:lvl>
  </w:abstractNum>
  <w:abstractNum w:abstractNumId="42">
    <w:nsid w:val="5DC79EA8"/>
    <w:multiLevelType w:val="hybridMultilevel"/>
    <w:lvl w:ilvl="0">
      <w:lvlJc w:val="left"/>
      <w:lvlText w:val="(%1)"/>
      <w:numFmt w:val="lowerLetter"/>
      <w:start w:val="3"/>
    </w:lvl>
  </w:abstractNum>
  <w:abstractNum w:abstractNumId="43">
    <w:nsid w:val="540A471C"/>
    <w:multiLevelType w:val="hybridMultilevel"/>
    <w:lvl w:ilvl="0">
      <w:lvlJc w:val="left"/>
      <w:lvlText w:val="(%1)"/>
      <w:numFmt w:val="lowerLetter"/>
      <w:start w:val="1"/>
    </w:lvl>
  </w:abstractNum>
  <w:abstractNum w:abstractNumId="44">
    <w:nsid w:val="7BD3EE7B"/>
    <w:multiLevelType w:val="hybridMultilevel"/>
    <w:lvl w:ilvl="0">
      <w:lvlJc w:val="left"/>
      <w:lvlText w:val="(%1)"/>
      <w:numFmt w:val="lowerRoman"/>
      <w:start w:val="1"/>
    </w:lvl>
  </w:abstractNum>
  <w:abstractNum w:abstractNumId="45">
    <w:nsid w:val="51D9C564"/>
    <w:multiLevelType w:val="hybridMultilevel"/>
    <w:lvl w:ilvl="0">
      <w:lvlJc w:val="left"/>
      <w:lvlText w:val="(%1)"/>
      <w:numFmt w:val="lowerRoman"/>
      <w:start w:val="4"/>
    </w:lvl>
  </w:abstractNum>
  <w:abstractNum w:abstractNumId="46">
    <w:nsid w:val="613EFDC5"/>
    <w:multiLevelType w:val="hybridMultilevel"/>
    <w:lvl w:ilvl="0">
      <w:lvlJc w:val="left"/>
      <w:lvlText w:val="(%1)"/>
      <w:numFmt w:val="lowerRoman"/>
      <w:start w:val="15"/>
    </w:lvl>
  </w:abstractNum>
  <w:abstractNum w:abstractNumId="47">
    <w:nsid w:val="BF72B14"/>
    <w:multiLevelType w:val="hybridMultilevel"/>
    <w:lvl w:ilvl="0">
      <w:lvlJc w:val="left"/>
      <w:lvlText w:val="(%1)"/>
      <w:numFmt w:val="lowerRoman"/>
      <w:start w:val="1"/>
    </w:lvl>
  </w:abstractNum>
  <w:abstractNum w:abstractNumId="48">
    <w:nsid w:val="11447B73"/>
    <w:multiLevelType w:val="hybridMultilevel"/>
    <w:lvl w:ilvl="0">
      <w:lvlJc w:val="left"/>
      <w:lvlText w:val="(%1)"/>
      <w:numFmt w:val="decimal"/>
      <w:start w:val="3"/>
    </w:lvl>
    <w:lvl w:ilvl="1">
      <w:lvlJc w:val="left"/>
      <w:lvlText w:val="(%2)"/>
      <w:numFmt w:val="lowerRoman"/>
      <w:start w:val="15"/>
    </w:lvl>
  </w:abstractNum>
  <w:abstractNum w:abstractNumId="49">
    <w:nsid w:val="42963E5A"/>
    <w:multiLevelType w:val="hybridMultilevel"/>
    <w:lvl w:ilvl="0">
      <w:lvlJc w:val="left"/>
      <w:lvlText w:val="(%1)"/>
      <w:numFmt w:val="lowerRoman"/>
      <w:start w:val="1"/>
    </w:lvl>
  </w:abstractNum>
  <w:abstractNum w:abstractNumId="50">
    <w:nsid w:val="A0382C5"/>
    <w:multiLevelType w:val="hybridMultilevel"/>
    <w:lvl w:ilvl="0">
      <w:lvlJc w:val="left"/>
      <w:lvlText w:val="(%1)"/>
      <w:numFmt w:val="lowerRoman"/>
      <w:start w:val="3"/>
    </w:lvl>
  </w:abstractNum>
  <w:abstractNum w:abstractNumId="51">
    <w:nsid w:val="8F2B15E"/>
    <w:multiLevelType w:val="hybridMultilevel"/>
    <w:lvl w:ilvl="0">
      <w:lvlJc w:val="left"/>
      <w:lvlText w:val="(%1)"/>
      <w:numFmt w:val="lowerRoman"/>
      <w:start w:val="6"/>
    </w:lvl>
  </w:abstractNum>
  <w:abstractNum w:abstractNumId="52">
    <w:nsid w:val="1A32234B"/>
    <w:multiLevelType w:val="hybridMultilevel"/>
    <w:lvl w:ilvl="0">
      <w:lvlJc w:val="left"/>
      <w:lvlText w:val="(%1)"/>
      <w:numFmt w:val="lowerRoman"/>
      <w:start w:val="1"/>
    </w:lvl>
  </w:abstractNum>
  <w:abstractNum w:abstractNumId="53">
    <w:nsid w:val="3B0FD379"/>
    <w:multiLevelType w:val="hybridMultilevel"/>
    <w:lvl w:ilvl="0">
      <w:lvlJc w:val="left"/>
      <w:lvlText w:val="(%1)"/>
      <w:numFmt w:val="lowerRoman"/>
      <w:start w:val="3"/>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2"/>
    </w:lvl>
    <w:lvl w:ilvl="1">
      <w:lvlJc w:val="left"/>
      <w:lvlText w:val="(%2)"/>
      <w:numFmt w:val="lowerLetter"/>
      <w:start w:val="9"/>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1)"/>
      <w:numFmt w:val="lowerLetter"/>
      <w:start w:val="4"/>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decimal"/>
      <w:start w:val="1"/>
    </w:lvl>
    <w:lvl w:ilvl="1">
      <w:lvlJc w:val="left"/>
      <w:lvlText w:val="(%2)"/>
      <w:numFmt w:val="lowerLetter"/>
      <w:start w:val="6"/>
    </w:lvl>
  </w:abstractNum>
  <w:abstractNum w:abstractNumId="63">
    <w:nsid w:val="7FB7E0AA"/>
    <w:multiLevelType w:val="hybridMultilevel"/>
    <w:lvl w:ilvl="0">
      <w:lvlJc w:val="left"/>
      <w:lvlText w:val="(%1)"/>
      <w:numFmt w:val="decimal"/>
      <w:start w:val="60"/>
    </w:lvl>
    <w:lvl w:ilvl="1">
      <w:lvlJc w:val="left"/>
      <w:lvlText w:val="%2"/>
      <w:numFmt w:val="lowerLetter"/>
      <w:start w:val="1"/>
    </w:lvl>
  </w:abstractNum>
  <w:abstractNum w:abstractNumId="64">
    <w:nsid w:val="6EB5BD4"/>
    <w:multiLevelType w:val="hybridMultilevel"/>
    <w:lvl w:ilvl="0">
      <w:lvlJc w:val="left"/>
      <w:lvlText w:val="(%1)"/>
      <w:numFmt w:val="lowerLetter"/>
      <w:start w:val="9"/>
    </w:lvl>
  </w:abstractNum>
  <w:abstractNum w:abstractNumId="65">
    <w:nsid w:val="6F6DD9AC"/>
    <w:multiLevelType w:val="hybridMultilevel"/>
    <w:lvl w:ilvl="0">
      <w:lvlJc w:val="left"/>
      <w:lvlText w:val="(%1)"/>
      <w:numFmt w:val="lowerLetter"/>
      <w:start w:val="5"/>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2"/>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Roman"/>
      <w:start w:val="2"/>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24"/>
    </w:lvl>
  </w:abstractNum>
  <w:abstractNum w:abstractNumId="76">
    <w:nsid w:val="46B7D447"/>
    <w:multiLevelType w:val="hybridMultilevel"/>
    <w:lvl w:ilvl="0">
      <w:lvlJc w:val="left"/>
      <w:lvlText w:val="(%1)"/>
      <w:numFmt w:val="lowerLetter"/>
      <w:start w:val="7"/>
    </w:lvl>
  </w:abstractNum>
  <w:abstractNum w:abstractNumId="77">
    <w:nsid w:val="4A2AC315"/>
    <w:multiLevelType w:val="hybridMultilevel"/>
    <w:lvl w:ilvl="0">
      <w:lvlJc w:val="left"/>
      <w:lvlText w:val="(%1)"/>
      <w:numFmt w:val="lowerLetter"/>
      <w:start w:val="1"/>
    </w:lvl>
  </w:abstractNum>
  <w:abstractNum w:abstractNumId="78">
    <w:nsid w:val="39EE015C"/>
    <w:multiLevelType w:val="hybridMultilevel"/>
    <w:lvl w:ilvl="0">
      <w:lvlJc w:val="left"/>
      <w:lvlText w:val="(%1)"/>
      <w:numFmt w:val="lowerLetter"/>
      <w:start w:val="1"/>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decimal"/>
      <w:start w:val="1"/>
    </w:lvl>
    <w:lvl w:ilvl="1">
      <w:lvlJc w:val="left"/>
      <w:lvlText w:val="%2."/>
      <w:numFmt w:val="lowerLetter"/>
      <w:start w:val="1"/>
    </w:lvl>
  </w:abstractNum>
  <w:abstractNum w:abstractNumId="81">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2">
    <w:nsid w:val="60EF011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3">
    <w:nsid w:val="26F324BA"/>
    <w:multiLevelType w:val="hybridMultilevel"/>
    <w:lvl w:ilvl="0">
      <w:lvlJc w:val="left"/>
      <w:lvlText w:val="%1."/>
      <w:numFmt w:val="decimal"/>
      <w:start w:val="6"/>
    </w:lvl>
  </w:abstractNum>
  <w:abstractNum w:abstractNumId="84">
    <w:nsid w:val="7F01579B"/>
    <w:multiLevelType w:val="hybridMultilevel"/>
    <w:lvl w:ilvl="0">
      <w:lvlJc w:val="left"/>
      <w:lvlText w:val="%1."/>
      <w:numFmt w:val="decimal"/>
      <w:start w:val="7"/>
    </w:lvl>
    <w:lvl w:ilvl="1">
      <w:lvlJc w:val="left"/>
      <w:lvlText w:val="%2."/>
      <w:numFmt w:val="lowerLetter"/>
      <w:start w:val="1"/>
    </w:lvl>
  </w:abstractNum>
  <w:abstractNum w:abstractNumId="85">
    <w:nsid w:val="49DA307D"/>
    <w:multiLevelType w:val="hybridMultilevel"/>
    <w:lvl w:ilvl="0">
      <w:lvlJc w:val="left"/>
      <w:lvlText w:val="%1."/>
      <w:numFmt w:val="upperLetter"/>
      <w:start w:val="1"/>
    </w:lvl>
  </w:abstractNum>
  <w:abstractNum w:abstractNumId="86">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7">
    <w:nsid w:val="5FB837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8">
    <w:nsid w:val="50801EE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9">
    <w:nsid w:val="488AC1A"/>
    <w:multiLevelType w:val="hybridMultilevel"/>
    <w:lvl w:ilvl="0">
      <w:lvlJc w:val="left"/>
      <w:lvlText w:val="%1."/>
      <w:numFmt w:val="decimal"/>
      <w:start w:val="9"/>
    </w:lvl>
  </w:abstractNum>
  <w:abstractNum w:abstractNumId="90">
    <w:nsid w:val="5FB8011C"/>
    <w:multiLevelType w:val="hybridMultilevel"/>
    <w:lvl w:ilvl="0">
      <w:lvlJc w:val="left"/>
      <w:lvlText w:val="(%1)"/>
      <w:numFmt w:val="lowerLetter"/>
      <w:start w:val="1"/>
    </w:lvl>
    <w:lvl w:ilvl="1">
      <w:lvlJc w:val="left"/>
      <w:lvlText w:val="(%2)"/>
      <w:numFmt w:val="lowerRoman"/>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decimal"/>
      <w:start w:val="2"/>
    </w:lvl>
  </w:abstractNum>
  <w:abstractNum w:abstractNumId="94">
    <w:nsid w:val="6A5F7029"/>
    <w:multiLevelType w:val="hybridMultilevel"/>
    <w:lvl w:ilvl="0">
      <w:lvlJc w:val="left"/>
      <w:lvlText w:val="1"/>
      <w:numFmt w:val="bullet"/>
      <w:start w:val="1"/>
    </w:lvl>
  </w:abstractNum>
  <w:abstractNum w:abstractNumId="95">
    <w:nsid w:val="7D5E18F8"/>
    <w:multiLevelType w:val="hybridMultilevel"/>
    <w:lvl w:ilvl="0">
      <w:lvlJc w:val="left"/>
      <w:lvlText w:val="2"/>
      <w:numFmt w:val="bullet"/>
      <w:start w:val="1"/>
    </w:lvl>
  </w:abstractNum>
  <w:abstractNum w:abstractNumId="96">
    <w:nsid w:val="5F3534A4"/>
    <w:multiLevelType w:val="hybridMultilevel"/>
    <w:lvl w:ilvl="0">
      <w:lvlJc w:val="left"/>
      <w:lvlText w:val="3"/>
      <w:numFmt w:val="bullet"/>
      <w:start w:val="1"/>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decimal"/>
      <w:start w:val="5"/>
    </w:lvl>
  </w:abstractNum>
  <w:abstractNum w:abstractNumId="99">
    <w:nsid w:val="555C55B5"/>
    <w:multiLevelType w:val="hybridMultilevel"/>
    <w:lvl w:ilvl="0">
      <w:lvlJc w:val="left"/>
      <w:lvlText w:val="%1."/>
      <w:numFmt w:val="decimal"/>
      <w:start w:val="1"/>
    </w:lvl>
    <w:lvl w:ilvl="1">
      <w:lvlJc w:val="left"/>
      <w:lvlText w:val="(%2)"/>
      <w:numFmt w:val="lowerLetter"/>
      <w:start w:val="1"/>
    </w:lvl>
  </w:abstractNum>
  <w:abstractNum w:abstractNumId="100">
    <w:nsid w:val="3FA62ACA"/>
    <w:multiLevelType w:val="hybridMultilevel"/>
    <w:lvl w:ilvl="0">
      <w:lvlJc w:val="left"/>
      <w:lvlText w:val="%1."/>
      <w:numFmt w:val="decimal"/>
      <w:start w:val="5"/>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5"/>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8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95" Type="http://schemas.openxmlformats.org/officeDocument/2006/relationships/hyperlink" Target="https://www.sec.gov/Archives/edgar/data/1816581/000119312521080046/d122652dex991.htm#toc" TargetMode="External"/><Relationship Id="rId147" Type="http://schemas.openxmlformats.org/officeDocument/2006/relationships/hyperlink" Target="https://www.sec.gov/Archives/edgar/data/0001816581/000119312521076326/d149743dex31.htm" TargetMode="External"/><Relationship Id="rId148" Type="http://schemas.openxmlformats.org/officeDocument/2006/relationships/hyperlink" Target="https://www.sec.gov/Archives/edgar/data/0001816581/000119312521076326/d149743dex32.htm" TargetMode="External"/><Relationship Id="rId149" Type="http://schemas.openxmlformats.org/officeDocument/2006/relationships/hyperlink" Target="https://www.sec.gov/Archives/edgar/data/0001816581/000119312520229870/d938278dex41.htm" TargetMode="External"/><Relationship Id="rId150" Type="http://schemas.openxmlformats.org/officeDocument/2006/relationships/hyperlink" Target="https://www.sec.gov/Archives/edgar/data/0001816581/000119312520209451/d937985dex43.htm" TargetMode="External"/><Relationship Id="rId151" Type="http://schemas.openxmlformats.org/officeDocument/2006/relationships/hyperlink" Target="https://www.sec.gov/Archives/edgar/data/1745317/000119312522029612/d54842dex41.htm" TargetMode="External"/><Relationship Id="rId152" Type="http://schemas.openxmlformats.org/officeDocument/2006/relationships/hyperlink" Target="https://www.sec.gov/Archives/edgar/data/1745317/000114420418054354/tv505017_ex4-1.htm" TargetMode="External"/><Relationship Id="rId153" Type="http://schemas.openxmlformats.org/officeDocument/2006/relationships/hyperlink" Target="https://www.sec.gov/Archives/edgar/data/1816581/000162828022004256/oust-ex101for202110xk.htm" TargetMode="External"/><Relationship Id="rId154" Type="http://schemas.openxmlformats.org/officeDocument/2006/relationships/hyperlink" Target="https://www.sec.gov/Archives/edgar/data/0001816581/000119312521080038/d122652dex102.htm" TargetMode="External"/><Relationship Id="rId155" Type="http://schemas.openxmlformats.org/officeDocument/2006/relationships/hyperlink" Target="https://www.sec.gov/Archives/edgar/data/0001816581/000119312521080038/d122652dex103.htm" TargetMode="External"/><Relationship Id="rId156" Type="http://schemas.openxmlformats.org/officeDocument/2006/relationships/hyperlink" Target="http://www.sec.gov/Archives/edgar/data/1816581/000119312520324674/d10549dex105a.htm" TargetMode="External"/><Relationship Id="rId157" Type="http://schemas.openxmlformats.org/officeDocument/2006/relationships/hyperlink" Target="http://www.sec.gov/Archives/edgar/data/1816581/000119312521080038/d122652dex103b.htm" TargetMode="External"/><Relationship Id="rId158" Type="http://schemas.openxmlformats.org/officeDocument/2006/relationships/hyperlink" Target="http://www.sec.gov/Archives/edgar/data/1816581/000119312520324674/d10549dex106.htm" TargetMode="External"/><Relationship Id="rId159" Type="http://schemas.openxmlformats.org/officeDocument/2006/relationships/hyperlink" Target="http://www.sec.gov/Archives/edgar/data/1816581/000119312521019642/d10549dex1013.htm" TargetMode="External"/><Relationship Id="rId160" Type="http://schemas.openxmlformats.org/officeDocument/2006/relationships/hyperlink" Target="http://www.sec.gov/Archives/edgar/data/1816581/000119312521019642/d10549dex1013a.htm" TargetMode="External"/><Relationship Id="rId161" Type="http://schemas.openxmlformats.org/officeDocument/2006/relationships/hyperlink" Target="http://www.sec.gov/Archives/edgar/data/1816581/000119312521019642/d10549dex1013b.htm" TargetMode="External"/><Relationship Id="rId164" Type="http://schemas.openxmlformats.org/officeDocument/2006/relationships/hyperlink" Target="http://www.sec.gov/Archives/edgar/data/1816581/000119312521019642/d10549dex1013c.htm" TargetMode="External"/><Relationship Id="rId165" Type="http://schemas.openxmlformats.org/officeDocument/2006/relationships/hyperlink" Target="http://www.sec.gov/Archives/edgar/data/1816581/000119312521019642/d10549dex1013d.htm" TargetMode="External"/><Relationship Id="rId166" Type="http://schemas.openxmlformats.org/officeDocument/2006/relationships/hyperlink" Target="http://www.sec.gov/Archives/edgar/data/1816581/000119312521019642/d10549dex1013e.htm" TargetMode="External"/><Relationship Id="rId167" Type="http://schemas.openxmlformats.org/officeDocument/2006/relationships/hyperlink" Target="http://www.sec.gov/Archives/edgar/data/1816581/000119312521019642/d10549dex1013f.htm" TargetMode="External"/><Relationship Id="rId168" Type="http://schemas.openxmlformats.org/officeDocument/2006/relationships/hyperlink" Target="http://www.sec.gov/Archives/edgar/data/1816581/000119312521019642/d10549dex1013g.htm" TargetMode="External"/><Relationship Id="rId169" Type="http://schemas.openxmlformats.org/officeDocument/2006/relationships/hyperlink" Target="http://www.sec.gov/Archives/edgar/data/1816581/000119312521019642/d10549dex1014.htm" TargetMode="External"/><Relationship Id="rId170" Type="http://schemas.openxmlformats.org/officeDocument/2006/relationships/hyperlink" Target="http://www.sec.gov/Archives/edgar/data/1816581/000119312521019642/d10549dex1014a.htm" TargetMode="External"/><Relationship Id="rId171" Type="http://schemas.openxmlformats.org/officeDocument/2006/relationships/hyperlink" Target="http://www.sec.gov/Archives/edgar/data/1816581/000119312521019642/d10549dex1014b.htm" TargetMode="External"/><Relationship Id="rId172" Type="http://schemas.openxmlformats.org/officeDocument/2006/relationships/hyperlink" Target="https://www.sec.gov/Archives/edgar/data/1816581/000162828022004256/oust-ex106cfor202110xk.htm" TargetMode="External"/><Relationship Id="rId173" Type="http://schemas.openxmlformats.org/officeDocument/2006/relationships/hyperlink" Target="https://www.sec.gov/Archives/edgar/data/0001816581/000119312521291627/d217527dex21.htm" TargetMode="External"/><Relationship Id="rId174" Type="http://schemas.openxmlformats.org/officeDocument/2006/relationships/hyperlink" Target="https://www.sec.gov/Archives/edgar/data/0001816581/000119312521311897/d245371dex991.htm" TargetMode="External"/><Relationship Id="rId175" Type="http://schemas.openxmlformats.org/officeDocument/2006/relationships/hyperlink" Target="https://www.sec.gov/Archives/edgar/data/1816581/000162828022004256/oust-ex109afor202110xk.htm" TargetMode="External"/><Relationship Id="rId176" Type="http://schemas.openxmlformats.org/officeDocument/2006/relationships/hyperlink" Target="http://www.sec.gov/Archives/edgar/data/1816581/000119312521104385/d156556dex109.htm" TargetMode="External"/><Relationship Id="rId177" Type="http://schemas.openxmlformats.org/officeDocument/2006/relationships/hyperlink" Target="http://www.sec.gov/Archives/edgar/data/1816581/000119312521104385/d156556dex109a.htm" TargetMode="External"/><Relationship Id="rId178" Type="http://schemas.openxmlformats.org/officeDocument/2006/relationships/hyperlink" Target="http://www.sec.gov/Archives/edgar/data/1816581/000119312521104385/d156556dex109b.htm" TargetMode="External"/><Relationship Id="rId179" Type="http://schemas.openxmlformats.org/officeDocument/2006/relationships/hyperlink" Target="http://www.sec.gov/Archives/edgar/data/1816581/000119312521104385/d156556dex109c.htm" TargetMode="External"/><Relationship Id="rId180" Type="http://schemas.openxmlformats.org/officeDocument/2006/relationships/hyperlink" Target="https://www.sec.gov/Archives/edgar/data/1816581/000119312522173918/d326367dex101.htm" TargetMode="External"/><Relationship Id="rId181" Type="http://schemas.openxmlformats.org/officeDocument/2006/relationships/hyperlink" Target="https://www.sec.gov/Archives/edgar/data/1816581/000162828022013060/hercules-loanandsecurityag.htm" TargetMode="External"/><Relationship Id="rId182" Type="http://schemas.openxmlformats.org/officeDocument/2006/relationships/hyperlink" Target="https://www.sec.gov/Archives/edgar/data/1816581/000162828022028989/oust-30sep22xex105.htm" TargetMode="External"/><Relationship Id="rId184" Type="http://schemas.openxmlformats.org/officeDocument/2006/relationships/hyperlink" Target="https://www.sec.gov/Archives/edgar/data/1816581/000119312522278440/d386513dex101.htm" TargetMode="External"/><Relationship Id="rId185" Type="http://schemas.openxmlformats.org/officeDocument/2006/relationships/hyperlink" Target="https://www.sec.gov/Archives/edgar/data/1816581/000119312522278440/d386513dex102.htm" TargetMode="External"/><Relationship Id="rId186" Type="http://schemas.openxmlformats.org/officeDocument/2006/relationships/hyperlink" Target="https://www.sec.gov/Archives/edgar/data/1745317/000110465921080522/tm2119574d1_10-1.htm" TargetMode="External"/><Relationship Id="rId187" Type="http://schemas.openxmlformats.org/officeDocument/2006/relationships/hyperlink" Target="https://www.sec.gov/Archives/edgar/data/1816581/000162828022028989/oust-30sep22xex102.htm" TargetMode="External"/><Relationship Id="rId188" Type="http://schemas.openxmlformats.org/officeDocument/2006/relationships/hyperlink" Target="https://www.sec.gov/Archives/edgar/data/1816581/000162828022028989/oust-30sep22xex104.htm" TargetMode="External"/><Relationship Id="rId189" Type="http://schemas.openxmlformats.org/officeDocument/2006/relationships/hyperlink" Target="https://www.sec.gov/Archives/edgar/data/1745317/000162828022029030/exhibit10122q3offerletterw.htm" TargetMode="External"/><Relationship Id="rId190" Type="http://schemas.openxmlformats.org/officeDocument/2006/relationships/hyperlink" Target="https://www.sec.gov/Archives/edgar/data/1745317/000110465920112259/tm2032425d1_ex10-2.htm" TargetMode="External"/><Relationship Id="rId191" Type="http://schemas.openxmlformats.org/officeDocument/2006/relationships/hyperlink" Target="https://www.sec.gov/Archives/edgar/data/1745317/000110465920112259/tm2032425d1_ex10-5.htm" TargetMode="External"/><Relationship Id="rId192" Type="http://schemas.openxmlformats.org/officeDocument/2006/relationships/hyperlink" Target="https://www.sec.gov/Archives/edgar/data/1816581/000119312523036876/d344849dex991.htm" TargetMode="External"/><Relationship Id="rId193" Type="http://schemas.openxmlformats.org/officeDocument/2006/relationships/hyperlink" Target="https://www.sec.gov/Archives/edgar/data/1745317/000119312522029612/d5484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2023-03-24T21:49:23Z</dcterms:created>
  <dcterms:modified xsi:type="dcterms:W3CDTF">2023-03-24T21:49:23Z</dcterms:modified>
</cp:coreProperties>
</file>