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47395d8k.htm"/>
      <w:bookmarkStart w:id="1" w:name="ksd94739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May 5,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Ouster,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001-39463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86-2528989</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350 Treat Avenue</w:t>
      </w:r>
    </w:p>
    <w:p>
      <w:pPr>
        <w:pStyle w:val="TextBody"/>
        <w:bidi w:val="0"/>
        <w:spacing w:before="0" w:after="0"/>
        <w:jc w:val="center"/>
        <w:rPr>
          <w:rFonts w:ascii="Times New Roman" w:hAnsi="Times New Roman"/>
          <w:b/>
          <w:sz w:val="20"/>
        </w:rPr>
      </w:pPr>
      <w:r>
        <w:rPr>
          <w:rFonts w:ascii="Times New Roman" w:hAnsi="Times New Roman"/>
          <w:b/>
          <w:sz w:val="20"/>
        </w:rPr>
        <w:t>San Francisco, California 94110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(415) 949-0108</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b/>
          <w:sz w:val="20"/>
        </w:rPr>
      </w:pPr>
      <w:r>
        <w:rPr>
          <w:rFonts w:ascii="Times New Roman" w:hAnsi="Times New Roman"/>
          <w:b/>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245"/>
        <w:gridCol w:w="7505"/>
      </w:tblGrid>
      <w:tr>
        <w:trPr/>
        <w:tc>
          <w:tcPr>
            <w:tcW w:w="245"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Written communications pursuant to Rule 425 under the Securities Act (17 CFR 230.425)</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245"/>
        <w:gridCol w:w="7550"/>
      </w:tblGrid>
      <w:tr>
        <w:trPr/>
        <w:tc>
          <w:tcPr>
            <w:tcW w:w="245"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Soliciting material pursuant to Rule 14a-12 under the Exchange Act (17 CFR 240.14a-12)</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245"/>
        <w:gridCol w:w="9320"/>
      </w:tblGrid>
      <w:tr>
        <w:trPr/>
        <w:tc>
          <w:tcPr>
            <w:tcW w:w="245"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Pre-commencement communications pursuant to Rule 14d-2(b) under the Exchange Act (17 CFR 240.14d-2(b))</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245"/>
        <w:gridCol w:w="9260"/>
      </w:tblGrid>
      <w:tr>
        <w:trPr/>
        <w:tc>
          <w:tcPr>
            <w:tcW w:w="245"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220"/>
        <w:gridCol w:w="60"/>
        <w:gridCol w:w="665"/>
        <w:gridCol w:w="60"/>
        <w:gridCol w:w="2825"/>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20"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OUST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b/>
          <w:sz w:val="20"/>
        </w:rPr>
      </w:pPr>
      <w:r>
        <w:rPr>
          <w:rFonts w:ascii="Times New Roman" w:hAnsi="Times New Roman"/>
          <w:b/>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b/>
          <w:sz w:val="20"/>
        </w:rPr>
        <w:t>Emerging growth company </w:t>
      </w:r>
      <w:r>
        <w:rPr>
          <w:rFonts w:ascii="Times New Roman" w:hAnsi="Times New Roman"/>
          <w:sz w:val="20"/>
        </w:rPr>
        <w:t>☐</w:t>
      </w:r>
    </w:p>
    <w:p>
      <w:pPr>
        <w:pStyle w:val="TextBody"/>
        <w:bidi w:val="0"/>
        <w:spacing w:before="160" w:after="0"/>
        <w:jc w:val="left"/>
        <w:rPr>
          <w:rFonts w:ascii="Times New Roman" w:hAnsi="Times New Roman"/>
          <w:sz w:val="20"/>
        </w:rPr>
      </w:pPr>
      <w:r>
        <w:rPr>
          <w:rFonts w:ascii="Times New Roman" w:hAnsi="Times New Roman"/>
          <w:b/>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On May 5, 2026, Ouster, Inc. announced financial results for the three months ended March 31, 2026. The full text of the press release issued in connection with the announcement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2.02 of this Current Report on Form 8-K (including Exhibit 99.1)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575"/>
        <w:gridCol w:w="120"/>
        <w:gridCol w:w="7625"/>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947395dex991.htm">
              <w:r>
                <w:rPr>
                  <w:rStyle w:val="InternetLink"/>
                </w:rPr>
                <w:t>Press Release, dated May 5, 2026</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155"/>
        <w:gridCol w:w="1640"/>
      </w:tblGrid>
      <w:tr>
        <w:trPr/>
        <w:tc>
          <w:tcPr>
            <w:tcW w:w="155"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4898" w:type="dxa"/>
        <w:jc w:val="left"/>
        <w:tblInd w:w="0" w:type="dxa"/>
        <w:tblLayout w:type="fixed"/>
        <w:tblCellMar>
          <w:top w:w="0" w:type="dxa"/>
          <w:left w:w="0" w:type="dxa"/>
          <w:bottom w:w="0" w:type="dxa"/>
          <w:right w:w="0" w:type="dxa"/>
        </w:tblCellMar>
      </w:tblPr>
      <w:tblGrid>
        <w:gridCol w:w="1820"/>
        <w:gridCol w:w="60"/>
        <w:gridCol w:w="23"/>
        <w:gridCol w:w="60"/>
        <w:gridCol w:w="650"/>
        <w:gridCol w:w="60"/>
        <w:gridCol w:w="2225"/>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OUSTER,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May 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P. Gianella</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Kenneth P. Gianella</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947395dex991.htm"/>
      <w:bookmarkStart w:id="3" w:name="ksd94739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570230" cy="3003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0230" cy="3003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Ouster Announces Results for First Quarter 2026 </w:t>
      </w:r>
    </w:p>
    <w:p>
      <w:pPr>
        <w:pStyle w:val="TextBody"/>
        <w:bidi w:val="0"/>
        <w:spacing w:before="240" w:after="0"/>
        <w:jc w:val="center"/>
        <w:rPr>
          <w:rFonts w:ascii="Times New Roman" w:hAnsi="Times New Roman"/>
          <w:i/>
          <w:sz w:val="20"/>
        </w:rPr>
      </w:pPr>
      <w:r>
        <w:rPr>
          <w:rFonts w:ascii="Times New Roman" w:hAnsi="Times New Roman"/>
          <w:i/>
          <w:sz w:val="20"/>
        </w:rPr>
        <w:t xml:space="preserve">Record product revenue, achieving 13th straight quarter of growth </w:t>
      </w:r>
    </w:p>
    <w:p>
      <w:pPr>
        <w:pStyle w:val="TextBody"/>
        <w:bidi w:val="0"/>
        <w:spacing w:before="0" w:after="0"/>
        <w:jc w:val="center"/>
        <w:rPr>
          <w:rFonts w:ascii="Times New Roman" w:hAnsi="Times New Roman"/>
          <w:i/>
          <w:sz w:val="20"/>
        </w:rPr>
      </w:pPr>
      <w:r>
        <w:rPr>
          <w:rFonts w:ascii="Times New Roman" w:hAnsi="Times New Roman"/>
          <w:i/>
          <w:sz w:val="20"/>
        </w:rPr>
        <w:t xml:space="preserve">Lidar and camera shipments of more than 12,600 units </w:t>
      </w:r>
    </w:p>
    <w:p>
      <w:pPr>
        <w:pStyle w:val="TextBody"/>
        <w:bidi w:val="0"/>
        <w:spacing w:before="0" w:after="0"/>
        <w:jc w:val="center"/>
        <w:rPr>
          <w:rFonts w:ascii="Times New Roman" w:hAnsi="Times New Roman"/>
          <w:i/>
          <w:sz w:val="20"/>
        </w:rPr>
      </w:pPr>
      <w:r>
        <w:rPr>
          <w:rFonts w:ascii="Times New Roman" w:hAnsi="Times New Roman"/>
          <w:i/>
          <w:sz w:val="20"/>
        </w:rPr>
        <w:t xml:space="preserve">New Rev8 OS digital lidar with native color sensing, 2x range and resolution, and functional safety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 – [May 5, 2026 at 4:05 PM ET] – Ouster, Inc. (Nasdaq: OUST) (“Ouster” or the “Company”), a leader in sensing and perception for Physical AI, announced today financial results for the three months ended March 31, 2026. </w:t>
      </w:r>
    </w:p>
    <w:p>
      <w:pPr>
        <w:pStyle w:val="TextBody"/>
        <w:bidi w:val="0"/>
        <w:spacing w:before="240" w:after="0"/>
        <w:jc w:val="left"/>
        <w:rPr/>
      </w:pPr>
      <w:r>
        <w:rPr/>
        <w:t>“</w:t>
      </w:r>
      <w:r>
        <w:rPr>
          <w:rFonts w:ascii="Times New Roman" w:hAnsi="Times New Roman"/>
          <w:sz w:val="20"/>
        </w:rPr>
        <w:t xml:space="preserve">Our first quarter demonstrated strong execution across our portfolio, delivering record product revenue and validating the growing demand for our solutions across key markets. We won new million-dollar contracts for Ouster BlueCity and secured several million-dollar deals to power industrial automation. Stereolabs has already proven to be a perfect complement, and the rapid integration and commercial success of our expanded camera vision portfolio was a tailwind during the quarter, with strong demand from companies building foundational AI models and advanced robotics platforms,” said Ouster CEO Angus Pacala. </w:t>
      </w:r>
    </w:p>
    <w:p>
      <w:pPr>
        <w:pStyle w:val="TextBody"/>
        <w:bidi w:val="0"/>
        <w:spacing w:before="240" w:after="0"/>
        <w:jc w:val="left"/>
        <w:rPr/>
      </w:pPr>
      <w:r>
        <w:rPr/>
        <w:t>“</w:t>
      </w:r>
      <w:r>
        <w:rPr>
          <w:rFonts w:ascii="Times New Roman" w:hAnsi="Times New Roman"/>
          <w:sz w:val="20"/>
        </w:rPr>
        <w:t xml:space="preserve">We are continuing the momentum of our unified sensing and perception platform with the introduction of our revolutionary Rev8 OS family, powered by our next-generation L4 Ouster Silicon. This launch represents a paradigm shift in AI perception as Rev8 sets a new standard for sensing, featuring the world’s first native-color lidar sensors with industry-leading resolution, range, and reliability designed for functional safety, affordability, and scale. By combining native color and perception across our entire product portfolio, we have solidified Ouster’s role as the foundational sensing and perception platform for Physical AI as we provide unified products and solutions that accelerate customer innovation and unlock new applications that sense, think, act, and learn in the physical world.” </w:t>
      </w:r>
    </w:p>
    <w:p>
      <w:pPr>
        <w:pStyle w:val="TextBody"/>
        <w:bidi w:val="0"/>
        <w:spacing w:before="240" w:after="0"/>
        <w:jc w:val="left"/>
        <w:rPr>
          <w:rFonts w:ascii="Times New Roman" w:hAnsi="Times New Roman"/>
          <w:b/>
          <w:sz w:val="20"/>
        </w:rPr>
      </w:pPr>
      <w:r>
        <w:rPr>
          <w:rFonts w:ascii="Times New Roman" w:hAnsi="Times New Roman"/>
          <w:b/>
          <w:sz w:val="20"/>
        </w:rPr>
        <w:t xml:space="preserve">First Quarter 2026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$49 million in revenue, up 49% year over year and down 22% sequentially. Total revenue of $62 million in the fourth quarter of 2025 included royalties of approximately $21 million, primarily one-time and related to long-term IP license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revenue was $48 million, up 55% year over year and 18%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Shipped more than 12,600 lidar and camera sensors for revenue, of which lidar was approximately 65% of the total.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gross margin of 43%, up 200 bps year over year and down 1,700 bps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net loss of $17 million, an improvement of $5 million year over year and down $21 million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gross margin1 of 46%, flat year over year and down 1,600 bps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EBITDA1 loss of $7 million, up $1 million year over year and down $20 million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cash equivalents, restricted cash, and short-term investments of $175 million as of March 31, 2026.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and non-GAAP gross margin are non-GAAP financial measures. See Non-GAAP Financial Measures for additional information and reconciliations of these measures to their respective most directly comparable financial measures calculated in accordance with U.S. GAAP.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Ouster delivered first quarter revenue of $49 million, an increase of 49% year over year and a decrease of 22% sequentially. Product revenue was $48 million, up 55% year over year and 18% sequentially primarily driven by customers in the smart infrastructure and industrial verticals, for use cases in warehouse automation, yard logistics, and intelligent transportation. The Company shipped over 12,600 sensors, of which lidar was approximately 65% of the total. </w:t>
      </w:r>
    </w:p>
    <w:p>
      <w:pPr>
        <w:pStyle w:val="TextBody"/>
        <w:bidi w:val="0"/>
        <w:spacing w:before="360" w:after="0"/>
        <w:jc w:val="left"/>
        <w:rPr>
          <w:rFonts w:ascii="Times New Roman" w:hAnsi="Times New Roman"/>
          <w:i/>
          <w:sz w:val="20"/>
        </w:rPr>
      </w:pPr>
      <w:r>
        <w:rPr>
          <w:rFonts w:ascii="Times New Roman" w:hAnsi="Times New Roman"/>
          <w:i/>
          <w:sz w:val="20"/>
        </w:rPr>
        <w:t xml:space="preserve">Gross Margin </w:t>
      </w:r>
    </w:p>
    <w:p>
      <w:pPr>
        <w:pStyle w:val="TextBody"/>
        <w:bidi w:val="0"/>
        <w:spacing w:before="120" w:after="0"/>
        <w:jc w:val="left"/>
        <w:rPr>
          <w:rFonts w:ascii="Times New Roman" w:hAnsi="Times New Roman"/>
          <w:sz w:val="20"/>
        </w:rPr>
      </w:pPr>
      <w:r>
        <w:rPr>
          <w:rFonts w:ascii="Times New Roman" w:hAnsi="Times New Roman"/>
          <w:sz w:val="20"/>
        </w:rPr>
        <w:t xml:space="preserve">GAAP gross margin was 43%, compared with 41% in the first quarter of 2025 and 60% in the fourth quarter of 2025. Volume growth and operating efficiencies lifted profitability year over year. Non-GAAP gross margin was 46%, compared with 46% in the first quarter of 2025 and 62% in the fourth quarter of 2025. Non-GAAP gross margin excludes the impact of stock-based compensation expenses, and certain other items outside of ordinary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Outlook: </w:t>
      </w:r>
    </w:p>
    <w:p>
      <w:pPr>
        <w:pStyle w:val="TextBody"/>
        <w:bidi w:val="0"/>
        <w:spacing w:before="120" w:after="0"/>
        <w:jc w:val="left"/>
        <w:rPr>
          <w:rFonts w:ascii="Times New Roman" w:hAnsi="Times New Roman"/>
          <w:sz w:val="20"/>
        </w:rPr>
      </w:pPr>
      <w:r>
        <w:rPr>
          <w:rFonts w:ascii="Times New Roman" w:hAnsi="Times New Roman"/>
          <w:sz w:val="20"/>
        </w:rPr>
        <w:t xml:space="preserve">For the second quarter of 2026, Ouster expects to achieve $49.5 million to $52.5 million in total revenue. This includes a full quarter of Stereolabs operations.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Upcoming Investor Events </w:t>
      </w:r>
    </w:p>
    <w:p>
      <w:pPr>
        <w:pStyle w:val="TextBody"/>
        <w:bidi w:val="0"/>
        <w:spacing w:before="120" w:after="0"/>
        <w:jc w:val="left"/>
        <w:rPr>
          <w:rFonts w:ascii="Times New Roman" w:hAnsi="Times New Roman"/>
          <w:sz w:val="20"/>
        </w:rPr>
      </w:pPr>
      <w:r>
        <w:rPr>
          <w:rFonts w:ascii="Times New Roman" w:hAnsi="Times New Roman"/>
          <w:sz w:val="20"/>
        </w:rPr>
        <w:t xml:space="preserve">Ouster management will participate in the following upcoming investor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Craig-Hallum Annual Institutional Investor Conference – May 28, 2026 in Minneapolis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Rosenblatt Securities 6th Annual Age of AI Scaling Summit – June 9, 2026 (virtual)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TD Cowen Inaugural Disruptive Technology Summit – June 17, 2026 in New York City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Ouster will host a conference call and live webcast for analysts and investors at 5:00 p.m. ET today, May 5, 2026 to discuss its financial results and business outlook. Interested parties may listen to a live webcast of the conference call. Registration for the webcast can be completed by visiting the following website: https://edge.media-server.com/mmc/p/pt46y4as. The webcast will be available for replay for at least 30 days after the conference call on Ouster’s investor website at https://investors.ouster.com/.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Ouster </w:t>
      </w:r>
    </w:p>
    <w:p>
      <w:pPr>
        <w:pStyle w:val="TextBody"/>
        <w:bidi w:val="0"/>
        <w:spacing w:before="120" w:after="0"/>
        <w:jc w:val="left"/>
        <w:rPr>
          <w:rFonts w:ascii="Times New Roman" w:hAnsi="Times New Roman"/>
          <w:sz w:val="20"/>
        </w:rPr>
      </w:pPr>
      <w:r>
        <w:rPr>
          <w:rFonts w:ascii="Times New Roman" w:hAnsi="Times New Roman"/>
          <w:sz w:val="20"/>
        </w:rPr>
        <w:t xml:space="preserve">Ouster (Nasdaq: OUST) is a leader in sensing and perception for Physical AI across industrial, robotics, automotive, and smart infrastructure. With a unified platform of high-performance digital lidar, cameras, AI compute, sensor fusion and perception software, and AI models, Ouster delivers solutions that improve quality of life in the physical world. Headquartered in San Francisco, CA, Ouster has a global presence serving thousands of customers with offices in the Americas, Europe, and Asia-Pacific. For more information about our products, visit www.ouster.com, contact our sales team, or connect with us on X or LinkedIn.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The Company intends such forward-looking statements to be covered by the safe harbor provisions for forward-looking statements contained in Section 27A of the Securities Act of 1933, as amended and Section 21E of the Securities Exchange Act of 1934, as amended. Such statements are based upon current plans, estimates and expectations of management that are subject to various risks and uncertainties that could cause actual results to differ materially from such statements. The inclusion of forward-looking statements should not be regarded as a representation that such plans, estimates and expectations will be achieved. Words such as “anticipate,” “expect,” “project,” “intend,” “believe,” “may,” “will,” “should,” “plan,” “could,” “continue,” “target,” “contemplate,” “estimate,” “forecast,” “guidance,” “predict,” “possible,” “potential,” “pursue,” “likely,” and the negative of these terms and similar expressions are intended to identify forward-looking statements, though not all forward-looking statements use these words or expressions. All statements, other than statements of historical fact, including statements regarding our future financial results and financial condition, our strategy, our market positioning, development of and demand for our products, the impact of our recent acquisition of Stereolabs, and future investor conference attendance, constitute forward-looking statements. All forward-looking statements are subject to risks and uncertainties that may cause actual results to differ materially from those that we expected, including, but not limited to, risks related to Ouster’s limited operating history and history of losses; the substantial research and development costs needed to develop and commercialize new products; Ouster’s limited sales history and the ability to maintain confidence in the Company’s long-term business prospect among customers in target markets; fluctuations in its operating results; its ability to maintain competitive average selling prices, high sales volumes and reduce product costs; competition in Ouster’s industry; the negotiating power and product standards of its customers; the adoption of its products and the growth of the lidar market generally; product quality and liability risks; Ouster’s future capital needs and ability to secure additional capital on favorable terms or at all; market acceptance of lidar and Ouster’s forecasts for market growth; Ouster’s ability to manage growth, including growing the sales and marketing organization; risks related to international operations, including international manufacturing; cancellation or postponement of contracts or unsuccessful implementations; the Company’s ability to manage its inventory; credit risk of customers; Ouster’s ability to use tax attributes; Ouster’s dependence on key third party suppliers, in particular Benchmark Electronics, Inc., Fabrinet, and other suppliers; supply chain constraints and challenges; conditions in the industries the Company targets or the global economy; Ouster’s ability to recruit and retain key personnel; its ability to complete, successfully integrate or achieve the anticipated benefits of new acquisitions or investments, including the Stereolabs acquisition; changes to trade policy, tariffs, and import/export regulations may have a material adverse effect on Ouster’s business, financial condition and results of operations; risks related to the use of AI tools by us and others; Ouster’s ability to adequately protect and enforce its intellectual property rights; legal and regulatory risks; risks related to operating as a public company; and other important factors discussed in the Company’s Annual Report on Form 10-K for the year ended December 31, 2025, and updated by the Company’s Quarterly Report on Form 10-Q for the quarterly period ended March 31, 2026, once filed, and as may be further updated from time to time in the Company’s other filings with the SEC. Readers are urged to consider these factors carefully and in the totality of the circumstances when evaluating these forward-looking statements, and not to place undue reliance on any of them. Any such forward-looking statements represent management’s reasonable estimates and beliefs as of the date of this press release. While Ouster may elect to update such forward-looking statements at some point in the future, it disclaims any obligation to do so, other than as may be required by law, even if subsequent events cause its views to change. </w:t>
      </w:r>
    </w:p>
    <w:p>
      <w:pPr>
        <w:pStyle w:val="TextBody"/>
        <w:bidi w:val="0"/>
        <w:spacing w:before="240" w:after="0"/>
        <w:jc w:val="left"/>
        <w:rPr>
          <w:rFonts w:ascii="Times New Roman" w:hAnsi="Times New Roman"/>
          <w:sz w:val="20"/>
        </w:rPr>
      </w:pPr>
      <w:r>
        <w:rPr>
          <w:rFonts w:ascii="Times New Roman" w:hAnsi="Times New Roman"/>
          <w:sz w:val="20"/>
        </w:rPr>
        <w:t xml:space="preserve">In addition, see information below concerning non-GAAP financial measures.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its results determined in accordance with generally accepted accounting principles in the United States (“GAAP”), Ouster believes the non-GAAP measures of Non-GAAP Gross Profit, Non-GAAP Gross Margin and Adjusted EBITDA are useful in evaluating its operating performance. Ouster calculates Non-GAAP Gross Profit as gross profit (loss) excluding amortization of acquired intangibles, acquisition and integration-related charges, and stock-based compensation expense. Non-GAAP Gross Margin is calculated as Non-GAAP Gross Profit divided by revenues. Adjusted EBITDA is calculated as net loss excluding interest expense (income), net, other (income) expense, net, stock-based compensation expense, provision for (benefit from) income taxes, amortization of acquired intangibles, depreciation expenses, acquisition and integration-related charges, certain litigation expenses, gain on lease termination and other items. Ouster believes that Non-GAAP Gross Profit, Non-GAAP Gross Margin, and Adjusted EBITDA may be helpful to investors because it provides consistency and comparability with past financial performance and may be helpful in comparison with other companies, some of which use similar non-GAAP information to supplement their GAAP results. Adjusted EBITDA is also used by the Board and management as a performance metric for compensation purposes. The non-GAAP financial information is presented for supplemental informational purposes only and should not be considered a substitute for financial information presented in accordance with GAAP, and may be different from similarly titled non-GAAP measures used by other companies. Reconciliation tables of the most comparable GAAP financial measures to the non-GAAP financial measures are included at the end of this press release.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OUSTER,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87"/>
        <w:gridCol w:w="301"/>
        <w:gridCol w:w="140"/>
        <w:gridCol w:w="987"/>
        <w:gridCol w:w="155"/>
        <w:gridCol w:w="258"/>
        <w:gridCol w:w="176"/>
        <w:gridCol w:w="1244"/>
        <w:gridCol w:w="157"/>
      </w:tblGrid>
      <w:tr>
        <w:trPr/>
        <w:tc>
          <w:tcPr>
            <w:tcW w:w="6787"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8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7"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78,720</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67,413</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current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647</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1,467</w:t>
            </w:r>
          </w:p>
        </w:tc>
        <w:tc>
          <w:tcPr>
            <w:tcW w:w="157"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94,398</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141,172</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26,195</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27,753</w:t>
            </w:r>
          </w:p>
        </w:tc>
        <w:tc>
          <w:tcPr>
            <w:tcW w:w="157"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29,878</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23,566</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21,169</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17,517</w:t>
            </w:r>
          </w:p>
        </w:tc>
        <w:tc>
          <w:tcPr>
            <w:tcW w:w="157" w:type="dxa"/>
            <w:tcBorders/>
            <w:vAlign w:val="bottom"/>
          </w:tcPr>
          <w:p>
            <w:pPr>
              <w:pStyle w:val="TableContents"/>
              <w:bidi w:val="0"/>
              <w:spacing w:before="0" w:after="283"/>
              <w:jc w:val="left"/>
              <w:rPr/>
            </w:pPr>
            <w:r>
              <w:rPr/>
              <w:t> </w:t>
            </w:r>
          </w:p>
        </w:tc>
      </w:tr>
      <w:tr>
        <w:trPr/>
        <w:tc>
          <w:tcPr>
            <w:tcW w:w="6787"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251,007</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278,888</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33,826</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31,891</w:t>
            </w:r>
          </w:p>
        </w:tc>
        <w:tc>
          <w:tcPr>
            <w:tcW w:w="157"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13,865</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13,452</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38,525</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receivable, non-current portion</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5,240</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8,560</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35,007</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13,316</w:t>
            </w:r>
          </w:p>
        </w:tc>
        <w:tc>
          <w:tcPr>
            <w:tcW w:w="157"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non-current</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1,100</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1,100</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2,942</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2,309</w:t>
            </w:r>
          </w:p>
        </w:tc>
        <w:tc>
          <w:tcPr>
            <w:tcW w:w="157" w:type="dxa"/>
            <w:tcBorders/>
            <w:vAlign w:val="bottom"/>
          </w:tcPr>
          <w:p>
            <w:pPr>
              <w:pStyle w:val="TableContents"/>
              <w:bidi w:val="0"/>
              <w:spacing w:before="0" w:after="283"/>
              <w:jc w:val="left"/>
              <w:rPr/>
            </w:pPr>
            <w:r>
              <w:rPr/>
              <w:t> </w:t>
            </w:r>
          </w:p>
        </w:tc>
      </w:tr>
      <w:tr>
        <w:trPr/>
        <w:tc>
          <w:tcPr>
            <w:tcW w:w="6787"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381,512</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349,516</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17,403</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19,984</w:t>
            </w:r>
          </w:p>
        </w:tc>
        <w:tc>
          <w:tcPr>
            <w:tcW w:w="157"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and other current liabilities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38,193</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26,200</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 current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24,159</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20,705</w:t>
            </w:r>
          </w:p>
        </w:tc>
        <w:tc>
          <w:tcPr>
            <w:tcW w:w="157"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 portion</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4,561</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4,142</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84,316</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71,031</w:t>
            </w:r>
          </w:p>
        </w:tc>
        <w:tc>
          <w:tcPr>
            <w:tcW w:w="157"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non-current portion</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12,824</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12,938</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 non-current portion</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2,951</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3,106</w:t>
            </w:r>
          </w:p>
        </w:tc>
        <w:tc>
          <w:tcPr>
            <w:tcW w:w="157"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5,147</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653</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703</w:t>
            </w:r>
          </w:p>
        </w:tc>
        <w:tc>
          <w:tcPr>
            <w:tcW w:w="157" w:type="dxa"/>
            <w:tcBorders/>
            <w:vAlign w:val="bottom"/>
          </w:tcPr>
          <w:p>
            <w:pPr>
              <w:pStyle w:val="TableContents"/>
              <w:bidi w:val="0"/>
              <w:spacing w:before="0" w:after="283"/>
              <w:jc w:val="left"/>
              <w:rPr/>
            </w:pPr>
            <w:r>
              <w:rPr/>
              <w:t> </w:t>
            </w:r>
          </w:p>
        </w:tc>
      </w:tr>
      <w:tr>
        <w:trPr/>
        <w:tc>
          <w:tcPr>
            <w:tcW w:w="6787"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105,891</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87,778</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48</w:t>
            </w:r>
          </w:p>
        </w:tc>
        <w:tc>
          <w:tcPr>
            <w:tcW w:w="157"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1,267,048</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1,235,580</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(990,913</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(973,448</w:t>
            </w:r>
          </w:p>
        </w:tc>
        <w:tc>
          <w:tcPr>
            <w:tcW w:w="157"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 income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(562</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(442</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275,621</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261,738</w:t>
            </w:r>
          </w:p>
        </w:tc>
        <w:tc>
          <w:tcPr>
            <w:tcW w:w="157" w:type="dxa"/>
            <w:tcBorders/>
            <w:vAlign w:val="bottom"/>
          </w:tcPr>
          <w:p>
            <w:pPr>
              <w:pStyle w:val="TableContents"/>
              <w:bidi w:val="0"/>
              <w:spacing w:before="0" w:after="283"/>
              <w:jc w:val="left"/>
              <w:rPr/>
            </w:pPr>
            <w:r>
              <w:rPr/>
              <w:t> </w:t>
            </w:r>
          </w:p>
        </w:tc>
      </w:tr>
      <w:tr>
        <w:trPr/>
        <w:tc>
          <w:tcPr>
            <w:tcW w:w="6787"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381,512</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349,516</w:t>
            </w:r>
          </w:p>
        </w:tc>
        <w:tc>
          <w:tcPr>
            <w:tcW w:w="157" w:type="dxa"/>
            <w:tcBorders/>
            <w:shd w:fill="CCEEFF" w:val="clear"/>
            <w:vAlign w:val="bottom"/>
          </w:tcPr>
          <w:p>
            <w:pPr>
              <w:pStyle w:val="TableContents"/>
              <w:bidi w:val="0"/>
              <w:spacing w:before="0" w:after="283"/>
              <w:jc w:val="left"/>
              <w:rPr/>
            </w:pPr>
            <w:r>
              <w:rPr/>
              <w:t> </w:t>
            </w:r>
          </w:p>
        </w:tc>
      </w:tr>
      <w:tr>
        <w:trPr/>
        <w:tc>
          <w:tcPr>
            <w:tcW w:w="6787"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OUSTER,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18"/>
        <w:gridCol w:w="314"/>
        <w:gridCol w:w="140"/>
        <w:gridCol w:w="1119"/>
        <w:gridCol w:w="155"/>
        <w:gridCol w:w="265"/>
        <w:gridCol w:w="140"/>
        <w:gridCol w:w="1119"/>
        <w:gridCol w:w="155"/>
        <w:gridCol w:w="265"/>
        <w:gridCol w:w="152"/>
        <w:gridCol w:w="1204"/>
        <w:gridCol w:w="159"/>
      </w:tblGrid>
      <w:tr>
        <w:trPr/>
        <w:tc>
          <w:tcPr>
            <w:tcW w:w="5018"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9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December 31,</w:t>
            </w:r>
          </w:p>
        </w:tc>
        <w:tc>
          <w:tcPr>
            <w:tcW w:w="159" w:type="dxa"/>
            <w:tcBorders/>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Product revenue</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48,231</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31,105</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40,971</w:t>
            </w:r>
          </w:p>
        </w:tc>
        <w:tc>
          <w:tcPr>
            <w:tcW w:w="159" w:type="dxa"/>
            <w:tcBorders/>
            <w:vAlign w:val="bottom"/>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Royalties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347</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1,527</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21,207</w:t>
            </w:r>
          </w:p>
        </w:tc>
        <w:tc>
          <w:tcPr>
            <w:tcW w:w="159" w:type="dxa"/>
            <w:tcBorders/>
            <w:shd w:fill="CCEEFF" w:val="clear"/>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48,578</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32,632</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62,178</w:t>
            </w:r>
          </w:p>
        </w:tc>
        <w:tc>
          <w:tcPr>
            <w:tcW w:w="159" w:type="dxa"/>
            <w:tcBorders/>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27,740</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19,149</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24,726</w:t>
            </w:r>
          </w:p>
        </w:tc>
        <w:tc>
          <w:tcPr>
            <w:tcW w:w="159" w:type="dxa"/>
            <w:tcBorders/>
            <w:shd w:fill="CCEEFF" w:val="clear"/>
            <w:vAlign w:val="bottom"/>
          </w:tcPr>
          <w:p>
            <w:pPr>
              <w:pStyle w:val="TableContents"/>
              <w:bidi w:val="0"/>
              <w:spacing w:before="0" w:after="283"/>
              <w:jc w:val="left"/>
              <w:rPr/>
            </w:pPr>
            <w:r>
              <w:rPr/>
              <w:t> </w:t>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20,838</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13,483</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37,452</w:t>
            </w:r>
          </w:p>
        </w:tc>
        <w:tc>
          <w:tcPr>
            <w:tcW w:w="159" w:type="dxa"/>
            <w:tcBorders/>
            <w:vAlign w:val="bottom"/>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16,082</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14,985</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15,261</w:t>
            </w:r>
          </w:p>
        </w:tc>
        <w:tc>
          <w:tcPr>
            <w:tcW w:w="159" w:type="dxa"/>
            <w:tcBorders/>
            <w:vAlign w:val="bottom"/>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7,840</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6,423</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6,782</w:t>
            </w:r>
          </w:p>
        </w:tc>
        <w:tc>
          <w:tcPr>
            <w:tcW w:w="159" w:type="dxa"/>
            <w:tcBorders/>
            <w:shd w:fill="CCEEFF" w:val="clear"/>
            <w:vAlign w:val="bottom"/>
          </w:tcPr>
          <w:p>
            <w:pPr>
              <w:pStyle w:val="TableContents"/>
              <w:bidi w:val="0"/>
              <w:spacing w:before="0" w:after="283"/>
              <w:jc w:val="left"/>
              <w:rPr/>
            </w:pPr>
            <w:r>
              <w:rPr/>
              <w:t> </w:t>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16,128</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15,905</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14,505</w:t>
            </w:r>
          </w:p>
        </w:tc>
        <w:tc>
          <w:tcPr>
            <w:tcW w:w="159" w:type="dxa"/>
            <w:tcBorders/>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40,050</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37,313</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36,548</w:t>
            </w:r>
          </w:p>
        </w:tc>
        <w:tc>
          <w:tcPr>
            <w:tcW w:w="159" w:type="dxa"/>
            <w:tcBorders/>
            <w:shd w:fill="CCEEFF" w:val="clear"/>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(19,212</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(23,830</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904</w:t>
            </w:r>
          </w:p>
        </w:tc>
        <w:tc>
          <w:tcPr>
            <w:tcW w:w="159" w:type="dxa"/>
            <w:tcBorders/>
            <w:vAlign w:val="bottom"/>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2,474</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1,705</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2,746</w:t>
            </w:r>
          </w:p>
        </w:tc>
        <w:tc>
          <w:tcPr>
            <w:tcW w:w="159" w:type="dxa"/>
            <w:tcBorders/>
            <w:vAlign w:val="bottom"/>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(175</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303</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749</w:t>
            </w:r>
          </w:p>
        </w:tc>
        <w:tc>
          <w:tcPr>
            <w:tcW w:w="159" w:type="dxa"/>
            <w:tcBorders/>
            <w:shd w:fill="CCEEFF" w:val="clear"/>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2,299</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2,008</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3,495</w:t>
            </w:r>
          </w:p>
        </w:tc>
        <w:tc>
          <w:tcPr>
            <w:tcW w:w="159" w:type="dxa"/>
            <w:tcBorders/>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(16,913</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(21,822</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4,399</w:t>
            </w:r>
          </w:p>
        </w:tc>
        <w:tc>
          <w:tcPr>
            <w:tcW w:w="159" w:type="dxa"/>
            <w:tcBorders/>
            <w:shd w:fill="CCEEFF" w:val="clear"/>
            <w:vAlign w:val="bottom"/>
          </w:tcPr>
          <w:p>
            <w:pPr>
              <w:pStyle w:val="TableContents"/>
              <w:bidi w:val="0"/>
              <w:spacing w:before="0" w:after="283"/>
              <w:jc w:val="left"/>
              <w:rPr/>
            </w:pPr>
            <w:r>
              <w:rPr/>
              <w:t> </w:t>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 expense</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552</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414</w:t>
            </w:r>
          </w:p>
        </w:tc>
        <w:tc>
          <w:tcPr>
            <w:tcW w:w="159" w:type="dxa"/>
            <w:tcBorders/>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(17,465</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(22,017</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3,985</w:t>
            </w:r>
          </w:p>
        </w:tc>
        <w:tc>
          <w:tcPr>
            <w:tcW w:w="159" w:type="dxa"/>
            <w:tcBorders/>
            <w:shd w:fill="CCEEFF" w:val="clear"/>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unrealized gain (loss) on available for sale securities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42</w:t>
            </w:r>
          </w:p>
        </w:tc>
        <w:tc>
          <w:tcPr>
            <w:tcW w:w="159" w:type="dxa"/>
            <w:tcBorders/>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income (loss)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(17,585</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(21,891</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4,025</w:t>
            </w:r>
          </w:p>
        </w:tc>
        <w:tc>
          <w:tcPr>
            <w:tcW w:w="159" w:type="dxa"/>
            <w:tcBorders/>
            <w:shd w:fill="CCEEFF" w:val="clear"/>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common share:</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(0.28</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(0.42</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0.07</w:t>
            </w:r>
          </w:p>
        </w:tc>
        <w:tc>
          <w:tcPr>
            <w:tcW w:w="159" w:type="dxa"/>
            <w:tcBorders/>
            <w:shd w:fill="CCEEFF" w:val="clear"/>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(0.28</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(0.42</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0.06</w:t>
            </w:r>
          </w:p>
        </w:tc>
        <w:tc>
          <w:tcPr>
            <w:tcW w:w="159" w:type="dxa"/>
            <w:tcBorders/>
            <w:vAlign w:val="bottom"/>
          </w:tcPr>
          <w:p>
            <w:pPr>
              <w:pStyle w:val="TableContents"/>
              <w:bidi w:val="0"/>
              <w:spacing w:before="0" w:after="283"/>
              <w:jc w:val="left"/>
              <w:rPr/>
            </w:pPr>
            <w:r>
              <w:rPr/>
              <w:t> </w:t>
            </w:r>
          </w:p>
        </w:tc>
      </w:tr>
      <w:tr>
        <w:trPr/>
        <w:tc>
          <w:tcPr>
            <w:tcW w:w="501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used to compute basic and diluted net income (loss) per share</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01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61,824,843</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52,488,199</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60,468,355</w:t>
            </w:r>
          </w:p>
        </w:tc>
        <w:tc>
          <w:tcPr>
            <w:tcW w:w="159" w:type="dxa"/>
            <w:tcBorders/>
            <w:vAlign w:val="bottom"/>
          </w:tcPr>
          <w:p>
            <w:pPr>
              <w:pStyle w:val="TableContents"/>
              <w:bidi w:val="0"/>
              <w:spacing w:before="0" w:after="283"/>
              <w:jc w:val="left"/>
              <w:rPr/>
            </w:pPr>
            <w:r>
              <w:rPr/>
              <w:t> </w:t>
            </w:r>
          </w:p>
        </w:tc>
      </w:tr>
      <w:tr>
        <w:trPr/>
        <w:tc>
          <w:tcPr>
            <w:tcW w:w="5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61,824,843</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52,488,199</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64,733,573</w:t>
            </w:r>
          </w:p>
        </w:tc>
        <w:tc>
          <w:tcPr>
            <w:tcW w:w="159"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OUSTER,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70"/>
        <w:gridCol w:w="160"/>
        <w:gridCol w:w="227"/>
        <w:gridCol w:w="1233"/>
        <w:gridCol w:w="252"/>
        <w:gridCol w:w="142"/>
        <w:gridCol w:w="227"/>
        <w:gridCol w:w="1236"/>
        <w:gridCol w:w="158"/>
      </w:tblGrid>
      <w:tr>
        <w:trPr/>
        <w:tc>
          <w:tcPr>
            <w:tcW w:w="657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3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65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233" w:type="dxa"/>
            <w:tcBorders/>
            <w:vAlign w:val="bottom"/>
          </w:tcPr>
          <w:p>
            <w:pPr>
              <w:pStyle w:val="TableContents"/>
              <w:bidi w:val="0"/>
              <w:spacing w:before="0" w:after="283"/>
              <w:jc w:val="right"/>
              <w:rPr/>
            </w:pPr>
            <w:r>
              <w:rPr/>
              <w:t>(17,465</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(22,017</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2,703</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1,795</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write-off and disposal of property and equipment</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16</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Gain on lease termination</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— </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(65</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7,494</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8,498</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taxes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(360</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Reduction of revenue related to stock warrant issued to customer</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1,101</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397</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right-of-use asset</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820</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1,245</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on short-term investments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(454</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(822</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— </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(112</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(Recovery) provision for inventory write-down</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(488</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261</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Recovery of doubtful accounts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— </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Realized gain on sale of available for sale securities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(9</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effects of business acquisition:</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6,472</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4,137</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(3,665</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1,051</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(153</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(3,883</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(3,536</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4,120</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and other liabilities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134</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8,691</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1,020</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(6,515</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(895</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(1,660</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(7,281</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(4,879</w:t>
            </w:r>
          </w:p>
        </w:tc>
        <w:tc>
          <w:tcPr>
            <w:tcW w:w="158" w:type="dxa"/>
            <w:tcBorders/>
            <w:vAlign w:val="bottom"/>
          </w:tcPr>
          <w:p>
            <w:pPr>
              <w:pStyle w:val="TableContents"/>
              <w:bidi w:val="0"/>
              <w:spacing w:before="0" w:after="283"/>
              <w:jc w:val="left"/>
              <w:rPr/>
            </w:pPr>
            <w:r>
              <w:rPr/>
              <w:t>) </w:t>
            </w:r>
          </w:p>
        </w:tc>
      </w:tr>
      <w:tr>
        <w:trPr/>
        <w:tc>
          <w:tcPr>
            <w:tcW w:w="657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(2,561</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(552</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short-term investments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(10,802</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(13,858</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sales and maturities of short-term investments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57,919</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27,000</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Stereolabs, net of cash acquired</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(27,493</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17,063</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12,590</w:t>
            </w:r>
          </w:p>
        </w:tc>
        <w:tc>
          <w:tcPr>
            <w:tcW w:w="158" w:type="dxa"/>
            <w:tcBorders/>
            <w:vAlign w:val="bottom"/>
          </w:tcPr>
          <w:p>
            <w:pPr>
              <w:pStyle w:val="TableContents"/>
              <w:bidi w:val="0"/>
              <w:spacing w:before="0" w:after="283"/>
              <w:jc w:val="left"/>
              <w:rPr/>
            </w:pPr>
            <w:r>
              <w:rPr/>
              <w:t> </w:t>
            </w:r>
          </w:p>
        </w:tc>
      </w:tr>
      <w:tr>
        <w:trPr/>
        <w:tc>
          <w:tcPr>
            <w:tcW w:w="657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94</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28</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received to fund employees tax obligation for vested RSUs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611</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632</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705</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660</w:t>
            </w:r>
          </w:p>
        </w:tc>
        <w:tc>
          <w:tcPr>
            <w:tcW w:w="158" w:type="dxa"/>
            <w:tcBorders/>
            <w:vAlign w:val="bottom"/>
          </w:tcPr>
          <w:p>
            <w:pPr>
              <w:pStyle w:val="TableContents"/>
              <w:bidi w:val="0"/>
              <w:spacing w:before="0" w:after="283"/>
              <w:jc w:val="left"/>
              <w:rPr/>
            </w:pPr>
            <w:r>
              <w:rPr/>
              <w:t> </w:t>
            </w:r>
          </w:p>
        </w:tc>
      </w:tr>
      <w:tr>
        <w:trPr/>
        <w:tc>
          <w:tcPr>
            <w:tcW w:w="657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rates on cash and cash equivalents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80</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10,487</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8,451</w:t>
            </w:r>
          </w:p>
        </w:tc>
        <w:tc>
          <w:tcPr>
            <w:tcW w:w="158" w:type="dxa"/>
            <w:tcBorders/>
            <w:vAlign w:val="bottom"/>
          </w:tcPr>
          <w:p>
            <w:pPr>
              <w:pStyle w:val="TableContents"/>
              <w:bidi w:val="0"/>
              <w:spacing w:before="0" w:after="283"/>
              <w:jc w:val="left"/>
              <w:rPr/>
            </w:pPr>
            <w:r>
              <w:rPr/>
              <w:t> </w:t>
            </w:r>
          </w:p>
        </w:tc>
      </w:tr>
      <w:tr>
        <w:trPr/>
        <w:tc>
          <w:tcPr>
            <w:tcW w:w="6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69,980</w:t>
            </w:r>
          </w:p>
        </w:tc>
        <w:tc>
          <w:tcPr>
            <w:tcW w:w="25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48,099</w:t>
            </w:r>
          </w:p>
        </w:tc>
        <w:tc>
          <w:tcPr>
            <w:tcW w:w="158" w:type="dxa"/>
            <w:tcBorders/>
            <w:shd w:fill="CCEEFF" w:val="clear"/>
            <w:vAlign w:val="bottom"/>
          </w:tcPr>
          <w:p>
            <w:pPr>
              <w:pStyle w:val="TableContents"/>
              <w:bidi w:val="0"/>
              <w:spacing w:before="0" w:after="283"/>
              <w:jc w:val="left"/>
              <w:rPr/>
            </w:pPr>
            <w:r>
              <w:rPr/>
              <w:t> </w:t>
            </w:r>
          </w:p>
        </w:tc>
      </w:tr>
      <w:tr>
        <w:trPr/>
        <w:tc>
          <w:tcPr>
            <w:tcW w:w="657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70"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233" w:type="dxa"/>
            <w:tcBorders/>
            <w:vAlign w:val="bottom"/>
          </w:tcPr>
          <w:p>
            <w:pPr>
              <w:pStyle w:val="TableContents"/>
              <w:bidi w:val="0"/>
              <w:spacing w:before="0" w:after="283"/>
              <w:jc w:val="right"/>
              <w:rPr/>
            </w:pPr>
            <w:r>
              <w:rPr/>
              <w:t>80,467</w:t>
            </w:r>
          </w:p>
        </w:tc>
        <w:tc>
          <w:tcPr>
            <w:tcW w:w="2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56,550</w:t>
            </w:r>
          </w:p>
        </w:tc>
        <w:tc>
          <w:tcPr>
            <w:tcW w:w="158" w:type="dxa"/>
            <w:tcBorders/>
            <w:vAlign w:val="bottom"/>
          </w:tcPr>
          <w:p>
            <w:pPr>
              <w:pStyle w:val="TableContents"/>
              <w:bidi w:val="0"/>
              <w:spacing w:before="0" w:after="283"/>
              <w:jc w:val="left"/>
              <w:rPr/>
            </w:pPr>
            <w:r>
              <w:rPr/>
              <w:t> </w:t>
            </w:r>
          </w:p>
        </w:tc>
      </w:tr>
      <w:tr>
        <w:trPr/>
        <w:tc>
          <w:tcPr>
            <w:tcW w:w="657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233" w:type="dxa"/>
            <w:tcBorders/>
            <w:vAlign w:val="bottom"/>
          </w:tcPr>
          <w:p>
            <w:pPr>
              <w:pStyle w:val="TableContents"/>
              <w:pBdr>
                <w:top w:val="double" w:sz="6"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OUSTER, INC. </w:t>
      </w:r>
    </w:p>
    <w:p>
      <w:pPr>
        <w:pStyle w:val="TextBody"/>
        <w:bidi w:val="0"/>
        <w:spacing w:before="120" w:after="0"/>
        <w:jc w:val="center"/>
        <w:rPr>
          <w:rFonts w:ascii="Times New Roman" w:hAnsi="Times New Roman"/>
          <w:b/>
          <w:sz w:val="20"/>
        </w:rPr>
      </w:pPr>
      <w:r>
        <w:rPr>
          <w:rFonts w:ascii="Times New Roman" w:hAnsi="Times New Roman"/>
          <w:b/>
          <w:sz w:val="20"/>
        </w:rPr>
        <w:t xml:space="preserve">RECONCILIATION OF GAAP TO NON-GAAP FINANCIAL MEASURES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77"/>
        <w:gridCol w:w="250"/>
        <w:gridCol w:w="140"/>
        <w:gridCol w:w="806"/>
        <w:gridCol w:w="155"/>
        <w:gridCol w:w="197"/>
        <w:gridCol w:w="140"/>
        <w:gridCol w:w="806"/>
        <w:gridCol w:w="155"/>
        <w:gridCol w:w="197"/>
        <w:gridCol w:w="378"/>
        <w:gridCol w:w="1944"/>
        <w:gridCol w:w="160"/>
      </w:tblGrid>
      <w:tr>
        <w:trPr/>
        <w:tc>
          <w:tcPr>
            <w:tcW w:w="4877"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2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3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3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net income (loss)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(17,465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(22,017</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944" w:type="dxa"/>
            <w:tcBorders/>
            <w:shd w:fill="CCEEFF" w:val="clear"/>
            <w:vAlign w:val="bottom"/>
          </w:tcPr>
          <w:p>
            <w:pPr>
              <w:pStyle w:val="TableContents"/>
              <w:bidi w:val="0"/>
              <w:spacing w:before="0" w:after="283"/>
              <w:jc w:val="right"/>
              <w:rPr/>
            </w:pPr>
            <w:r>
              <w:rPr/>
              <w:t>3,985</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(2,474</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(1,705</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44" w:type="dxa"/>
            <w:tcBorders/>
            <w:vAlign w:val="bottom"/>
          </w:tcPr>
          <w:p>
            <w:pPr>
              <w:pStyle w:val="TableContents"/>
              <w:bidi w:val="0"/>
              <w:spacing w:before="0" w:after="283"/>
              <w:jc w:val="right"/>
              <w:rPr/>
            </w:pPr>
            <w:r>
              <w:rPr/>
              <w:t>(2,746</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175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(303</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944" w:type="dxa"/>
            <w:tcBorders/>
            <w:shd w:fill="CCEEFF" w:val="clear"/>
            <w:vAlign w:val="bottom"/>
          </w:tcPr>
          <w:p>
            <w:pPr>
              <w:pStyle w:val="TableContents"/>
              <w:bidi w:val="0"/>
              <w:spacing w:before="0" w:after="283"/>
              <w:jc w:val="right"/>
              <w:rPr/>
            </w:pPr>
            <w:r>
              <w:rPr/>
              <w:t>(749</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expense(1)</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7,494</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8,498</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44" w:type="dxa"/>
            <w:tcBorders/>
            <w:vAlign w:val="bottom"/>
          </w:tcPr>
          <w:p>
            <w:pPr>
              <w:pStyle w:val="TableContents"/>
              <w:bidi w:val="0"/>
              <w:spacing w:before="0" w:after="283"/>
              <w:jc w:val="right"/>
              <w:rPr/>
            </w:pPr>
            <w:r>
              <w:rPr/>
              <w:t>7,271</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 expense</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552</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195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944" w:type="dxa"/>
            <w:tcBorders/>
            <w:shd w:fill="CCEEFF" w:val="clear"/>
            <w:vAlign w:val="bottom"/>
          </w:tcPr>
          <w:p>
            <w:pPr>
              <w:pStyle w:val="TableContents"/>
              <w:bidi w:val="0"/>
              <w:spacing w:before="0" w:after="283"/>
              <w:jc w:val="right"/>
              <w:rPr/>
            </w:pPr>
            <w:r>
              <w:rPr/>
              <w:t>414</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intangibles(2)</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1,709</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1,120</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44" w:type="dxa"/>
            <w:tcBorders/>
            <w:vAlign w:val="bottom"/>
          </w:tcPr>
          <w:p>
            <w:pPr>
              <w:pStyle w:val="TableContents"/>
              <w:bidi w:val="0"/>
              <w:spacing w:before="0" w:after="283"/>
              <w:jc w:val="right"/>
              <w:rPr/>
            </w:pPr>
            <w:r>
              <w:rPr/>
              <w:t>1,134</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expense(2)</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994</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675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944" w:type="dxa"/>
            <w:tcBorders/>
            <w:shd w:fill="CCEEFF" w:val="clear"/>
            <w:vAlign w:val="bottom"/>
          </w:tcPr>
          <w:p>
            <w:pPr>
              <w:pStyle w:val="TableContents"/>
              <w:bidi w:val="0"/>
              <w:spacing w:before="0" w:after="283"/>
              <w:jc w:val="right"/>
              <w:rPr/>
            </w:pPr>
            <w:r>
              <w:rPr/>
              <w:t>941</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and integration-related charges(4)</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2,252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44" w:type="dxa"/>
            <w:tcBorders/>
            <w:vAlign w:val="bottom"/>
          </w:tcPr>
          <w:p>
            <w:pPr>
              <w:pStyle w:val="TableContents"/>
              <w:bidi w:val="0"/>
              <w:spacing w:before="0" w:after="283"/>
              <w:jc w:val="right"/>
              <w:rPr/>
            </w:pPr>
            <w:r>
              <w:rPr/>
              <w:t>2,537</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Litigation (recovery) expenses(3)</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5,793</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944" w:type="dxa"/>
            <w:tcBorders/>
            <w:shd w:fill="CCEEFF" w:val="clear"/>
            <w:vAlign w:val="bottom"/>
          </w:tcPr>
          <w:p>
            <w:pPr>
              <w:pStyle w:val="TableContents"/>
              <w:bidi w:val="0"/>
              <w:spacing w:before="0" w:after="283"/>
              <w:jc w:val="right"/>
              <w:rPr/>
            </w:pPr>
            <w:r>
              <w:rPr/>
              <w:t>358</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Gain on lease termination</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4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9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(6,882</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(7,809</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944" w:type="dxa"/>
            <w:tcBorders/>
            <w:shd w:fill="CCEEFF" w:val="clear"/>
            <w:vAlign w:val="bottom"/>
          </w:tcPr>
          <w:p>
            <w:pPr>
              <w:pStyle w:val="TableContents"/>
              <w:bidi w:val="0"/>
              <w:spacing w:before="0" w:after="283"/>
              <w:jc w:val="right"/>
              <w:rPr/>
            </w:pPr>
            <w:r>
              <w:rPr/>
              <w:t>13,145</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94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stock-based compensation expense as follows: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27"/>
        <w:gridCol w:w="294"/>
        <w:gridCol w:w="140"/>
        <w:gridCol w:w="571"/>
        <w:gridCol w:w="60"/>
        <w:gridCol w:w="294"/>
        <w:gridCol w:w="140"/>
        <w:gridCol w:w="571"/>
        <w:gridCol w:w="60"/>
        <w:gridCol w:w="294"/>
        <w:gridCol w:w="297"/>
        <w:gridCol w:w="1190"/>
        <w:gridCol w:w="67"/>
      </w:tblGrid>
      <w:tr>
        <w:trPr/>
        <w:tc>
          <w:tcPr>
            <w:tcW w:w="6227"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6227"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7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March 31,</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December 31,</w:t>
            </w:r>
          </w:p>
        </w:tc>
        <w:tc>
          <w:tcPr>
            <w:tcW w:w="67" w:type="dxa"/>
            <w:tcBorders/>
            <w:vAlign w:val="bottom"/>
          </w:tcPr>
          <w:p>
            <w:pPr>
              <w:pStyle w:val="TableContents"/>
              <w:bidi w:val="0"/>
              <w:spacing w:before="0" w:after="283"/>
              <w:jc w:val="left"/>
              <w:rPr/>
            </w:pPr>
            <w:r>
              <w:rPr/>
              <w:t> </w:t>
            </w:r>
          </w:p>
        </w:tc>
      </w:tr>
      <w:tr>
        <w:trPr/>
        <w:tc>
          <w:tcPr>
            <w:tcW w:w="6227"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6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826</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1,137</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901</w:t>
            </w:r>
          </w:p>
        </w:tc>
        <w:tc>
          <w:tcPr>
            <w:tcW w:w="67" w:type="dxa"/>
            <w:tcBorders/>
            <w:shd w:fill="CCEEFF" w:val="clear"/>
            <w:vAlign w:val="bottom"/>
          </w:tcPr>
          <w:p>
            <w:pPr>
              <w:pStyle w:val="TableContents"/>
              <w:bidi w:val="0"/>
              <w:spacing w:before="0" w:after="283"/>
              <w:jc w:val="left"/>
              <w:rPr/>
            </w:pPr>
            <w:r>
              <w:rPr/>
              <w:t> </w:t>
            </w:r>
          </w:p>
        </w:tc>
      </w:tr>
      <w:tr>
        <w:trPr/>
        <w:tc>
          <w:tcPr>
            <w:tcW w:w="622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2,616</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4,305</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2,829</w:t>
            </w:r>
          </w:p>
        </w:tc>
        <w:tc>
          <w:tcPr>
            <w:tcW w:w="67" w:type="dxa"/>
            <w:tcBorders/>
            <w:vAlign w:val="bottom"/>
          </w:tcPr>
          <w:p>
            <w:pPr>
              <w:pStyle w:val="TableContents"/>
              <w:bidi w:val="0"/>
              <w:spacing w:before="0" w:after="283"/>
              <w:jc w:val="left"/>
              <w:rPr/>
            </w:pPr>
            <w:r>
              <w:rPr/>
              <w:t> </w:t>
            </w:r>
          </w:p>
        </w:tc>
      </w:tr>
      <w:tr>
        <w:trPr/>
        <w:tc>
          <w:tcPr>
            <w:tcW w:w="6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766</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1,106</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854</w:t>
            </w:r>
          </w:p>
        </w:tc>
        <w:tc>
          <w:tcPr>
            <w:tcW w:w="67" w:type="dxa"/>
            <w:tcBorders/>
            <w:shd w:fill="CCEEFF" w:val="clear"/>
            <w:vAlign w:val="bottom"/>
          </w:tcPr>
          <w:p>
            <w:pPr>
              <w:pStyle w:val="TableContents"/>
              <w:bidi w:val="0"/>
              <w:spacing w:before="0" w:after="283"/>
              <w:jc w:val="left"/>
              <w:rPr/>
            </w:pPr>
            <w:r>
              <w:rPr/>
              <w:t> </w:t>
            </w:r>
          </w:p>
        </w:tc>
      </w:tr>
      <w:tr>
        <w:trPr/>
        <w:tc>
          <w:tcPr>
            <w:tcW w:w="622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3,286</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1,950</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2,687</w:t>
            </w:r>
          </w:p>
        </w:tc>
        <w:tc>
          <w:tcPr>
            <w:tcW w:w="67" w:type="dxa"/>
            <w:tcBorders/>
            <w:vAlign w:val="bottom"/>
          </w:tcPr>
          <w:p>
            <w:pPr>
              <w:pStyle w:val="TableContents"/>
              <w:bidi w:val="0"/>
              <w:spacing w:before="0" w:after="283"/>
              <w:jc w:val="left"/>
              <w:rPr/>
            </w:pPr>
            <w:r>
              <w:rPr/>
              <w:t> </w:t>
            </w:r>
          </w:p>
        </w:tc>
      </w:tr>
      <w:tr>
        <w:trPr/>
        <w:tc>
          <w:tcPr>
            <w:tcW w:w="6227"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6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7,494</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8,498</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7,271</w:t>
            </w:r>
          </w:p>
        </w:tc>
        <w:tc>
          <w:tcPr>
            <w:tcW w:w="67" w:type="dxa"/>
            <w:tcBorders/>
            <w:shd w:fill="CCEEFF" w:val="clear"/>
            <w:vAlign w:val="bottom"/>
          </w:tcPr>
          <w:p>
            <w:pPr>
              <w:pStyle w:val="TableContents"/>
              <w:bidi w:val="0"/>
              <w:spacing w:before="0" w:after="283"/>
              <w:jc w:val="left"/>
              <w:rPr/>
            </w:pPr>
            <w:r>
              <w:rPr/>
              <w:t> </w:t>
            </w:r>
          </w:p>
        </w:tc>
      </w:tr>
      <w:tr>
        <w:trPr/>
        <w:tc>
          <w:tcPr>
            <w:tcW w:w="6227"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depreciation and amortization expense as follows: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0"/>
        <w:gridCol w:w="330"/>
        <w:gridCol w:w="140"/>
        <w:gridCol w:w="563"/>
        <w:gridCol w:w="60"/>
        <w:gridCol w:w="330"/>
        <w:gridCol w:w="140"/>
        <w:gridCol w:w="563"/>
        <w:gridCol w:w="60"/>
        <w:gridCol w:w="330"/>
        <w:gridCol w:w="456"/>
        <w:gridCol w:w="1879"/>
        <w:gridCol w:w="64"/>
      </w:tblGrid>
      <w:tr>
        <w:trPr/>
        <w:tc>
          <w:tcPr>
            <w:tcW w:w="529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9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7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March 31,</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3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64" w:type="dxa"/>
            <w:tcBorders/>
            <w:vAlign w:val="bottom"/>
          </w:tcPr>
          <w:p>
            <w:pPr>
              <w:pStyle w:val="TableContents"/>
              <w:bidi w:val="0"/>
              <w:spacing w:before="0" w:after="283"/>
              <w:jc w:val="left"/>
              <w:rPr/>
            </w:pPr>
            <w:r>
              <w:rPr/>
              <w:t> </w:t>
            </w:r>
          </w:p>
        </w:tc>
      </w:tr>
      <w:tr>
        <w:trPr/>
        <w:tc>
          <w:tcPr>
            <w:tcW w:w="529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3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1,311</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924</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w:t>
            </w:r>
          </w:p>
        </w:tc>
        <w:tc>
          <w:tcPr>
            <w:tcW w:w="1879" w:type="dxa"/>
            <w:tcBorders/>
            <w:shd w:fill="CCEEFF" w:val="clear"/>
            <w:vAlign w:val="bottom"/>
          </w:tcPr>
          <w:p>
            <w:pPr>
              <w:pStyle w:val="TableContents"/>
              <w:bidi w:val="0"/>
              <w:spacing w:before="0" w:after="283"/>
              <w:jc w:val="right"/>
              <w:rPr/>
            </w:pPr>
            <w:r>
              <w:rPr/>
              <w:t>1,027</w:t>
            </w:r>
          </w:p>
        </w:tc>
        <w:tc>
          <w:tcPr>
            <w:tcW w:w="64" w:type="dxa"/>
            <w:tcBorders/>
            <w:shd w:fill="CCEEFF" w:val="clear"/>
            <w:vAlign w:val="bottom"/>
          </w:tcPr>
          <w:p>
            <w:pPr>
              <w:pStyle w:val="TableContents"/>
              <w:bidi w:val="0"/>
              <w:spacing w:before="0" w:after="283"/>
              <w:jc w:val="left"/>
              <w:rPr/>
            </w:pPr>
            <w:r>
              <w:rPr/>
              <w:t> </w:t>
            </w:r>
          </w:p>
        </w:tc>
      </w:tr>
      <w:tr>
        <w:trPr/>
        <w:tc>
          <w:tcPr>
            <w:tcW w:w="529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880</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642</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879" w:type="dxa"/>
            <w:tcBorders/>
            <w:vAlign w:val="bottom"/>
          </w:tcPr>
          <w:p>
            <w:pPr>
              <w:pStyle w:val="TableContents"/>
              <w:bidi w:val="0"/>
              <w:spacing w:before="0" w:after="283"/>
              <w:jc w:val="right"/>
              <w:rPr/>
            </w:pPr>
            <w:r>
              <w:rPr/>
              <w:t>808</w:t>
            </w:r>
          </w:p>
        </w:tc>
        <w:tc>
          <w:tcPr>
            <w:tcW w:w="64" w:type="dxa"/>
            <w:tcBorders/>
            <w:vAlign w:val="bottom"/>
          </w:tcPr>
          <w:p>
            <w:pPr>
              <w:pStyle w:val="TableContents"/>
              <w:bidi w:val="0"/>
              <w:spacing w:before="0" w:after="283"/>
              <w:jc w:val="left"/>
              <w:rPr/>
            </w:pPr>
            <w:r>
              <w:rPr/>
              <w:t> </w:t>
            </w:r>
          </w:p>
        </w:tc>
      </w:tr>
      <w:tr>
        <w:trPr/>
        <w:tc>
          <w:tcPr>
            <w:tcW w:w="5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316</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172</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right"/>
              <w:rPr/>
            </w:pPr>
            <w:r>
              <w:rPr/>
              <w:t>163</w:t>
            </w:r>
          </w:p>
        </w:tc>
        <w:tc>
          <w:tcPr>
            <w:tcW w:w="64" w:type="dxa"/>
            <w:tcBorders/>
            <w:shd w:fill="CCEEFF" w:val="clear"/>
            <w:vAlign w:val="bottom"/>
          </w:tcPr>
          <w:p>
            <w:pPr>
              <w:pStyle w:val="TableContents"/>
              <w:bidi w:val="0"/>
              <w:spacing w:before="0" w:after="283"/>
              <w:jc w:val="left"/>
              <w:rPr/>
            </w:pPr>
            <w:r>
              <w:rPr/>
              <w:t> </w:t>
            </w:r>
          </w:p>
        </w:tc>
      </w:tr>
      <w:tr>
        <w:trPr/>
        <w:tc>
          <w:tcPr>
            <w:tcW w:w="529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196</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879"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5290"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456" w:type="dxa"/>
            <w:tcBorders/>
            <w:vAlign w:val="bottom"/>
          </w:tcPr>
          <w:p>
            <w:pPr>
              <w:pStyle w:val="TableContents"/>
              <w:pBdr>
                <w:top w:val="single" w:sz="2" w:space="1" w:color="000000"/>
              </w:pBdr>
              <w:bidi w:val="0"/>
              <w:spacing w:before="0" w:after="0"/>
              <w:jc w:val="left"/>
              <w:rPr/>
            </w:pPr>
            <w:r>
              <w:rPr/>
              <w:t> </w:t>
            </w:r>
          </w:p>
        </w:tc>
        <w:tc>
          <w:tcPr>
            <w:tcW w:w="187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and amortization expense</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2,703</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1,795</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w:t>
            </w:r>
          </w:p>
        </w:tc>
        <w:tc>
          <w:tcPr>
            <w:tcW w:w="1879" w:type="dxa"/>
            <w:tcBorders/>
            <w:shd w:fill="CCEEFF" w:val="clear"/>
            <w:vAlign w:val="bottom"/>
          </w:tcPr>
          <w:p>
            <w:pPr>
              <w:pStyle w:val="TableContents"/>
              <w:bidi w:val="0"/>
              <w:spacing w:before="0" w:after="283"/>
              <w:jc w:val="right"/>
              <w:rPr/>
            </w:pPr>
            <w:r>
              <w:rPr/>
              <w:t>2,075</w:t>
            </w:r>
          </w:p>
        </w:tc>
        <w:tc>
          <w:tcPr>
            <w:tcW w:w="64" w:type="dxa"/>
            <w:tcBorders/>
            <w:shd w:fill="CCEEFF" w:val="clear"/>
            <w:vAlign w:val="bottom"/>
          </w:tcPr>
          <w:p>
            <w:pPr>
              <w:pStyle w:val="TableContents"/>
              <w:bidi w:val="0"/>
              <w:spacing w:before="0" w:after="283"/>
              <w:jc w:val="left"/>
              <w:rPr/>
            </w:pPr>
            <w:r>
              <w:rPr/>
              <w:t> </w:t>
            </w:r>
          </w:p>
        </w:tc>
      </w:tr>
      <w:tr>
        <w:trPr/>
        <w:tc>
          <w:tcPr>
            <w:tcW w:w="5290"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456" w:type="dxa"/>
            <w:tcBorders/>
            <w:vAlign w:val="bottom"/>
          </w:tcPr>
          <w:p>
            <w:pPr>
              <w:pStyle w:val="TableContents"/>
              <w:pBdr>
                <w:top w:val="double" w:sz="6" w:space="1" w:color="000000"/>
              </w:pBdr>
              <w:bidi w:val="0"/>
              <w:spacing w:before="0" w:after="0"/>
              <w:jc w:val="left"/>
              <w:rPr/>
            </w:pPr>
            <w:r>
              <w:rPr/>
              <w:t> </w:t>
            </w:r>
          </w:p>
        </w:tc>
        <w:tc>
          <w:tcPr>
            <w:tcW w:w="187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litigation costs consisting primarily of legal fees and the estimated and actual costs to resolve the outstanding litigation cases offset by the estimated amounts recoverable and recovered under insurance, indemnity and contribution agreements for such costs.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legal and accounting fees and transition related services and are not considered normal, recurring, cash operating expenses necessary to operate the Company’s business.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686"/>
        <w:gridCol w:w="305"/>
        <w:gridCol w:w="140"/>
        <w:gridCol w:w="690"/>
        <w:gridCol w:w="275"/>
        <w:gridCol w:w="253"/>
        <w:gridCol w:w="140"/>
        <w:gridCol w:w="690"/>
        <w:gridCol w:w="275"/>
        <w:gridCol w:w="253"/>
        <w:gridCol w:w="377"/>
        <w:gridCol w:w="1841"/>
        <w:gridCol w:w="280"/>
      </w:tblGrid>
      <w:tr>
        <w:trPr/>
        <w:tc>
          <w:tcPr>
            <w:tcW w:w="4686"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1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27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280" w:type="dxa"/>
            <w:tcBorders/>
            <w:vAlign w:val="bottom"/>
          </w:tcPr>
          <w:p>
            <w:pPr>
              <w:pStyle w:val="TableContents"/>
              <w:bidi w:val="0"/>
              <w:spacing w:before="0" w:after="283"/>
              <w:jc w:val="left"/>
              <w:rPr/>
            </w:pPr>
            <w:r>
              <w:rPr/>
              <w:t> </w:t>
            </w:r>
          </w:p>
        </w:tc>
      </w:tr>
      <w:tr>
        <w:trPr/>
        <w:tc>
          <w:tcPr>
            <w:tcW w:w="468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0" w:type="dxa"/>
            <w:tcBorders/>
            <w:vAlign w:val="bottom"/>
          </w:tcPr>
          <w:p>
            <w:pPr>
              <w:pStyle w:val="TableContents"/>
              <w:bidi w:val="0"/>
              <w:spacing w:before="0" w:after="283"/>
              <w:jc w:val="left"/>
              <w:rPr/>
            </w:pPr>
            <w:r>
              <w:rPr/>
              <w:t> </w:t>
            </w:r>
          </w:p>
        </w:tc>
      </w:tr>
      <w:tr>
        <w:trPr/>
        <w:tc>
          <w:tcPr>
            <w:tcW w:w="46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 on GAAP basis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20,838</w:t>
            </w:r>
          </w:p>
        </w:tc>
        <w:tc>
          <w:tcPr>
            <w:tcW w:w="27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13,483</w:t>
            </w:r>
          </w:p>
        </w:tc>
        <w:tc>
          <w:tcPr>
            <w:tcW w:w="27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w:t>
            </w:r>
          </w:p>
        </w:tc>
        <w:tc>
          <w:tcPr>
            <w:tcW w:w="1841" w:type="dxa"/>
            <w:tcBorders/>
            <w:shd w:fill="CCEEFF" w:val="clear"/>
            <w:vAlign w:val="bottom"/>
          </w:tcPr>
          <w:p>
            <w:pPr>
              <w:pStyle w:val="TableContents"/>
              <w:bidi w:val="0"/>
              <w:spacing w:before="0" w:after="283"/>
              <w:jc w:val="right"/>
              <w:rPr/>
            </w:pPr>
            <w:r>
              <w:rPr/>
              <w:t>37,452</w:t>
            </w:r>
          </w:p>
        </w:tc>
        <w:tc>
          <w:tcPr>
            <w:tcW w:w="280" w:type="dxa"/>
            <w:tcBorders/>
            <w:shd w:fill="CCEEFF" w:val="clear"/>
            <w:vAlign w:val="bottom"/>
          </w:tcPr>
          <w:p>
            <w:pPr>
              <w:pStyle w:val="TableContents"/>
              <w:bidi w:val="0"/>
              <w:spacing w:before="0" w:after="283"/>
              <w:jc w:val="left"/>
              <w:rPr/>
            </w:pPr>
            <w:r>
              <w:rPr/>
              <w:t> </w:t>
            </w:r>
          </w:p>
        </w:tc>
      </w:tr>
      <w:tr>
        <w:trPr/>
        <w:tc>
          <w:tcPr>
            <w:tcW w:w="468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826</w:t>
            </w:r>
          </w:p>
        </w:tc>
        <w:tc>
          <w:tcPr>
            <w:tcW w:w="27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1,137</w:t>
            </w:r>
          </w:p>
        </w:tc>
        <w:tc>
          <w:tcPr>
            <w:tcW w:w="27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901</w:t>
            </w:r>
          </w:p>
        </w:tc>
        <w:tc>
          <w:tcPr>
            <w:tcW w:w="280" w:type="dxa"/>
            <w:tcBorders/>
            <w:vAlign w:val="bottom"/>
          </w:tcPr>
          <w:p>
            <w:pPr>
              <w:pStyle w:val="TableContents"/>
              <w:bidi w:val="0"/>
              <w:spacing w:before="0" w:after="283"/>
              <w:jc w:val="left"/>
              <w:rPr/>
            </w:pPr>
            <w:r>
              <w:rPr/>
              <w:t> </w:t>
            </w:r>
          </w:p>
        </w:tc>
      </w:tr>
      <w:tr>
        <w:trPr/>
        <w:tc>
          <w:tcPr>
            <w:tcW w:w="46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862</w:t>
            </w:r>
          </w:p>
        </w:tc>
        <w:tc>
          <w:tcPr>
            <w:tcW w:w="27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457</w:t>
            </w:r>
          </w:p>
        </w:tc>
        <w:tc>
          <w:tcPr>
            <w:tcW w:w="27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467</w:t>
            </w:r>
          </w:p>
        </w:tc>
        <w:tc>
          <w:tcPr>
            <w:tcW w:w="280" w:type="dxa"/>
            <w:tcBorders/>
            <w:shd w:fill="CCEEFF" w:val="clear"/>
            <w:vAlign w:val="bottom"/>
          </w:tcPr>
          <w:p>
            <w:pPr>
              <w:pStyle w:val="TableContents"/>
              <w:bidi w:val="0"/>
              <w:spacing w:before="0" w:after="283"/>
              <w:jc w:val="left"/>
              <w:rPr/>
            </w:pPr>
            <w:r>
              <w:rPr/>
              <w:t> </w:t>
            </w:r>
          </w:p>
        </w:tc>
      </w:tr>
      <w:tr>
        <w:trPr/>
        <w:tc>
          <w:tcPr>
            <w:tcW w:w="468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18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686"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profit on non-GAAP basis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22,526</w:t>
            </w:r>
          </w:p>
        </w:tc>
        <w:tc>
          <w:tcPr>
            <w:tcW w:w="27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15,077</w:t>
            </w:r>
          </w:p>
        </w:tc>
        <w:tc>
          <w:tcPr>
            <w:tcW w:w="27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1841" w:type="dxa"/>
            <w:tcBorders/>
            <w:vAlign w:val="bottom"/>
          </w:tcPr>
          <w:p>
            <w:pPr>
              <w:pStyle w:val="TableContents"/>
              <w:bidi w:val="0"/>
              <w:spacing w:before="0" w:after="283"/>
              <w:jc w:val="right"/>
              <w:rPr/>
            </w:pPr>
            <w:r>
              <w:rPr/>
              <w:t>38,820</w:t>
            </w:r>
          </w:p>
        </w:tc>
        <w:tc>
          <w:tcPr>
            <w:tcW w:w="280" w:type="dxa"/>
            <w:tcBorders/>
            <w:vAlign w:val="bottom"/>
          </w:tcPr>
          <w:p>
            <w:pPr>
              <w:pStyle w:val="TableContents"/>
              <w:bidi w:val="0"/>
              <w:spacing w:before="0" w:after="283"/>
              <w:jc w:val="left"/>
              <w:rPr/>
            </w:pPr>
            <w:r>
              <w:rPr/>
              <w:t> </w:t>
            </w:r>
          </w:p>
        </w:tc>
      </w:tr>
      <w:tr>
        <w:trPr/>
        <w:tc>
          <w:tcPr>
            <w:tcW w:w="468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1841"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6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 on GAAP basis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43</w:t>
            </w:r>
          </w:p>
        </w:tc>
        <w:tc>
          <w:tcPr>
            <w:tcW w:w="27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41</w:t>
            </w:r>
          </w:p>
        </w:tc>
        <w:tc>
          <w:tcPr>
            <w:tcW w:w="27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60</w:t>
            </w:r>
          </w:p>
        </w:tc>
        <w:tc>
          <w:tcPr>
            <w:tcW w:w="280" w:type="dxa"/>
            <w:tcBorders/>
            <w:shd w:fill="CCEEFF" w:val="clear"/>
            <w:vAlign w:val="bottom"/>
          </w:tcPr>
          <w:p>
            <w:pPr>
              <w:pStyle w:val="TableContents"/>
              <w:bidi w:val="0"/>
              <w:spacing w:before="0" w:after="283"/>
              <w:jc w:val="left"/>
              <w:rPr/>
            </w:pPr>
            <w:r>
              <w:rPr/>
              <w:t>% </w:t>
            </w:r>
          </w:p>
        </w:tc>
      </w:tr>
      <w:tr>
        <w:trPr/>
        <w:tc>
          <w:tcPr>
            <w:tcW w:w="46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 on non-GAAP basis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46</w:t>
            </w:r>
          </w:p>
        </w:tc>
        <w:tc>
          <w:tcPr>
            <w:tcW w:w="27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46</w:t>
            </w:r>
          </w:p>
        </w:tc>
        <w:tc>
          <w:tcPr>
            <w:tcW w:w="27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right"/>
              <w:rPr/>
            </w:pPr>
            <w:r>
              <w:rPr/>
              <w:t>62</w:t>
            </w:r>
          </w:p>
        </w:tc>
        <w:tc>
          <w:tcPr>
            <w:tcW w:w="28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For Investors </w:t>
      </w:r>
    </w:p>
    <w:p>
      <w:pPr>
        <w:pStyle w:val="TextBody"/>
        <w:bidi w:val="0"/>
        <w:spacing w:before="240" w:after="0"/>
        <w:jc w:val="left"/>
        <w:rPr>
          <w:rFonts w:ascii="Times New Roman" w:hAnsi="Times New Roman"/>
          <w:sz w:val="20"/>
        </w:rPr>
      </w:pPr>
      <w:r>
        <w:rPr>
          <w:rFonts w:ascii="Times New Roman" w:hAnsi="Times New Roman"/>
          <w:sz w:val="20"/>
        </w:rPr>
        <w:t xml:space="preserve">investors@ouster.io </w:t>
      </w:r>
    </w:p>
    <w:p>
      <w:pPr>
        <w:pStyle w:val="TextBody"/>
        <w:bidi w:val="0"/>
        <w:spacing w:before="240" w:after="0"/>
        <w:jc w:val="left"/>
        <w:rPr>
          <w:rFonts w:ascii="Times New Roman" w:hAnsi="Times New Roman"/>
          <w:b/>
          <w:sz w:val="20"/>
        </w:rPr>
      </w:pPr>
      <w:r>
        <w:rPr>
          <w:rFonts w:ascii="Times New Roman" w:hAnsi="Times New Roman"/>
          <w:b/>
          <w:sz w:val="20"/>
        </w:rPr>
        <w:t xml:space="preserve">For Media </w:t>
      </w:r>
    </w:p>
    <w:p>
      <w:pPr>
        <w:pStyle w:val="TextBody"/>
        <w:bidi w:val="0"/>
        <w:spacing w:before="240" w:after="0"/>
        <w:jc w:val="left"/>
        <w:rPr>
          <w:rFonts w:ascii="Times New Roman" w:hAnsi="Times New Roman"/>
          <w:sz w:val="20"/>
        </w:rPr>
      </w:pPr>
      <w:r>
        <w:rPr>
          <w:rFonts w:ascii="Times New Roman" w:hAnsi="Times New Roman"/>
          <w:sz w:val="20"/>
        </w:rPr>
        <w:t xml:space="preserve">press@ouster.io </w:t>
      </w:r>
    </w:p>
    <w:p>
      <w:pPr>
        <w:pStyle w:val="TextBody"/>
        <w:bidi w:val="0"/>
        <w:spacing w:before="0" w:after="0"/>
        <w:jc w:val="left"/>
        <w:rPr/>
      </w:pPr>
      <w:r>
        <w:rPr/>
        <w:t> </w:t>
      </w:r>
    </w:p>
    <w:p>
      <w:pPr>
        <w:pStyle w:val="TextBody"/>
        <w:bidi w:val="0"/>
        <w:spacing w:before="0" w:after="0"/>
        <w:jc w:val="center"/>
        <w:rPr/>
      </w:pPr>
      <w:r>
        <w:rPr/>
        <w:drawing>
          <wp:inline distT="0" distB="0" distL="0" distR="0">
            <wp:extent cx="6610350" cy="3724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10350" cy="37242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Caption 1: New Rev8 OS digital lidar with native color sensing, 2x range and resolution.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708775" cy="37820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708775" cy="37820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Caption 2: Ouster Rev8 OS Family: auto-grade, cybersecure, and designed for ASIL-B, SIL-2, and PLd functional safety certifications.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6610350" cy="3724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10350" cy="37242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Caption 3: Native color point cloud, captured by Ouster Rev8 OS1 Max in San Francisco, CA.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610350" cy="3724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10350" cy="37242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Caption 4: Ouster’s native color Rev8 OS1, designed for functional safety and reliability.</w:t>
      </w:r>
    </w:p>
    <w:p>
      <w:pPr>
        <w:pStyle w:val="TextBody"/>
        <w:bidi w:val="0"/>
        <w:spacing w:before="0" w:after="0"/>
        <w:jc w:val="left"/>
        <w:rPr/>
      </w:pPr>
      <w:r>
        <w:rPr/>
        <w:t> </w:t>
      </w:r>
    </w:p>
    <w:p>
      <w:pPr>
        <w:pStyle w:val="TextBody"/>
        <w:bidi w:val="0"/>
        <w:spacing w:before="0" w:after="0"/>
        <w:jc w:val="center"/>
        <w:rPr/>
      </w:pPr>
      <w:r>
        <w:rPr/>
        <w:drawing>
          <wp:inline distT="0" distB="0" distL="0" distR="0">
            <wp:extent cx="6610350" cy="3724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10350" cy="37242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Caption 5: Stereolabs ZED X Nano, a wrist-mount stereo camera built for robotic manipulation and Physical AI.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3526</Words>
  <Characters>20029</Characters>
  <CharactersWithSpaces>24556</CharactersWithSpaces>
  <Paragraphs>2022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