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6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7" w:type="dxa"/>
        <w:jc w:val="center"/>
        <w:tblInd w:w="0" w:type="dxa"/>
        <w:tblLayout w:type="fixed"/>
        <w:tblCellMar>
          <w:top w:w="28" w:type="dxa"/>
          <w:left w:w="28" w:type="dxa"/>
          <w:bottom w:w="28" w:type="dxa"/>
          <w:right w:w="28" w:type="dxa"/>
        </w:tblCellMar>
      </w:tblPr>
      <w:tblGrid>
        <w:gridCol w:w="124"/>
        <w:gridCol w:w="109"/>
        <w:gridCol w:w="109"/>
        <w:gridCol w:w="765"/>
        <w:gridCol w:w="765"/>
        <w:gridCol w:w="765"/>
        <w:gridCol w:w="765"/>
        <w:gridCol w:w="765"/>
        <w:gridCol w:w="765"/>
        <w:gridCol w:w="765"/>
        <w:gridCol w:w="765"/>
        <w:gridCol w:w="765"/>
        <w:gridCol w:w="765"/>
        <w:gridCol w:w="765"/>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center"/>
        <w:rPr/>
      </w:pPr>
      <w:r>
        <w:rPr/>
      </w:r>
    </w:p>
    <w:tbl>
      <w:tblPr>
        <w:tblW w:w="9801" w:type="dxa"/>
        <w:jc w:val="center"/>
        <w:tblInd w:w="0" w:type="dxa"/>
        <w:tblLayout w:type="fixed"/>
        <w:tblCellMar>
          <w:top w:w="28" w:type="dxa"/>
          <w:left w:w="28" w:type="dxa"/>
          <w:bottom w:w="28" w:type="dxa"/>
          <w:right w:w="28" w:type="dxa"/>
        </w:tblCellMar>
      </w:tblPr>
      <w:tblGrid>
        <w:gridCol w:w="124"/>
        <w:gridCol w:w="109"/>
        <w:gridCol w:w="109"/>
        <w:gridCol w:w="762"/>
        <w:gridCol w:w="762"/>
        <w:gridCol w:w="762"/>
        <w:gridCol w:w="762"/>
        <w:gridCol w:w="762"/>
        <w:gridCol w:w="762"/>
        <w:gridCol w:w="762"/>
        <w:gridCol w:w="762"/>
        <w:gridCol w:w="762"/>
        <w:gridCol w:w="762"/>
        <w:gridCol w:w="762"/>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5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001-39463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60" w:after="283"/>
        <w:jc w:val="center"/>
        <w:rPr>
          <w:rFonts w:ascii="Times New Roman;serif" w:hAnsi="Times New Roman;serif"/>
          <w:b/>
          <w:color w:val="000000"/>
          <w:sz w:val="40"/>
        </w:rPr>
      </w:pPr>
      <w:r>
        <w:rPr>
          <w:rFonts w:ascii="Times New Roman;serif" w:hAnsi="Times New Roman;serif"/>
          <w:b/>
          <w:color w:val="000000"/>
          <w:sz w:val="40"/>
        </w:rPr>
        <w:t xml:space="preserve">Ouster,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tbl>
      <w:tblPr>
        <w:tblW w:w="5014" w:type="dxa"/>
        <w:jc w:val="center"/>
        <w:tblInd w:w="0" w:type="dxa"/>
        <w:tblLayout w:type="fixed"/>
        <w:tblCellMar>
          <w:top w:w="28" w:type="dxa"/>
          <w:left w:w="28" w:type="dxa"/>
          <w:bottom w:w="28" w:type="dxa"/>
          <w:right w:w="28" w:type="dxa"/>
        </w:tblCellMar>
      </w:tblPr>
      <w:tblGrid>
        <w:gridCol w:w="851"/>
        <w:gridCol w:w="748"/>
        <w:gridCol w:w="755"/>
        <w:gridCol w:w="109"/>
        <w:gridCol w:w="109"/>
        <w:gridCol w:w="109"/>
        <w:gridCol w:w="109"/>
        <w:gridCol w:w="109"/>
        <w:gridCol w:w="109"/>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86-2528989</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350 Treat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Francisco, California 94110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(415) 949-0108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former address, and former fiscal year, if changed since last report)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tbl>
      <w:tblPr>
        <w:tblW w:w="7942" w:type="dxa"/>
        <w:jc w:val="left"/>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768"/>
        <w:gridCol w:w="768"/>
        <w:gridCol w:w="1089"/>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5"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July 31, 2026, the registrant had 72,112,333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45" w:type="dxa"/>
        <w:jc w:val="left"/>
        <w:tblInd w:w="0" w:type="dxa"/>
        <w:tblLayout w:type="fixed"/>
        <w:tblCellMar>
          <w:top w:w="28" w:type="dxa"/>
          <w:left w:w="28" w:type="dxa"/>
          <w:bottom w:w="28" w:type="dxa"/>
          <w:right w:w="28" w:type="dxa"/>
        </w:tblCellMar>
      </w:tblPr>
      <w:tblGrid>
        <w:gridCol w:w="293"/>
        <w:gridCol w:w="258"/>
        <w:gridCol w:w="259"/>
        <w:gridCol w:w="2453"/>
        <w:gridCol w:w="2453"/>
        <w:gridCol w:w="2458"/>
        <w:gridCol w:w="167"/>
        <w:gridCol w:w="167"/>
        <w:gridCol w:w="237"/>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3dc29bd8354651aa848b38b338c41f_13">
              <w:r>
                <w:rPr>
                  <w:rStyle w:val="InternetLink"/>
                  <w:rFonts w:ascii="Times New Roman;serif" w:hAnsi="Times New Roman;serif"/>
                  <w:b/>
                  <w:strike w:val="false"/>
                  <w:dstrike w:val="false"/>
                  <w:color w:val="000000"/>
                  <w:sz w:val="20"/>
                  <w:u w:val="none"/>
                  <w:effect w:val="none"/>
                </w:rPr>
                <w:t>Part I -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6">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6">
              <w:r>
                <w:rPr>
                  <w:rStyle w:val="InternetLink"/>
                  <w:rFonts w:ascii="Times New Roman;serif" w:hAnsi="Times New Roman;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6">
              <w:r>
                <w:rPr>
                  <w:rStyle w:val="InternetLink"/>
                  <w:rFonts w:ascii="Times New Roman;serif" w:hAnsi="Times New Roman;serif"/>
                  <w:b w:val="false"/>
                  <w:strike w:val="false"/>
                  <w:dstrike w:val="false"/>
                  <w:color w:val="000000"/>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9">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9">
              <w:r>
                <w:rPr>
                  <w:rStyle w:val="InternetLink"/>
                  <w:rFonts w:ascii="Times New Roman;serif" w:hAnsi="Times New Roman;serif"/>
                  <w:b w:val="false"/>
                  <w:strike w:val="false"/>
                  <w:dstrike w:val="false"/>
                  <w:color w:val="000000"/>
                  <w:sz w:val="20"/>
                  <w:u w:val="none"/>
                  <w:effect w:val="non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22">
              <w:r>
                <w:rPr>
                  <w:rStyle w:val="InternetLink"/>
                  <w:rFonts w:ascii="Times New Roman;serif" w:hAnsi="Times New Roman;serif"/>
                  <w:b w:val="false"/>
                  <w:color w:val="0000FF"/>
                  <w:sz w:val="20"/>
                  <w:u w:val="single"/>
                </w:rPr>
                <w:t>Condensed Consolidated Statements of Operations and Comprehensive Loss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22">
              <w:r>
                <w:rPr>
                  <w:rStyle w:val="InternetLink"/>
                  <w:rFonts w:ascii="Times New Roman;serif" w:hAnsi="Times New Roman;serif"/>
                  <w:b w:val="false"/>
                  <w:strike w:val="false"/>
                  <w:dstrike w:val="false"/>
                  <w:color w:val="000000"/>
                  <w:sz w:val="20"/>
                  <w:u w:val="none"/>
                  <w:effect w:val="non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25">
              <w:r>
                <w:rPr>
                  <w:rStyle w:val="InternetLink"/>
                  <w:rFonts w:ascii="Times New Roman;serif" w:hAnsi="Times New Roman;serif"/>
                  <w:b w:val="false"/>
                  <w:color w:val="0000FF"/>
                  <w:sz w:val="20"/>
                  <w:u w:val="single"/>
                </w:rPr>
                <w:t>Condensed Consolidated Statements of Stockholders’ Equity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25">
              <w:r>
                <w:rPr>
                  <w:rStyle w:val="InternetLink"/>
                  <w:rFonts w:ascii="Times New Roman;serif" w:hAnsi="Times New Roman;serif"/>
                  <w:b w:val="false"/>
                  <w:strike w:val="false"/>
                  <w:dstrike w:val="false"/>
                  <w:color w:val="000000"/>
                  <w:sz w:val="20"/>
                  <w:u w:val="none"/>
                  <w:effect w:val="non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31">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31">
              <w:r>
                <w:rPr>
                  <w:rStyle w:val="InternetLink"/>
                  <w:rFonts w:ascii="Times New Roman;serif" w:hAnsi="Times New Roman;serif"/>
                  <w:b w:val="false"/>
                  <w:strike w:val="false"/>
                  <w:dstrike w:val="false"/>
                  <w:color w:val="000000"/>
                  <w:sz w:val="20"/>
                  <w:u w:val="none"/>
                  <w:effect w:val="non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34">
              <w:r>
                <w:rPr>
                  <w:rStyle w:val="InternetLink"/>
                  <w:rFonts w:ascii="Times New Roman;serif" w:hAnsi="Times New Roman;serif"/>
                  <w:b w:val="false"/>
                  <w:color w:val="000080"/>
                  <w:sz w:val="20"/>
                  <w:u w:val="single"/>
                </w:rPr>
                <w:t xml:space="preserve">Notes to </w:t>
              </w:r>
            </w:hyperlink>
            <w:hyperlink w:anchor="ia93dc29bd8354651aa848b38b338c41f_34">
              <w:r>
                <w:rPr>
                  <w:rStyle w:val="InternetLink"/>
                  <w:rFonts w:ascii="Times New Roman;serif" w:hAnsi="Times New Roman;serif"/>
                  <w:b w:val="false"/>
                  <w:color w:val="000080"/>
                  <w:sz w:val="20"/>
                  <w:u w:val="single"/>
                </w:rPr>
                <w:t xml:space="preserve">Condensed </w:t>
              </w:r>
            </w:hyperlink>
            <w:hyperlink w:anchor="ia93dc29bd8354651aa848b38b338c41f_34">
              <w:r>
                <w:rPr>
                  <w:rStyle w:val="InternetLink"/>
                  <w:rFonts w:ascii="Times New Roman;serif" w:hAnsi="Times New Roman;serif"/>
                  <w:b w:val="false"/>
                  <w:color w:val="000080"/>
                  <w:sz w:val="20"/>
                  <w:u w:val="single"/>
                </w:rPr>
                <w:t>Consolidated Financial Statement</w:t>
              </w:r>
            </w:hyperlink>
            <w:hyperlink w:anchor="ia93dc29bd8354651aa848b38b338c41f_34">
              <w:r>
                <w:rPr>
                  <w:rStyle w:val="InternetLink"/>
                  <w:rFonts w:ascii="Times New Roman;serif" w:hAnsi="Times New Roman;serif"/>
                  <w:b w:val="false"/>
                  <w:color w:val="000080"/>
                  <w:sz w:val="20"/>
                  <w:u w:val="single"/>
                </w:rPr>
                <w: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34">
              <w:r>
                <w:rPr>
                  <w:rStyle w:val="InternetLink"/>
                  <w:rFonts w:ascii="Times New Roman;serif" w:hAnsi="Times New Roman;serif"/>
                  <w:b w:val="false"/>
                  <w:strike w:val="false"/>
                  <w:dstrike w:val="false"/>
                  <w:color w:val="000000"/>
                  <w:sz w:val="20"/>
                  <w:u w:val="none"/>
                  <w:effect w:val="none"/>
                </w:rPr>
                <w:t>10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88">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88">
              <w:r>
                <w:rPr>
                  <w:rStyle w:val="InternetLink"/>
                  <w:rFonts w:ascii="Times New Roman;serif" w:hAnsi="Times New Roman;serif"/>
                  <w:b w:val="false"/>
                  <w:strike w:val="false"/>
                  <w:dstrike w:val="false"/>
                  <w:color w:val="000000"/>
                  <w:sz w:val="20"/>
                  <w:u w:val="none"/>
                  <w:effect w:val="none"/>
                </w:rPr>
                <w:t>30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12">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12">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12">
              <w:r>
                <w:rPr>
                  <w:rStyle w:val="InternetLink"/>
                  <w:rFonts w:ascii="Times New Roman;serif" w:hAnsi="Times New Roman;serif"/>
                  <w:b w:val="false"/>
                  <w:strike w:val="false"/>
                  <w:dstrike w:val="false"/>
                  <w:color w:val="000000"/>
                  <w:sz w:val="20"/>
                  <w:u w:val="none"/>
                  <w:effect w:val="none"/>
                </w:rPr>
                <w:t>43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15">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15">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15">
              <w:r>
                <w:rPr>
                  <w:rStyle w:val="InternetLink"/>
                  <w:rFonts w:ascii="Times New Roman;serif" w:hAnsi="Times New Roman;serif"/>
                  <w:b w:val="false"/>
                  <w:strike w:val="false"/>
                  <w:dstrike w:val="false"/>
                  <w:color w:val="000000"/>
                  <w:sz w:val="20"/>
                  <w:u w:val="none"/>
                  <w:effect w:val="non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21">
              <w:r>
                <w:rPr>
                  <w:rStyle w:val="InternetLink"/>
                  <w:rFonts w:ascii="Times New Roman;serif" w:hAnsi="Times New Roman;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21">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21">
              <w:r>
                <w:rPr>
                  <w:rStyle w:val="InternetLink"/>
                  <w:rFonts w:ascii="Times New Roman;serif" w:hAnsi="Times New Roman;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24">
              <w:r>
                <w:rPr>
                  <w:rStyle w:val="InternetLink"/>
                  <w:rFonts w:ascii="Times New Roman;serif" w:hAnsi="Times New Roman;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a93dc29bd8354651aa848b38b338c41f_124">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24">
              <w:r>
                <w:rPr>
                  <w:rStyle w:val="InternetLink"/>
                  <w:rFonts w:ascii="Times New Roman;serif" w:hAnsi="Times New Roman;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27">
              <w:r>
                <w:rPr>
                  <w:rStyle w:val="InternetLink"/>
                  <w:rFonts w:ascii="Times New Roman;serif" w:hAnsi="Times New Roman;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27">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27">
              <w:r>
                <w:rPr>
                  <w:rStyle w:val="InternetLink"/>
                  <w:rFonts w:ascii="Times New Roman;serif" w:hAnsi="Times New Roman;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30">
              <w:r>
                <w:rPr>
                  <w:rStyle w:val="InternetLink"/>
                  <w:rFonts w:ascii="Times New Roman;serif" w:hAnsi="Times New Roman;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30">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30">
              <w:r>
                <w:rPr>
                  <w:rStyle w:val="InternetLink"/>
                  <w:rFonts w:ascii="Times New Roman;serif" w:hAnsi="Times New Roman;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33">
              <w:r>
                <w:rPr>
                  <w:rStyle w:val="InternetLink"/>
                  <w:rFonts w:ascii="Times New Roman;serif" w:hAnsi="Times New Roman;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33">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36">
              <w:r>
                <w:rPr>
                  <w:rStyle w:val="InternetLink"/>
                  <w:rFonts w:ascii="Times New Roman;serif" w:hAnsi="Times New Roman;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36">
              <w:r>
                <w:rPr>
                  <w:rStyle w:val="InternetLink"/>
                  <w:rFonts w:ascii="Times New Roman;serif" w:hAnsi="Times New Roman;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36">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36">
              <w:r>
                <w:rPr>
                  <w:rStyle w:val="InternetLink"/>
                  <w:rFonts w:ascii="Times New Roman;serif" w:hAnsi="Times New Roman;serif"/>
                  <w:b w:val="false"/>
                  <w:strike w:val="false"/>
                  <w:dstrike w:val="false"/>
                  <w:color w:val="000000"/>
                  <w:sz w:val="20"/>
                  <w:u w:val="none"/>
                  <w:effect w:val="none"/>
                </w:rPr>
                <w:t>45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39">
              <w:r>
                <w:rPr>
                  <w:rStyle w:val="InternetLink"/>
                  <w:rFonts w:ascii="Times New Roman;serif" w:hAnsi="Times New Roman;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39">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39">
              <w:r>
                <w:rPr>
                  <w:rStyle w:val="InternetLink"/>
                  <w:rFonts w:ascii="Times New Roman;serif" w:hAnsi="Times New Roman;serif"/>
                  <w:b w:val="false"/>
                  <w:strike w:val="false"/>
                  <w:dstrike w:val="false"/>
                  <w:color w:val="000000"/>
                  <w:sz w:val="20"/>
                  <w:u w:val="none"/>
                  <w:effect w:val="none"/>
                </w:rPr>
                <w:t>46</w:t>
              </w:r>
            </w:hyperlink>
          </w:p>
        </w:tc>
      </w:tr>
      <w:tr>
        <w:trPr/>
        <w:tc>
          <w:tcPr>
            <w:tcW w:w="817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93dc29bd8354651aa848b38b338c41f_142">
              <w:r>
                <w:rPr>
                  <w:rStyle w:val="InternetLink"/>
                  <w:rFonts w:ascii="Times New Roman;serif" w:hAnsi="Times New Roman;serif"/>
                  <w:b w:val="false"/>
                  <w:color w:val="0000FF"/>
                  <w:sz w:val="20"/>
                  <w:u w:val="singl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dc29bd8354651aa848b38b338c41f_142">
              <w:r>
                <w:rPr>
                  <w:rStyle w:val="InternetLink"/>
                  <w:rFonts w:ascii="Times New Roman;serif" w:hAnsi="Times New Roman;serif"/>
                  <w:b w:val="false"/>
                  <w:strike w:val="false"/>
                  <w:dstrike w:val="false"/>
                  <w:color w:val="000000"/>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i/>
          <w:color w:val="000000"/>
          <w:sz w:val="20"/>
        </w:rPr>
        <w:t>This Quarterly Report on Form 10-Q (“Quarterly Report”)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regarding: expected contractual obligations and capital expenditures; the capabilities of and demand for Ouster’s products; Ouster’s anticipated new product launches and developments, including software-related solutions systems, and the timing for those launches and developments; the anticipated benefits and synergies of strategic transactions, including the Stereolabs acquisition, and expected integration efforts; the impact of tariffs and trade policy actions on Ouster’s costs, supply chain, and customer demand; Ouster’s ability to grow its sales and marketing organization; Ouster’s future results of operations, cash reserve and financial position; projected industry and business trends; potential risks of inventory obsolescence; Ouster’s future business strategy, plans, distribution partnerships, market growth and its objectives for future operations, including executing towards profitability; Ouster’s competitive market position within its industry and the impact of market conditions and other macroeconomic factors on Ouster’s business, financial condition and results of operation, foreign currency exchange rate fluctuations and the effectiveness of hedging activities, are forward-looking statements. The words “believe,” “may,” “will,” “estimate,” “continue,” “anticipate,” “intend,” “expect,” “could,” “would,” “project,” “plan,” “potentially,” “preliminary,” “likely,” “aim,” “forecast,” “should,” “can have,”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speak only as of the date of this Quarterly Report and are subject to a number of risks, uncertainties, and assumptions that may cause actual results to differ materially from those that Ouster expected, including, but not limited to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Ouster’s limited operating history and history of losses; substantial research and development costs needed to develop and commercialize new products; Ouster’s ability to overcome its limited sales history and establish and maintain confidence in its long-term business prospects; fluctuations in its operating results; Ouster’s ability to maintain competitive average selling prices or high sales volumes or reduce product costs; conditions in its customers’ industries; the competitive environment in which Ouster operates; the negotiating power and product standards of its customers; the inclusion of its products in target markets; the creditworthiness of Ouster’s customers; the ability of its lidar technology roadmap and new software solutions to catalyze growth; the selection of Ouster’s products for inclusion in target markets; risks of product delivery problems or defects; costs associated with product warranties; Ouster’s future capital needs and ability to secure additional capital on favorable terms or at all; inaccurate forecasts of market growth; Ouster’s ability to manage growth; Ouster’s ability to grow its sales and marketing organization; risks related to international operations, including international manufacturing; cancellation or postponement of contracts or unsuccessful implementations; Ouster’s ability to maintain inventory and the risk of inventory write-downs; its ability to use tax attributes; Ouster’s dependence on key third-party suppliers, in particular Benchmark Electronics, Inc. (“Benchmark”), Fabrinet and other suppliers; and its supply chain constraints and challenges; adverse conditions in the industries Ouster targets or the global economy more generally; Ouster’s ability to recruit and retain key personnel; risks related to acquisitions, including integration risks and the failure to achieve anticipated benefits; risks related to the use of AI tools by us and others, including risks related to product performance, cybersecurity and data privacy; Ouster’s ability to effectively respond to evolving regulations and standards; Ouster’s ability to adequately protect and enforce its intellectual property rights, including as it relates to Hesai; the impact of political events, trade and other international disputes and geopolitical tensions and other business interruptions on Ouster’s business; changes to trade policy, tariffs, and import/export regulations; risks related to operating as a public company; and other important factors discussed in the Company’s Annual Report on Form 10-K for the fiscal year ended December 31, 2025, that are further updated from time to time in the Company’s other filings with the Securities and Exchange Commission (the “SEC”), including this Quarterly Report, that may cause its actual results, performance or achievements to differ materially and adversely from those expressed or implied by the forward-looking statements. </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or to conform these statements to actual results or revised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before="40" w:after="283"/>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context otherwise requires, references in this Quarterly Report to the terms “Ouster,” “the Company,” “we,” “our” and “us” refer to the business and operations of Ouster, Inc. </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We may announce material business and financial information to our investors using our investor relations website at https://investors.ouster.com. We therefore encourage investors and others interested in Ouster to review the information that we make available on our website, in addition to following our filings with the SEC, webcasts, press releases and conference calls. Information contained on our website is not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OUSTER,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2894"/>
        <w:gridCol w:w="2349"/>
        <w:gridCol w:w="2292"/>
        <w:gridCol w:w="211"/>
        <w:gridCol w:w="829"/>
        <w:gridCol w:w="109"/>
        <w:gridCol w:w="109"/>
        <w:gridCol w:w="109"/>
        <w:gridCol w:w="109"/>
        <w:gridCol w:w="211"/>
        <w:gridCol w:w="826"/>
        <w:gridCol w:w="157"/>
      </w:tblGrid>
      <w:tr>
        <w:trPr/>
        <w:tc>
          <w:tcPr>
            <w:tcW w:w="2894"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 non-current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 portion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 portion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non-current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(Note 7</w:t>
            </w:r>
            <w:r>
              <w:rPr>
                <w:rFonts w:ascii="Times New Roman;serif" w:hAnsi="Times New Roman;serif"/>
                <w:b/>
                <w:color w:val="000000"/>
                <w:sz w:val="20"/>
              </w:rPr>
              <w:t>)</w:t>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200,000,000 and 100,000,000 shares authorized at June 30, 2026 and December 31, 2025, respectively; 68,489,797 and 60,947,757 issued and outstanding at June 30, 2026 and December 31, 2025,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1,235,580 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(973,448)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349,516 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 Amounts as of December 31, 2025 are derived from the December 31, 2025 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OUSTER,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1843"/>
        <w:gridCol w:w="1523"/>
        <w:gridCol w:w="1532"/>
        <w:gridCol w:w="219"/>
        <w:gridCol w:w="742"/>
        <w:gridCol w:w="109"/>
        <w:gridCol w:w="109"/>
        <w:gridCol w:w="109"/>
        <w:gridCol w:w="109"/>
        <w:gridCol w:w="219"/>
        <w:gridCol w:w="742"/>
        <w:gridCol w:w="109"/>
        <w:gridCol w:w="109"/>
        <w:gridCol w:w="109"/>
        <w:gridCol w:w="109"/>
        <w:gridCol w:w="202"/>
        <w:gridCol w:w="759"/>
        <w:gridCol w:w="109"/>
        <w:gridCol w:w="109"/>
        <w:gridCol w:w="109"/>
        <w:gridCol w:w="109"/>
        <w:gridCol w:w="219"/>
        <w:gridCol w:w="742"/>
        <w:gridCol w:w="155"/>
      </w:tblGrid>
      <w:tr>
        <w:trPr/>
        <w:tc>
          <w:tcPr>
            <w:tcW w:w="184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unrealized gain (loss) on available for 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basic and 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to compute basic and diluted net loss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65,990,437 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53,482,635 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OUSTER,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data)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78"/>
        <w:gridCol w:w="487"/>
        <w:gridCol w:w="489"/>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890"/>
        <w:gridCol w:w="109"/>
        <w:gridCol w:w="109"/>
        <w:gridCol w:w="109"/>
        <w:gridCol w:w="109"/>
        <w:gridCol w:w="302"/>
        <w:gridCol w:w="672"/>
        <w:gridCol w:w="168"/>
        <w:gridCol w:w="109"/>
        <w:gridCol w:w="109"/>
        <w:gridCol w:w="109"/>
        <w:gridCol w:w="196"/>
        <w:gridCol w:w="736"/>
        <w:gridCol w:w="109"/>
        <w:gridCol w:w="109"/>
        <w:gridCol w:w="109"/>
        <w:gridCol w:w="109"/>
        <w:gridCol w:w="109"/>
        <w:gridCol w:w="158"/>
      </w:tblGrid>
      <w:tr>
        <w:trPr/>
        <w:tc>
          <w:tcPr>
            <w:tcW w:w="6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60,947,757 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Stereolabs acquisition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1,847,677 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warrants issuable to customer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63,461,091 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399,267 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at-the-market offering, net of commissions and fees of $2,002 and issuance costs of $252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882,009 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to employees under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warrants issuable to customer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 June 30,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68,489,797 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(1,009,027)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800"/>
        <w:gridCol w:w="601"/>
        <w:gridCol w:w="603"/>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759"/>
        <w:gridCol w:w="109"/>
        <w:gridCol w:w="109"/>
        <w:gridCol w:w="109"/>
        <w:gridCol w:w="109"/>
        <w:gridCol w:w="279"/>
        <w:gridCol w:w="815"/>
        <w:gridCol w:w="157"/>
        <w:gridCol w:w="109"/>
        <w:gridCol w:w="109"/>
        <w:gridCol w:w="109"/>
        <w:gridCol w:w="196"/>
        <w:gridCol w:w="736"/>
        <w:gridCol w:w="109"/>
        <w:gridCol w:w="109"/>
        <w:gridCol w:w="157"/>
      </w:tblGrid>
      <w:tr>
        <w:trPr/>
        <w:tc>
          <w:tcPr>
            <w:tcW w:w="8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52,560,770 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Velodyne Merger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1,118,320 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restricted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(68,072)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warrants issuable to customer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53,788,970 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at-the-market offering, net of commissions and fees of $1,200 and issuance costs of $277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3,522,177 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to employees under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warrants issuable to customer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57,800,303 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(955,700)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OUSTER,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9893" w:type="dxa"/>
        <w:jc w:val="left"/>
        <w:tblInd w:w="0" w:type="dxa"/>
        <w:tblLayout w:type="fixed"/>
        <w:tblCellMar>
          <w:top w:w="28" w:type="dxa"/>
          <w:left w:w="28" w:type="dxa"/>
          <w:bottom w:w="28" w:type="dxa"/>
          <w:right w:w="28" w:type="dxa"/>
        </w:tblCellMar>
      </w:tblPr>
      <w:tblGrid>
        <w:gridCol w:w="2702"/>
        <w:gridCol w:w="2377"/>
        <w:gridCol w:w="2390"/>
        <w:gridCol w:w="196"/>
        <w:gridCol w:w="721"/>
        <w:gridCol w:w="109"/>
        <w:gridCol w:w="109"/>
        <w:gridCol w:w="109"/>
        <w:gridCol w:w="109"/>
        <w:gridCol w:w="196"/>
        <w:gridCol w:w="721"/>
        <w:gridCol w:w="154"/>
      </w:tblGrid>
      <w:tr>
        <w:trPr/>
        <w:tc>
          <w:tcPr>
            <w:tcW w:w="2702"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write-off and disposal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lease termination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of revenue related to stock warrant issued to customer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on short-term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provision for inventory write-down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provision for doubtful accounts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sale of available for sale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business acquisition: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short-term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short-term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Stereolabs, net of cash acquired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ESPP purchase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received to fund employees tax obligation for vested RSUs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under at-the-market offering, net of commissions and fees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At-the-market offering costs for the issuance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55"/>
        <w:gridCol w:w="2599"/>
        <w:gridCol w:w="2600"/>
        <w:gridCol w:w="196"/>
        <w:gridCol w:w="646"/>
        <w:gridCol w:w="109"/>
        <w:gridCol w:w="109"/>
        <w:gridCol w:w="109"/>
        <w:gridCol w:w="109"/>
        <w:gridCol w:w="196"/>
        <w:gridCol w:w="421"/>
        <w:gridCol w:w="156"/>
      </w:tblGrid>
      <w:tr>
        <w:trPr/>
        <w:tc>
          <w:tcPr>
            <w:tcW w:w="2955"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OPERATING ACTIVITIES:</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(refunds) payments,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purchases included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liability</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shares issued in the acquisition of Stereolabs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Unpaid at-the-market offering costs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OUSTER,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1 – Description of Business and Basis of Presentation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Ouster, Inc. (“Ouster” or the “Company”) was incorporated in the Cayman Islands on June 4, 2020 as “Colonnade Acquisition Corp.” Following the closing of a business combination between the Company and Ouster Technologies, Inc. (formerly, Ouster, Inc.) in March 2021, the Company domesticated as a Delaware corporation and changed its name to “Ouster, Inc.” Ouster is a leader in sensing and perception for Physical Artificial Intelligence (Physical AI). Ouster’s product offerings enable machines to “Sense, Think, Act, and Learn” and independently execute tasks without human intervention. Physical AI allows machines to move beyond fixed, preprogrammed behavior into adaptive, intelligent action by focusing on perception, understanding, and learning from the physical world. Ouster offers a unified sensing and perception platform that combines high-performance digital lidar, cameras, AI compute, sensor fusion and perception software, and cutting-edge AI models to our customers.</w:t>
      </w:r>
    </w:p>
    <w:p>
      <w:pPr>
        <w:pStyle w:val="TextBody"/>
        <w:bidi w:val="0"/>
        <w:spacing w:lineRule="auto" w:line="288" w:before="120" w:after="283"/>
        <w:jc w:val="left"/>
        <w:rPr/>
      </w:pPr>
      <w:r>
        <w:rPr>
          <w:rFonts w:ascii="Times New Roman;serif" w:hAnsi="Times New Roman;serif"/>
          <w:b w:val="false"/>
          <w:color w:val="000000"/>
          <w:sz w:val="20"/>
        </w:rPr>
        <w:t xml:space="preserve">On February 4, 2026 (“Closing Date”), the Company completed the acquisition of Stereolabs SAS (“Stereolabs”), accounted for as a business combination. See </w:t>
      </w:r>
      <w:r>
        <w:rPr>
          <w:rFonts w:ascii="Times New Roman;serif" w:hAnsi="Times New Roman;serif"/>
          <w:b w:val="false"/>
          <w:color w:val="000000"/>
          <w:sz w:val="20"/>
          <w:shd w:fill="FFFFFF" w:val="clear"/>
        </w:rPr>
        <w:t>Note 3.</w:t>
      </w:r>
      <w:r>
        <w:rPr>
          <w:color w:val="000000"/>
          <w:shd w:fill="FFFFFF" w:val="clear"/>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and Principles of Consolidation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the Company and its subsidiaries (all of which are wholly owned) and have been prepared in conformity with U.S. generally accepted accounting principles (“U.S. GAAP”) applicable to interim periods. All intercompany balances and transactions have been eliminated in consolidation. The presentation of certain prior period amounts has been reclassified to conform with current period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2025 and the notes related thereto, included in the Company’s Annual Report on Form 10-K filed with the Securities and Exchange Commission (“SEC”) on March 2, 2026.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2026 or for any other future years or interim periods.</w:t>
      </w:r>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its cash and cash equivalents, short-term investments, cash generated from sales of the Company’s products, sales of common stock under its at-the-market equity offering program and debt financing.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on a going concern basis. The Company has experienced recurring losses from operations, and negative cash flows from operations. As of June 30, 2026, the Company’s existing sources of liquidity included cash, cash equivalents, restricted cash and short-term investments of $262.5 million. The Company has incurred losses and negative cash flows from operations since inception.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unaudited condensed consolidated financial statements were available for issuance.</w:t>
      </w:r>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Reclassification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amounts within the segment disclosure in the footnote to the condensed consolidated financial statements for the three and six months ended June 30, 2025, have been conformed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except as noted below there were no significant changes to the Company’s significant accounting policies as disclosed in the Company’s Annual Report on Form 10-K filed with the SEC on March 2, 2026. The Company has consistently applied the accounting policies to all periods presented in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Currencies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January 1, 2026, the Company reassessed the functional currency of its foreign subsidiaries and determined it was the U.S. Dollar for all its subsidiaries. The impact of this change was not material. Foreign currency transaction gains and losses are recorded in other income (expense), net in the condensed consolidated statements of operations and comprehensive loss.</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Tariff Refunds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20, 2026, the U.S. Supreme Court issued a ruling striking down tariffs imposed under the International Emergency Economic Powers Act (“IEEPA”). On April 20, 2026, the U.S. Customs and Border Protection (“CBP”) launched a system to process refund claims for certain invalidated IEEPA tariffs. During the quarter ended June 30, 2026, we submitted our claim for a refund of the IEEPA tariffs through the CBP portal established to process such claims. In accordance with Accounting Standards Codification 450-30, “Gain Contingencies,” the Company has elected to use a gain contingency model to account for recoveries of previously paid IEEPA tariffs. Under this model, a gain contingency is not recognized until the gain is realized or realizable. The tariffs at issue were previously capitalized to inventory and subsequently expensed through cost of goods sold. Accordingly, any refund represents a recovery of previously recognized costs, and recognition is limited to amounts previously recorded.</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During the second quarter of fiscal 2026, the Company's refund claims were formally accepted by CBP, at which point management concluded the gain was realized or realizable under its elected accounting policy. The Company recognized a benefit of </w:t>
      </w:r>
      <w:r>
        <w:rPr>
          <w:rFonts w:ascii="Times New Roman;serif" w:hAnsi="Times New Roman;serif"/>
          <w:b w:val="false"/>
          <w:color w:val="000000"/>
          <w:sz w:val="20"/>
        </w:rPr>
        <w:t>$5.4 million</w:t>
      </w:r>
      <w:r>
        <w:rPr>
          <w:color w:val="000000"/>
          <w:shd w:fill="FFFFFF" w:val="clear"/>
        </w:rPr>
        <w:t xml:space="preserve"> </w:t>
      </w:r>
      <w:r>
        <w:rPr>
          <w:rFonts w:ascii="Times New Roman;serif" w:hAnsi="Times New Roman;serif"/>
          <w:b w:val="false"/>
          <w:color w:val="000000"/>
          <w:sz w:val="20"/>
          <w:shd w:fill="FFFFFF" w:val="clear"/>
        </w:rPr>
        <w:t>in cost of sales within the unaudited condensed consolidated statements of operations and comprehensive loss for the recovery of certain IEEPA import duties previously paid. As of June 30, 2026, the Company received $0.6 million and recorded $4.8 million of outstanding IEEPA import duty receivables plus interest reflected within prepaid expenses and other current assets on the unaudited condensed consolidated balance sheets (see Note 5). Subsequent to June 30, 2026, the Company received $4.8 million of outstanding IEEPA import duty receivables plus interest.</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Government Credits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employee retention credit (“ERC”), as originally enacted through the Coronavirus Aid, Relief, and Economic Security Act (“CARES Act”) on March 27, 2020, is a refundable credit against certain employment taxes equal to 50% of the qualified wages an eligible employer paid to employees from March 17, 2020 to December 31, 2020. The Disaster Tax Relief Act, enacted on December 27, 2020, extended the ERC for qualified wages paid from January 1, 2021 to June 30, 2021 and the credit was increased to 70% of qualified wages an eligible employer pays to employees during the extended period. The American Rescue Plan Act of 2021, enacted on March 11, 2021, further extended the employee retention credit through December 31, 2021. The Company qualified for the ERC for the period between March 17, 2020 and September 30, 2021. The Company recognizes government credits for which there is a reasonable assurance of compliance with credit conditions and receipt of credits. In the quarter ended June 30, 2025, the Company received a credit in the amount of $5.4 million, which was recorded as follows: $1.7 million as a reduction in cost of revenue, $2.2 million as a reduction in research and development expense, $0.7 million as a reduction in sales and marketing expense and $0.8 million as a reduction to general and administrative expense in the condensed consolidated statement of operations for the three and six months ended June 30, 2025. The qualified wages and health insurance benefits paid by the Company were related to the first and second quarters of 2021.</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and Adopted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Accounting Standards Update (“ASU”) 2025-05, Measurement of Credit Losses for Accounts Receivable and Contract Assets ("ASU 2025-05"). This standard introduces a practical expedient that companies can choose to apply when determining allowances for credit losses. Specifically, it permits companies to assume that the current conditions as of the balance sheet date remain unchanged throughout the remaining life of the assets. Effective January 1, 2026, the Company adopted the amendments in this update for the annual period beginning fiscal year 2026 and applied the new requirements prospectively to the current annual period. The implementation of ASU 2025-05 did not have a material impact on the condensed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referenced below were assessed and determined to be not applicable and are not expected to have a material impact on the Company’s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the capitalizing of eligible costs is required. The new guidance is effective for annual periods beginning after December 15, 2027, and interim periods within those fiscal years, with early adoption permitted. ASU 2025-06 may be applied retrospectively or prospectively.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 the process of evaluating the impact of this new guidance on its consolidated financial statements and related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2025, the FASB issued ASU 2025-03, Business Combinations (Topic 805) and Consolidation (Topic 810) ("ASU 2025-03"), which clarifies the requirements for determining the accounting acquirer in the acquisition of a variable interest entity. ASU 2025-03 is effective for annual reporting periods beginning after December 15, 2026, and interim reporting periods within those annual reporting periods. The amendments in this update require that an entity apply the new guidance prospectively to any acquisition transaction that occurs after the initial application date. Early adoption is permitted as of the beginning of an interim or annual reporting period. The Company is currently evaluating the disclosure impact that ASU 2025-03 may have on its financial statement presentation and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2025, the FASB issued ASU 2025-04, Compensation - Stock Compensation (Topic 718) and Revenue from Contracts with Customers (Topic 606) ("ASU 2025-04"), which clarifies the requirements for share-based consideration payable to a customer. The amendments in this update are effective for all entities for annual reporting periods (including interim reporting periods within annual reporting periods) beginning after December 15, 2026. Early adoption is permitted for all entities. The Company is currently evaluating the disclosure impact that ASU 2025-04 may have on its financial statement presentation and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The new standard requires disclosures about specific types of expenses included in the expense captions presented on the face of the income statement as well as disclosures. The guidance is effective for public business entities for fiscal years beginning after December 15, 2026, and interim periods beginning after December 15, 2027. Early adoption is permitted. The guidance is to be applied prospectively, with the option for retrospective application. The Company is currently evaluating the impact of the ASU on the disclosures within the consolidated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that subject the Company to concentrations of credit risk consist primarily of cash, cash equivalents, restricted cash, short-term investments and accounts receivable. Although the Company deposits its cash, cash equivalents, restricted cash and short-term investments with financial institutions that Company believes are of high credit quality, its deposits, at times, may exceed federally insured limits. As of June 30, 2026 and December 31, 2025, the Company had cash, cash equivalents, short-term investments and restricted cash with financial institutions in the U.S. of $242.8 million and $201.3 million, respectively. As of June 30, 2026 and December 31, 2025, the Company also had cash with financial institutions in countries other than the U.S. of approximately $19.7 million and $9.9 million, respectively, that was not federally insured.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does not require collateral or other security deposits for accounts receivable.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from the Company’s major customers representing 10% or more of total accounts receivable and unbilled receivable was as follows: </w:t>
      </w:r>
    </w:p>
    <w:tbl>
      <w:tblPr>
        <w:tblW w:w="3351" w:type="dxa"/>
        <w:jc w:val="left"/>
        <w:tblInd w:w="0" w:type="dxa"/>
        <w:tblLayout w:type="fixed"/>
        <w:tblCellMar>
          <w:top w:w="28" w:type="dxa"/>
          <w:left w:w="28" w:type="dxa"/>
          <w:bottom w:w="28" w:type="dxa"/>
          <w:right w:w="28" w:type="dxa"/>
        </w:tblCellMar>
      </w:tblPr>
      <w:tblGrid>
        <w:gridCol w:w="391"/>
        <w:gridCol w:w="344"/>
        <w:gridCol w:w="345"/>
        <w:gridCol w:w="202"/>
        <w:gridCol w:w="204"/>
        <w:gridCol w:w="399"/>
        <w:gridCol w:w="109"/>
        <w:gridCol w:w="109"/>
        <w:gridCol w:w="109"/>
        <w:gridCol w:w="231"/>
        <w:gridCol w:w="231"/>
        <w:gridCol w:w="67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accounted for less than 10% of total accounts receivable in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Revenue from the Company’s major customers representing 10% or more of total revenue was as follows:</w:t>
      </w:r>
    </w:p>
    <w:tbl>
      <w:tblPr>
        <w:tblW w:w="6217" w:type="dxa"/>
        <w:jc w:val="left"/>
        <w:tblInd w:w="0" w:type="dxa"/>
        <w:tblLayout w:type="fixed"/>
        <w:tblCellMar>
          <w:top w:w="28" w:type="dxa"/>
          <w:left w:w="28" w:type="dxa"/>
          <w:bottom w:w="28" w:type="dxa"/>
          <w:right w:w="28" w:type="dxa"/>
        </w:tblCellMar>
      </w:tblPr>
      <w:tblGrid>
        <w:gridCol w:w="391"/>
        <w:gridCol w:w="344"/>
        <w:gridCol w:w="345"/>
        <w:gridCol w:w="189"/>
        <w:gridCol w:w="189"/>
        <w:gridCol w:w="470"/>
        <w:gridCol w:w="189"/>
        <w:gridCol w:w="189"/>
        <w:gridCol w:w="189"/>
        <w:gridCol w:w="189"/>
        <w:gridCol w:w="189"/>
        <w:gridCol w:w="470"/>
        <w:gridCol w:w="109"/>
        <w:gridCol w:w="109"/>
        <w:gridCol w:w="109"/>
        <w:gridCol w:w="230"/>
        <w:gridCol w:w="230"/>
        <w:gridCol w:w="573"/>
        <w:gridCol w:w="230"/>
        <w:gridCol w:w="230"/>
        <w:gridCol w:w="573"/>
        <w:gridCol w:w="109"/>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w:t>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G</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accounted for less than 10% of total revenue in the period.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Concentrations of Supplier Risk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Purchases from the Company’s suppliers and vendors representing 10% or more of total purchases were as follows: </w:t>
      </w:r>
    </w:p>
    <w:tbl>
      <w:tblPr>
        <w:tblW w:w="6159" w:type="dxa"/>
        <w:jc w:val="left"/>
        <w:tblInd w:w="0" w:type="dxa"/>
        <w:tblLayout w:type="fixed"/>
        <w:tblCellMar>
          <w:top w:w="28" w:type="dxa"/>
          <w:left w:w="28" w:type="dxa"/>
          <w:bottom w:w="28" w:type="dxa"/>
          <w:right w:w="28" w:type="dxa"/>
        </w:tblCellMar>
      </w:tblPr>
      <w:tblGrid>
        <w:gridCol w:w="359"/>
        <w:gridCol w:w="315"/>
        <w:gridCol w:w="316"/>
        <w:gridCol w:w="189"/>
        <w:gridCol w:w="189"/>
        <w:gridCol w:w="470"/>
        <w:gridCol w:w="189"/>
        <w:gridCol w:w="189"/>
        <w:gridCol w:w="189"/>
        <w:gridCol w:w="189"/>
        <w:gridCol w:w="189"/>
        <w:gridCol w:w="470"/>
        <w:gridCol w:w="109"/>
        <w:gridCol w:w="109"/>
        <w:gridCol w:w="109"/>
        <w:gridCol w:w="180"/>
        <w:gridCol w:w="181"/>
        <w:gridCol w:w="430"/>
        <w:gridCol w:w="172"/>
        <w:gridCol w:w="172"/>
        <w:gridCol w:w="172"/>
        <w:gridCol w:w="180"/>
        <w:gridCol w:w="181"/>
        <w:gridCol w:w="430"/>
        <w:gridCol w:w="109"/>
        <w:gridCol w:w="109"/>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w:t>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B</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*Supplier accounted for less than 10% of total purchases in the period.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Accounts payable to the Company’s major suppliers and professional services vendors representing 10% or more of total accounts payable were as follows:</w:t>
      </w:r>
    </w:p>
    <w:tbl>
      <w:tblPr>
        <w:tblW w:w="3986" w:type="dxa"/>
        <w:jc w:val="left"/>
        <w:tblInd w:w="0" w:type="dxa"/>
        <w:tblLayout w:type="fixed"/>
        <w:tblCellMar>
          <w:top w:w="28" w:type="dxa"/>
          <w:left w:w="28" w:type="dxa"/>
          <w:bottom w:w="28" w:type="dxa"/>
          <w:right w:w="28" w:type="dxa"/>
        </w:tblCellMar>
      </w:tblPr>
      <w:tblGrid>
        <w:gridCol w:w="359"/>
        <w:gridCol w:w="315"/>
        <w:gridCol w:w="316"/>
        <w:gridCol w:w="250"/>
        <w:gridCol w:w="250"/>
        <w:gridCol w:w="624"/>
        <w:gridCol w:w="109"/>
        <w:gridCol w:w="109"/>
        <w:gridCol w:w="109"/>
        <w:gridCol w:w="314"/>
        <w:gridCol w:w="314"/>
        <w:gridCol w:w="917"/>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A</w:t>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B</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Supplier C</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*Supplier accounted for less than 10% of total accounts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Business Combination and Related Transactions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the Closing Date, the Company acquired 100% of the outstanding share capital of Stereolabs, a privately-held developer, manufacturer and seller of vision systems headquartered in France. The acquisition expanded the Company's product portfolio, and is expected to further strengthen its software capabilities and accelerate customer development.</w:t>
      </w:r>
    </w:p>
    <w:p>
      <w:pPr>
        <w:pStyle w:val="TextBody"/>
        <w:bidi w:val="0"/>
        <w:spacing w:lineRule="auto" w:line="288" w:before="120" w:after="120"/>
        <w:jc w:val="left"/>
        <w:rPr/>
      </w:pPr>
      <w:r>
        <w:rPr>
          <w:rFonts w:ascii="Times New Roman;serif" w:hAnsi="Times New Roman;serif"/>
          <w:b w:val="false"/>
          <w:color w:val="000000"/>
          <w:sz w:val="20"/>
        </w:rPr>
        <w:t>Shareholders of Stereolabs received cash consideration of $32.4 million and 1,847,677 newly issued shares of the Company’s common stock, of which 660,005 shares are subject to a staggered lock-up arrangement lasting through a four-year period, whereby twenty-five (25%) percent will be released upon each anniversary of the completion date contingent upon employees remaining employed by the Company. See Note 9</w:t>
      </w:r>
      <w:r>
        <w:rPr>
          <w:rFonts w:ascii="Times New Roman;serif" w:hAnsi="Times New Roman;serif"/>
          <w:b w:val="false"/>
          <w:color w:val="000000"/>
          <w:sz w:val="24"/>
          <w:shd w:fill="FFFFFF" w:val="clear"/>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consideration paid was comprised of cash and common stock, as follows (in thousands):</w:t>
      </w:r>
    </w:p>
    <w:tbl>
      <w:tblPr>
        <w:tblW w:w="9096" w:type="dxa"/>
        <w:jc w:val="left"/>
        <w:tblInd w:w="0" w:type="dxa"/>
        <w:tblLayout w:type="fixed"/>
        <w:tblCellMar>
          <w:top w:w="28" w:type="dxa"/>
          <w:left w:w="28" w:type="dxa"/>
          <w:bottom w:w="28" w:type="dxa"/>
          <w:right w:w="28" w:type="dxa"/>
        </w:tblCellMar>
      </w:tblPr>
      <w:tblGrid>
        <w:gridCol w:w="2897"/>
        <w:gridCol w:w="2550"/>
        <w:gridCol w:w="2563"/>
        <w:gridCol w:w="211"/>
        <w:gridCol w:w="721"/>
        <w:gridCol w:w="154"/>
      </w:tblGrid>
      <w:tr>
        <w:trPr/>
        <w:tc>
          <w:tcPr>
            <w:tcW w:w="2897"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Fair value of common stock issued, less shares subject to continued employment requirements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pPr>
      <w:r>
        <w:rPr>
          <w:rFonts w:ascii="Times New Roman;serif" w:hAnsi="Times New Roman;serif"/>
          <w:b w:val="false"/>
          <w:color w:val="000000"/>
          <w:sz w:val="13"/>
          <w:shd w:fill="FFFFFF" w:val="clear"/>
        </w:rPr>
        <w:t>(1)</w:t>
      </w:r>
      <w:r>
        <w:rPr>
          <w:rFonts w:ascii="Times New Roman;serif" w:hAnsi="Times New Roman;serif"/>
          <w:b w:val="false"/>
          <w:color w:val="000000"/>
          <w:sz w:val="20"/>
        </w:rPr>
        <w:t>Calculated based upon 1,187,672 shares at the stock price of $19.18 per share on the Closing Date.</w:t>
      </w:r>
    </w:p>
    <w:p>
      <w:pPr>
        <w:pStyle w:val="TextBody"/>
        <w:bidi w:val="0"/>
        <w:spacing w:lineRule="auto" w:line="288" w:before="120" w:after="120"/>
        <w:jc w:val="left"/>
        <w:rPr/>
      </w:pPr>
      <w:r>
        <w:rPr>
          <w:rFonts w:ascii="Times New Roman;serif" w:hAnsi="Times New Roman;serif"/>
          <w:b w:val="false"/>
          <w:color w:val="000000"/>
          <w:sz w:val="20"/>
        </w:rPr>
        <w:t xml:space="preserve">The Company accounted for the acquisition of Stereolabs as a business combination under ASC 805. This accounting treatment requires that assets acquired and liabilities assumed be recognized at their fair values as of the acquisition date. </w:t>
      </w:r>
      <w:r>
        <w:rPr>
          <w:rFonts w:ascii="Times New Roman;serif" w:hAnsi="Times New Roman;serif"/>
          <w:b w:val="false"/>
          <w:color w:val="000000"/>
          <w:sz w:val="20"/>
          <w:shd w:fill="FFFFFF" w:val="clear"/>
        </w:rPr>
        <w:t xml:space="preserve">In accordance with ASC 805, the total purchase price was allocated to identifiable tangible and intangible assets acquired and liabilities assumed based on their respective estimated fair values using management’s best estimates and assumptions to assign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pPr>
      <w:r>
        <w:rPr>
          <w:rFonts w:ascii="Times New Roman;serif" w:hAnsi="Times New Roman;serif"/>
          <w:b w:val="false"/>
          <w:color w:val="000000"/>
          <w:sz w:val="20"/>
          <w:shd w:fill="FFFFFF" w:val="clear"/>
        </w:rPr>
        <w:t>as of the acquisition date.</w:t>
      </w:r>
      <w:r>
        <w:rPr>
          <w:color w:val="000000"/>
        </w:rPr>
        <w:t xml:space="preserve"> </w:t>
      </w:r>
      <w:r>
        <w:rPr>
          <w:rFonts w:ascii="Times New Roman;serif" w:hAnsi="Times New Roman;serif"/>
          <w:b w:val="false"/>
          <w:color w:val="000000"/>
          <w:sz w:val="20"/>
        </w:rPr>
        <w:t xml:space="preserve">The allocation of the purchase price to the assets acquired and liabilities assumed is subject to further adjustment within the measurement period which extends up to one year from the acquisition date.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incurred $5.0 million in acquisition costs for Stereolabs, of which $3.9 million was incurred in the year ended December 31, 2025, and $1.2 million was incurred in the six months ended June 30, 2026. These costs were expensed as incurred. Acquisition-related costs are presented within general and administrative expenses in the Company’s condensed consolidated statement of operations. In addition, the sellers incurred transaction costs of $3.0 million which were paid by the Company on the Closing Date.</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The following </w:t>
      </w:r>
      <w:r>
        <w:rPr>
          <w:rFonts w:ascii="Times New Roman;serif" w:hAnsi="Times New Roman;serif"/>
          <w:b w:val="false"/>
          <w:color w:val="000000"/>
          <w:sz w:val="20"/>
        </w:rPr>
        <w:t>table</w:t>
      </w:r>
      <w:r>
        <w:rPr>
          <w:color w:val="000000"/>
          <w:shd w:fill="FFFFFF" w:val="clear"/>
        </w:rPr>
        <w:t xml:space="preserve"> </w:t>
      </w:r>
      <w:r>
        <w:rPr>
          <w:rFonts w:ascii="Times New Roman;serif" w:hAnsi="Times New Roman;serif"/>
          <w:b w:val="false"/>
          <w:color w:val="000000"/>
          <w:sz w:val="20"/>
          <w:shd w:fill="FFFFFF" w:val="clear"/>
        </w:rPr>
        <w:t xml:space="preserve">provides the assets acquired </w:t>
      </w:r>
      <w:r>
        <w:rPr>
          <w:rFonts w:ascii="Times New Roman;serif" w:hAnsi="Times New Roman;serif"/>
          <w:b w:val="false"/>
          <w:color w:val="000000"/>
          <w:sz w:val="20"/>
        </w:rPr>
        <w:t>and</w:t>
      </w:r>
      <w:r>
        <w:rPr>
          <w:color w:val="000000"/>
          <w:shd w:fill="FFFFFF" w:val="clear"/>
        </w:rPr>
        <w:t xml:space="preserve"> </w:t>
      </w:r>
      <w:r>
        <w:rPr>
          <w:rFonts w:ascii="Times New Roman;serif" w:hAnsi="Times New Roman;serif"/>
          <w:b w:val="false"/>
          <w:color w:val="000000"/>
          <w:sz w:val="20"/>
          <w:shd w:fill="FFFFFF" w:val="clear"/>
        </w:rPr>
        <w:t>liabilities assumed as of the date of acquisition (in thousands):</w:t>
      </w:r>
    </w:p>
    <w:tbl>
      <w:tblPr>
        <w:tblW w:w="6164" w:type="dxa"/>
        <w:jc w:val="left"/>
        <w:tblInd w:w="0" w:type="dxa"/>
        <w:tblLayout w:type="fixed"/>
        <w:tblCellMar>
          <w:top w:w="28" w:type="dxa"/>
          <w:left w:w="28" w:type="dxa"/>
          <w:bottom w:w="28" w:type="dxa"/>
          <w:right w:w="28" w:type="dxa"/>
        </w:tblCellMar>
      </w:tblPr>
      <w:tblGrid>
        <w:gridCol w:w="1620"/>
        <w:gridCol w:w="1423"/>
        <w:gridCol w:w="1427"/>
        <w:gridCol w:w="329"/>
        <w:gridCol w:w="1125"/>
        <w:gridCol w:w="240"/>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consideration</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of identifiable assets and liabilities assumed</w:t>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Prepaid expenses and other current assets </w:t>
            </w:r>
            <w:r>
              <w:rPr>
                <w:rFonts w:ascii="Times New Roman;serif" w:hAnsi="Times New Roman;serif"/>
                <w:b w:val="false"/>
                <w:color w:val="000000"/>
                <w:sz w:val="13"/>
              </w:rPr>
              <w:t>(1)</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assets </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current portion</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 portion</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55,172 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Times New Roman;serif" w:hAnsi="Times New Roman;serif"/>
          <w:b w:val="false"/>
          <w:color w:val="000000"/>
          <w:sz w:val="13"/>
          <w:shd w:fill="FFFFFF" w:val="clear"/>
        </w:rPr>
        <w:t xml:space="preserve">(1) </w:t>
      </w:r>
      <w:r>
        <w:rPr>
          <w:rFonts w:ascii="Times New Roman;serif" w:hAnsi="Times New Roman;serif"/>
          <w:b w:val="false"/>
          <w:color w:val="000000"/>
          <w:sz w:val="20"/>
        </w:rPr>
        <w:t>Prepaid expenses and other current assets includes a $1.9 million indemnification asset, with the underlying indemnified liability of $6.3 million</w:t>
      </w:r>
      <w:r>
        <w:rPr>
          <w:color w:val="000000"/>
        </w:rPr>
        <w:t xml:space="preserve"> </w:t>
      </w:r>
      <w:r>
        <w:rPr>
          <w:rFonts w:ascii="Times New Roman;serif" w:hAnsi="Times New Roman;serif"/>
          <w:b w:val="false"/>
          <w:color w:val="000000"/>
          <w:sz w:val="20"/>
        </w:rPr>
        <w:t>recorded within accrued and other current liabilities.</w:t>
      </w:r>
    </w:p>
    <w:p>
      <w:pPr>
        <w:pStyle w:val="TextBody"/>
        <w:bidi w:val="0"/>
        <w:spacing w:lineRule="auto" w:line="276"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Identified intangible assets acquired and their estimated useful lives as of February 4, 2026, were (in thousands, except years):</w:t>
      </w:r>
    </w:p>
    <w:tbl>
      <w:tblPr>
        <w:tblW w:w="6207" w:type="dxa"/>
        <w:jc w:val="left"/>
        <w:tblInd w:w="0" w:type="dxa"/>
        <w:tblLayout w:type="fixed"/>
        <w:tblCellMar>
          <w:top w:w="28" w:type="dxa"/>
          <w:left w:w="28" w:type="dxa"/>
          <w:bottom w:w="28" w:type="dxa"/>
          <w:right w:w="28" w:type="dxa"/>
        </w:tblCellMar>
      </w:tblPr>
      <w:tblGrid>
        <w:gridCol w:w="722"/>
        <w:gridCol w:w="634"/>
        <w:gridCol w:w="639"/>
        <w:gridCol w:w="640"/>
        <w:gridCol w:w="640"/>
        <w:gridCol w:w="641"/>
        <w:gridCol w:w="109"/>
        <w:gridCol w:w="109"/>
        <w:gridCol w:w="109"/>
        <w:gridCol w:w="381"/>
        <w:gridCol w:w="1305"/>
        <w:gridCol w:w="278"/>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Estimated Fair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Developed technology relates to Stereolabs’ vision-based perception and Artificial Intelligence (“AI”) platform that provides real-time depth sensing, 3D mapping, and object detection in complex real-world environments. The Company valued the developed technology using the relief-from-royalty method under the income approach, which involved assumptions related to the economic life, obsolescence curve, and discount rate. The economic life was determined based on the development cycle, benchmarking analysis, and the projected cash flows over the forecasted period.</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estimated fair value of the trade name was determined using the relief-from-royalty method under the income approach, which involved assumptions related to the economic life and discount rate. The Stereolabs trade name is expected to be in use for the foreseeable future and the economic life was determined based on the branding strategy, benchmarking analysis, and the projected cash flows over the forecasted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valued the customer relationship intangible asset using the multi-period excess earnings method under the income approach, which involved assumptions related to the economic life and discount rate. The economic life was determined based on expected attrition and existing customer revenue growth, as well as the period over which the majority of discounted cash flows would be realized.</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excess of the purchase consideration and the fair value of identifiable assets acquired and liabilities assumed at the acquisition date over the fair value of net tangible and identified intangible assets acquired was recorded as goodwill, which is deductible for tax purposes. Goodwill is primarily attributable to the assembled workforce and the anticipated operational synergies expected from the Stereolabs acquisition.</w:t>
      </w:r>
    </w:p>
    <w:p>
      <w:pPr>
        <w:pStyle w:val="TextBody"/>
        <w:bidi w:val="0"/>
        <w:spacing w:lineRule="auto" w:line="276" w:before="120" w:after="283"/>
        <w:jc w:val="left"/>
        <w:rPr/>
      </w:pPr>
      <w:r>
        <w:rPr>
          <w:rFonts w:ascii="Times New Roman;serif" w:hAnsi="Times New Roman;serif"/>
          <w:b w:val="false"/>
          <w:color w:val="000000"/>
          <w:sz w:val="20"/>
        </w:rPr>
        <w:t xml:space="preserve">Approximately $1.9 million of the cash consideration is held in an escrow account to cover estimated claims arising from pre-closing tax accruals </w:t>
      </w:r>
      <w:r>
        <w:rPr>
          <w:rFonts w:ascii="Times New Roman;serif" w:hAnsi="Times New Roman;serif"/>
          <w:b w:val="false"/>
          <w:color w:val="000000"/>
          <w:sz w:val="20"/>
          <w:shd w:fill="FFFFFF" w:val="clear"/>
        </w:rPr>
        <w:t xml:space="preserve">related to certain historical foreign sales transactions </w:t>
      </w:r>
      <w:r>
        <w:rPr>
          <w:rFonts w:ascii="Times New Roman;serif" w:hAnsi="Times New Roman;serif"/>
          <w:b w:val="false"/>
          <w:color w:val="000000"/>
          <w:sz w:val="20"/>
        </w:rPr>
        <w:t xml:space="preserve">and other taxes (“the Specific Tax Loss”). Any remaining portion of the escrow amount that is not required to cover the Specific Tax Loss amounts will be paid to the former shareholders of Stereolabs at December 31, 2027 (the escrow release date). </w:t>
      </w:r>
      <w:r>
        <w:rPr>
          <w:rFonts w:ascii="Times New Roman;serif" w:hAnsi="Times New Roman;serif"/>
          <w:b w:val="false"/>
          <w:color w:val="000000"/>
          <w:sz w:val="20"/>
          <w:shd w:fill="FFFFFF" w:val="clear"/>
        </w:rPr>
        <w:t xml:space="preserve">The indemnification of the </w:t>
      </w:r>
      <w:r>
        <w:rPr>
          <w:rFonts w:ascii="Times New Roman;serif" w:hAnsi="Times New Roman;serif"/>
          <w:b w:val="false"/>
          <w:color w:val="000000"/>
          <w:sz w:val="20"/>
        </w:rPr>
        <w:t>Specific Tax Loss</w:t>
      </w:r>
      <w:r>
        <w:rPr>
          <w:color w:val="000000"/>
          <w:shd w:fill="FFFFFF" w:val="clear"/>
        </w:rPr>
        <w:t xml:space="preserve"> </w:t>
      </w:r>
      <w:r>
        <w:rPr>
          <w:rFonts w:ascii="Times New Roman;serif" w:hAnsi="Times New Roman;serif"/>
          <w:b w:val="false"/>
          <w:color w:val="000000"/>
          <w:sz w:val="20"/>
          <w:shd w:fill="FFFFFF" w:val="clear"/>
        </w:rPr>
        <w:t xml:space="preserve">is capped at </w:t>
      </w:r>
      <w:r>
        <w:rPr>
          <w:rFonts w:ascii="Times New Roman;serif" w:hAnsi="Times New Roman;serif"/>
          <w:b w:val="false"/>
          <w:color w:val="000000"/>
          <w:sz w:val="20"/>
        </w:rPr>
        <w:t>$1.9 million</w:t>
      </w:r>
      <w:r>
        <w:rPr>
          <w:rFonts w:ascii="Times New Roman;serif" w:hAnsi="Times New Roman;serif"/>
          <w:b w:val="false"/>
          <w:color w:val="000000"/>
          <w:sz w:val="20"/>
          <w:shd w:fill="FFFFFF" w:val="clear"/>
        </w:rPr>
        <w:t xml:space="preserve">, the amount of the escrow fund balance. At the acquisition date, the associated </w:t>
      </w:r>
      <w:r>
        <w:rPr>
          <w:rFonts w:ascii="Times New Roman;serif" w:hAnsi="Times New Roman;serif"/>
          <w:b w:val="false"/>
          <w:color w:val="000000"/>
          <w:sz w:val="20"/>
        </w:rPr>
        <w:t>Specific Tax Loss</w:t>
      </w:r>
      <w:r>
        <w:rPr>
          <w:color w:val="000000"/>
          <w:shd w:fill="FFFFFF" w:val="clear"/>
        </w:rPr>
        <w:t xml:space="preserve"> </w:t>
      </w:r>
      <w:r>
        <w:rPr>
          <w:rFonts w:ascii="Times New Roman;serif" w:hAnsi="Times New Roman;serif"/>
          <w:b w:val="false"/>
          <w:color w:val="000000"/>
          <w:sz w:val="20"/>
          <w:shd w:fill="FFFFFF" w:val="clear"/>
        </w:rPr>
        <w:t xml:space="preserve">was recorded at the estimated fair value of </w:t>
      </w:r>
      <w:r>
        <w:rPr>
          <w:rFonts w:ascii="Times New Roman;serif" w:hAnsi="Times New Roman;serif"/>
          <w:b w:val="false"/>
          <w:color w:val="000000"/>
          <w:sz w:val="20"/>
        </w:rPr>
        <w:t>$6.3 million</w:t>
      </w:r>
      <w:r>
        <w:rPr>
          <w:color w:val="000000"/>
          <w:shd w:fill="FFFFFF" w:val="clear"/>
        </w:rPr>
        <w:t xml:space="preserve"> </w:t>
      </w:r>
      <w:r>
        <w:rPr>
          <w:rFonts w:ascii="Times New Roman;serif" w:hAnsi="Times New Roman;serif"/>
          <w:b w:val="false"/>
          <w:color w:val="000000"/>
          <w:sz w:val="20"/>
          <w:shd w:fill="FFFFFF" w:val="clear"/>
        </w:rPr>
        <w:t xml:space="preserve">within </w:t>
      </w:r>
      <w:r>
        <w:rPr>
          <w:rFonts w:ascii="Times New Roman;serif" w:hAnsi="Times New Roman;serif"/>
          <w:b w:val="false"/>
          <w:color w:val="000000"/>
          <w:sz w:val="20"/>
        </w:rPr>
        <w:t>accrued and other current liabilities</w:t>
      </w:r>
      <w:r>
        <w:rPr>
          <w:color w:val="000000"/>
          <w:shd w:fill="FFFFFF" w:val="clear"/>
        </w:rPr>
        <w:t xml:space="preserve"> </w:t>
      </w:r>
      <w:r>
        <w:rPr>
          <w:rFonts w:ascii="Times New Roman;serif" w:hAnsi="Times New Roman;serif"/>
          <w:b w:val="false"/>
          <w:color w:val="000000"/>
          <w:sz w:val="20"/>
          <w:shd w:fill="FFFFFF" w:val="clear"/>
        </w:rPr>
        <w:t xml:space="preserve">and the Company recorded an indemnification asset up to the amount of the escrow fund balance of </w:t>
      </w:r>
      <w:r>
        <w:rPr>
          <w:rFonts w:ascii="Times New Roman;serif" w:hAnsi="Times New Roman;serif"/>
          <w:b w:val="false"/>
          <w:color w:val="000000"/>
          <w:sz w:val="20"/>
        </w:rPr>
        <w:t>$1.9 million</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unaudited supplemental pro forma information below presents the combined historical results of operations of the Company and Stereolabs as if Stereolabs had been acquired as of January 1, 2025 (in thousands):</w:t>
      </w:r>
    </w:p>
    <w:p>
      <w:pPr>
        <w:pStyle w:val="TextBody"/>
        <w:bidi w:val="0"/>
        <w:spacing w:before="0" w:after="0"/>
        <w:jc w:val="left"/>
        <w:rPr/>
      </w:pPr>
      <w:r>
        <w:rPr/>
      </w:r>
    </w:p>
    <w:tbl>
      <w:tblPr>
        <w:tblW w:w="8228"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09"/>
        <w:gridCol w:w="332"/>
        <w:gridCol w:w="1254"/>
        <w:gridCol w:w="171"/>
        <w:gridCol w:w="171"/>
        <w:gridCol w:w="171"/>
        <w:gridCol w:w="171"/>
        <w:gridCol w:w="171"/>
        <w:gridCol w:w="211"/>
        <w:gridCol w:w="796"/>
        <w:gridCol w:w="109"/>
        <w:gridCol w:w="135"/>
        <w:gridCol w:w="135"/>
        <w:gridCol w:w="135"/>
        <w:gridCol w:w="262"/>
        <w:gridCol w:w="1026"/>
        <w:gridCol w:w="135"/>
        <w:gridCol w:w="135"/>
        <w:gridCol w:w="135"/>
        <w:gridCol w:w="135"/>
        <w:gridCol w:w="211"/>
        <w:gridCol w:w="79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161" w:type="dxa"/>
            <w:gridSpan w:val="3"/>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105,189 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(42,359)</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unaudited supplemental pro forma information above includes the following adjustments to net loss in the appropriate pro forma periods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99"/>
        <w:gridCol w:w="1669"/>
        <w:gridCol w:w="1679"/>
        <w:gridCol w:w="109"/>
        <w:gridCol w:w="109"/>
        <w:gridCol w:w="109"/>
        <w:gridCol w:w="109"/>
        <w:gridCol w:w="237"/>
        <w:gridCol w:w="492"/>
        <w:gridCol w:w="132"/>
        <w:gridCol w:w="132"/>
        <w:gridCol w:w="132"/>
        <w:gridCol w:w="132"/>
        <w:gridCol w:w="132"/>
        <w:gridCol w:w="197"/>
        <w:gridCol w:w="588"/>
        <w:gridCol w:w="109"/>
        <w:gridCol w:w="197"/>
        <w:gridCol w:w="561"/>
        <w:gridCol w:w="109"/>
        <w:gridCol w:w="109"/>
        <w:gridCol w:w="109"/>
        <w:gridCol w:w="109"/>
        <w:gridCol w:w="196"/>
        <w:gridCol w:w="582"/>
        <w:gridCol w:w="167"/>
      </w:tblGrid>
      <w:tr>
        <w:trPr/>
        <w:tc>
          <w:tcPr>
            <w:tcW w:w="199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Three Months Ended June 30,</w:t>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Six Months Ended June 30,</w:t>
            </w:r>
          </w:p>
        </w:tc>
        <w:tc>
          <w:tcPr>
            <w:tcW w:w="945" w:type="dxa"/>
            <w:gridSpan w:val="3"/>
            <w:tcBorders/>
          </w:tcPr>
          <w:p>
            <w:pPr>
              <w:pStyle w:val="TableContents"/>
              <w:bidi w:val="0"/>
              <w:spacing w:before="0" w:after="283"/>
              <w:jc w:val="left"/>
              <w:rPr>
                <w:sz w:val="4"/>
                <w:szCs w:val="4"/>
              </w:rPr>
            </w:pPr>
            <w:r>
              <w:rPr>
                <w:sz w:val="4"/>
                <w:szCs w:val="4"/>
              </w:rPr>
            </w:r>
          </w:p>
        </w:tc>
      </w:tr>
      <w:tr>
        <w:trPr/>
        <w:tc>
          <w:tcPr>
            <w:tcW w:w="5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2025</w:t>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2025</w:t>
            </w:r>
          </w:p>
        </w:tc>
      </w:tr>
      <w:tr>
        <w:trPr/>
        <w:tc>
          <w:tcPr>
            <w:tcW w:w="5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 increase in amortization expense related to the fair value of acquired identifiable intangible assets, net of the amortization expense already reflected in actual historical results.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 decrease (increase) in expenses related to the transaction expenses. This amount includes $3.0 million in transaction expenses incurred by the sellers.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 increase in additional stock-based compensation expense related to shares issued to key Stereolabs employees in the acquisition that are considered compensatory in the post business combination periods due to the additional service requirement, net of the stock compensation expense already reflected in actual historical results.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 decrease (increase) in additional stock-based compensation expense related to the impact of the acceleration of Stereolabs warrants that vested at the close of the Stereolabs acquisition.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unaudited supplemental pro forma information has been presented for illustrative purposes only and is not necessarily indicative of results of operations that would have been achieved had the Stereolabs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Stereolabs.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4. Fair Value of Financial Instruments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provides information by level for the Company’s assets that were measured at fair value on a recurring basis (in thousands):</w:t>
      </w:r>
    </w:p>
    <w:tbl>
      <w:tblPr>
        <w:tblW w:w="669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300" w:type="dxa"/>
            <w:gridSpan w:val="4"/>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are included within Level 1 of the fair value hierarchy because they are valued using quoted market prices in active markets.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value of securities included in Level 2 are based on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value and changes in Level 3 liabilities measured at fair value on a recurring basis are immaterial.</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Non-Recurring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certain assets, including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Disclosure of Fair Values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that are not re-measured at fair value include accounts receivable, accounts payable, accrued and other current liabilities. The carrying values of these financial instruments approximate their fair values. Unrealized gains and losses on the Company’s short-term investments were not significant as of June 30, 2026 and December 31, 2025, and therefore, the amortized cost of the Company’s short-term investments approximated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5. Balance Sheet Components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cash and cash equivalents consist of the following (in thousands): </w:t>
      </w:r>
    </w:p>
    <w:tbl>
      <w:tblPr>
        <w:tblW w:w="5207" w:type="dxa"/>
        <w:jc w:val="left"/>
        <w:tblInd w:w="0" w:type="dxa"/>
        <w:tblLayout w:type="fixed"/>
        <w:tblCellMar>
          <w:top w:w="28" w:type="dxa"/>
          <w:left w:w="28" w:type="dxa"/>
          <w:bottom w:w="28" w:type="dxa"/>
          <w:right w:w="28" w:type="dxa"/>
        </w:tblCellMar>
      </w:tblPr>
      <w:tblGrid>
        <w:gridCol w:w="976"/>
        <w:gridCol w:w="855"/>
        <w:gridCol w:w="869"/>
        <w:gridCol w:w="211"/>
        <w:gridCol w:w="721"/>
        <w:gridCol w:w="109"/>
        <w:gridCol w:w="109"/>
        <w:gridCol w:w="109"/>
        <w:gridCol w:w="109"/>
        <w:gridCol w:w="221"/>
        <w:gridCol w:w="757"/>
        <w:gridCol w:w="161"/>
      </w:tblGrid>
      <w:tr>
        <w:trPr/>
        <w:tc>
          <w:tcPr>
            <w:tcW w:w="97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Company maintains a cash sweep account, which is included in money market funds as of June 30, 2026 and December 31, 2025. Cash is invested in short-term money market funds that earn interest.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consists of collateral to merchant credit card, deposit account to secure foreign entity closure costs, issuances of deposit performance guarantee issued in favor of a customer, and certificates of deposit held by a bank as security for outstanding letters of credit. The Company had a restricted cash balance of $1.4 million and $2.6 million as of June 30, 2026 and December 31, 2025, respectively, which has been excluded from the Company’s cash and cash equivalents balances. The Company presented $0.3 million and $1.5 million of the total amount of restricted cash within current assets on the unaudited condensed consolidated balance sheets as of June 30, 2026 and December 31, 2025, respectively. The remaining restricted cash balance of $1.1 million and $1.1 million is included in non-current assets on the condensed consolidated balance sheets as of June 30, 2026 and December 31, 2025,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in the unaudited condensed consolidated balance sheets to the total of the amounts reported in the unaudited condensed consolidated statements of cash flows (in thousands):</w:t>
      </w:r>
    </w:p>
    <w:tbl>
      <w:tblPr>
        <w:tblW w:w="6399" w:type="dxa"/>
        <w:jc w:val="left"/>
        <w:tblInd w:w="0" w:type="dxa"/>
        <w:tblLayout w:type="fixed"/>
        <w:tblCellMar>
          <w:top w:w="28" w:type="dxa"/>
          <w:left w:w="28" w:type="dxa"/>
          <w:bottom w:w="28" w:type="dxa"/>
          <w:right w:w="28" w:type="dxa"/>
        </w:tblCellMar>
      </w:tblPr>
      <w:tblGrid>
        <w:gridCol w:w="1429"/>
        <w:gridCol w:w="1254"/>
        <w:gridCol w:w="1262"/>
        <w:gridCol w:w="211"/>
        <w:gridCol w:w="721"/>
        <w:gridCol w:w="109"/>
        <w:gridCol w:w="109"/>
        <w:gridCol w:w="109"/>
        <w:gridCol w:w="109"/>
        <w:gridCol w:w="211"/>
        <w:gridCol w:w="72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consisting of material, direct and indirect labor, and manufacturing overhead, consists of the following (in thousands):</w:t>
      </w:r>
    </w:p>
    <w:tbl>
      <w:tblPr>
        <w:tblW w:w="3932" w:type="dxa"/>
        <w:jc w:val="left"/>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Prepaid expenses and other current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436" w:type="dxa"/>
        <w:jc w:val="left"/>
        <w:tblInd w:w="0" w:type="dxa"/>
        <w:tblLayout w:type="fixed"/>
        <w:tblCellMar>
          <w:top w:w="28" w:type="dxa"/>
          <w:left w:w="28" w:type="dxa"/>
          <w:bottom w:w="28" w:type="dxa"/>
          <w:right w:w="28" w:type="dxa"/>
        </w:tblCellMar>
      </w:tblPr>
      <w:tblGrid>
        <w:gridCol w:w="1424"/>
        <w:gridCol w:w="1248"/>
        <w:gridCol w:w="1257"/>
        <w:gridCol w:w="211"/>
        <w:gridCol w:w="721"/>
        <w:gridCol w:w="109"/>
        <w:gridCol w:w="109"/>
        <w:gridCol w:w="109"/>
        <w:gridCol w:w="109"/>
        <w:gridCol w:w="221"/>
        <w:gridCol w:w="757"/>
        <w:gridCol w:w="161"/>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contract manufacturer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Import duty receivable (See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 Income tax refund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asset (See Note 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 (in thousands):</w:t>
      </w:r>
    </w:p>
    <w:tbl>
      <w:tblPr>
        <w:tblW w:w="8519" w:type="dxa"/>
        <w:jc w:val="left"/>
        <w:tblInd w:w="0" w:type="dxa"/>
        <w:tblLayout w:type="fixed"/>
        <w:tblCellMar>
          <w:top w:w="28" w:type="dxa"/>
          <w:left w:w="28" w:type="dxa"/>
          <w:bottom w:w="28" w:type="dxa"/>
          <w:right w:w="28" w:type="dxa"/>
        </w:tblCellMar>
      </w:tblPr>
      <w:tblGrid>
        <w:gridCol w:w="1036"/>
        <w:gridCol w:w="908"/>
        <w:gridCol w:w="920"/>
        <w:gridCol w:w="939"/>
        <w:gridCol w:w="939"/>
        <w:gridCol w:w="943"/>
        <w:gridCol w:w="109"/>
        <w:gridCol w:w="109"/>
        <w:gridCol w:w="109"/>
        <w:gridCol w:w="211"/>
        <w:gridCol w:w="721"/>
        <w:gridCol w:w="109"/>
        <w:gridCol w:w="109"/>
        <w:gridCol w:w="109"/>
        <w:gridCol w:w="109"/>
        <w:gridCol w:w="221"/>
        <w:gridCol w:w="757"/>
        <w:gridCol w:w="161"/>
      </w:tblGrid>
      <w:tr>
        <w:trPr/>
        <w:tc>
          <w:tcPr>
            <w:tcW w:w="10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 depreciated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vehicle hardware</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useful life or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2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associated with property and equipment was $2.1 million and $1.4 million during the six months ended June 30, 2026 and 2025,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Goodwill and Acquired Intangible Assets, Net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as follows (in thousands):</w:t>
      </w:r>
    </w:p>
    <w:tbl>
      <w:tblPr>
        <w:tblW w:w="5360" w:type="dxa"/>
        <w:jc w:val="left"/>
        <w:tblInd w:w="0" w:type="dxa"/>
        <w:tblLayout w:type="fixed"/>
        <w:tblCellMar>
          <w:top w:w="28" w:type="dxa"/>
          <w:left w:w="28" w:type="dxa"/>
          <w:bottom w:w="28" w:type="dxa"/>
          <w:right w:w="28" w:type="dxa"/>
        </w:tblCellMar>
      </w:tblPr>
      <w:tblGrid>
        <w:gridCol w:w="1547"/>
        <w:gridCol w:w="1359"/>
        <w:gridCol w:w="1368"/>
        <w:gridCol w:w="211"/>
        <w:gridCol w:w="721"/>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addition related to Stereolabs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Annually, and/or upon the identification of a triggering event, management is required to perform an assessment of fair value relative to carrying value of goodwill. Triggering events potentially warranting an interim goodwill impairment test include, among other factors, declines in historical or projected revenue, operating income or cash flows, and sustained declines in the Company’s stock price or market capitalization, considered both in absolute terms and relative to peers. There were no triggering events during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present acquired intangible assets, net as of June 30, 2026 and December 31, 2025 (in thousands):</w:t>
      </w:r>
    </w:p>
    <w:tbl>
      <w:tblPr>
        <w:tblW w:w="9862" w:type="dxa"/>
        <w:jc w:val="left"/>
        <w:tblInd w:w="0" w:type="dxa"/>
        <w:tblLayout w:type="fixed"/>
        <w:tblCellMar>
          <w:top w:w="28" w:type="dxa"/>
          <w:left w:w="28" w:type="dxa"/>
          <w:bottom w:w="28" w:type="dxa"/>
          <w:right w:w="28" w:type="dxa"/>
        </w:tblCellMar>
      </w:tblPr>
      <w:tblGrid>
        <w:gridCol w:w="722"/>
        <w:gridCol w:w="634"/>
        <w:gridCol w:w="639"/>
        <w:gridCol w:w="550"/>
        <w:gridCol w:w="550"/>
        <w:gridCol w:w="551"/>
        <w:gridCol w:w="109"/>
        <w:gridCol w:w="109"/>
        <w:gridCol w:w="109"/>
        <w:gridCol w:w="380"/>
        <w:gridCol w:w="1299"/>
        <w:gridCol w:w="196"/>
        <w:gridCol w:w="109"/>
        <w:gridCol w:w="109"/>
        <w:gridCol w:w="109"/>
        <w:gridCol w:w="391"/>
        <w:gridCol w:w="1477"/>
        <w:gridCol w:w="202"/>
        <w:gridCol w:w="109"/>
        <w:gridCol w:w="109"/>
        <w:gridCol w:w="109"/>
        <w:gridCol w:w="250"/>
        <w:gridCol w:w="857"/>
        <w:gridCol w:w="183"/>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relationship</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(26,892)</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32,908 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62" w:type="dxa"/>
        <w:jc w:val="left"/>
        <w:tblInd w:w="0" w:type="dxa"/>
        <w:tblLayout w:type="fixed"/>
        <w:tblCellMar>
          <w:top w:w="28" w:type="dxa"/>
          <w:left w:w="28" w:type="dxa"/>
          <w:bottom w:w="28" w:type="dxa"/>
          <w:right w:w="28" w:type="dxa"/>
        </w:tblCellMar>
      </w:tblPr>
      <w:tblGrid>
        <w:gridCol w:w="723"/>
        <w:gridCol w:w="634"/>
        <w:gridCol w:w="638"/>
        <w:gridCol w:w="550"/>
        <w:gridCol w:w="550"/>
        <w:gridCol w:w="551"/>
        <w:gridCol w:w="109"/>
        <w:gridCol w:w="109"/>
        <w:gridCol w:w="109"/>
        <w:gridCol w:w="380"/>
        <w:gridCol w:w="1299"/>
        <w:gridCol w:w="196"/>
        <w:gridCol w:w="109"/>
        <w:gridCol w:w="109"/>
        <w:gridCol w:w="109"/>
        <w:gridCol w:w="391"/>
        <w:gridCol w:w="1477"/>
        <w:gridCol w:w="202"/>
        <w:gridCol w:w="109"/>
        <w:gridCol w:w="109"/>
        <w:gridCol w:w="109"/>
        <w:gridCol w:w="250"/>
        <w:gridCol w:w="857"/>
        <w:gridCol w:w="18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Vendor relationship</w:t>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(23,084)</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was $3.8 million and $2.2 million during the six months ended June 30, 2026 and 2025,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estimated future amortization expense of finite-lived intangible assets-net (in thousands):</w:t>
      </w:r>
    </w:p>
    <w:tbl>
      <w:tblPr>
        <w:tblW w:w="2766" w:type="dxa"/>
        <w:jc w:val="left"/>
        <w:tblInd w:w="0" w:type="dxa"/>
        <w:tblLayout w:type="fixed"/>
        <w:tblCellMar>
          <w:top w:w="28" w:type="dxa"/>
          <w:left w:w="28" w:type="dxa"/>
          <w:bottom w:w="28" w:type="dxa"/>
          <w:right w:w="28" w:type="dxa"/>
        </w:tblCellMar>
      </w:tblPr>
      <w:tblGrid>
        <w:gridCol w:w="608"/>
        <w:gridCol w:w="531"/>
        <w:gridCol w:w="541"/>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Accrued and Other Current Liabilities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and other current liabilities consist of the following (in thousands): </w:t>
      </w:r>
    </w:p>
    <w:tbl>
      <w:tblPr>
        <w:tblW w:w="7697" w:type="dxa"/>
        <w:jc w:val="left"/>
        <w:tblInd w:w="0" w:type="dxa"/>
        <w:tblLayout w:type="fixed"/>
        <w:tblCellMar>
          <w:top w:w="28" w:type="dxa"/>
          <w:left w:w="28" w:type="dxa"/>
          <w:bottom w:w="28" w:type="dxa"/>
          <w:right w:w="28" w:type="dxa"/>
        </w:tblCellMar>
      </w:tblPr>
      <w:tblGrid>
        <w:gridCol w:w="1881"/>
        <w:gridCol w:w="1650"/>
        <w:gridCol w:w="1659"/>
        <w:gridCol w:w="211"/>
        <w:gridCol w:w="721"/>
        <w:gridCol w:w="109"/>
        <w:gridCol w:w="109"/>
        <w:gridCol w:w="109"/>
        <w:gridCol w:w="109"/>
        <w:gridCol w:w="221"/>
        <w:gridCol w:w="757"/>
        <w:gridCol w:w="161"/>
      </w:tblGrid>
      <w:tr>
        <w:trPr/>
        <w:tc>
          <w:tcPr>
            <w:tcW w:w="188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fees and contingencies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Uninvoiced receipts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use, value-added taxes, customs duties and other taxes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Times New Roman;serif" w:hAnsi="Times New Roman;serif"/>
          <w:b w:val="false"/>
          <w:color w:val="000000"/>
          <w:sz w:val="13"/>
          <w:shd w:fill="FFFFFF" w:val="clear"/>
        </w:rPr>
        <w:t xml:space="preserve">(1) </w:t>
      </w:r>
      <w:r>
        <w:rPr>
          <w:rFonts w:ascii="Times New Roman;serif" w:hAnsi="Times New Roman;serif"/>
          <w:b w:val="false"/>
          <w:color w:val="000000"/>
          <w:sz w:val="20"/>
        </w:rPr>
        <w:t xml:space="preserve">Includes indemnified Specific Tax Loss Liabilities of $6.3 million from the Stereolabs acquisition. </w:t>
      </w:r>
      <w:r>
        <w:rPr>
          <w:rFonts w:ascii="Times New Roman;serif" w:hAnsi="Times New Roman;serif"/>
          <w:b w:val="false"/>
          <w:color w:val="000000"/>
          <w:sz w:val="20"/>
          <w:shd w:fill="FFFFFF" w:val="clear"/>
        </w:rPr>
        <w:t xml:space="preserve">The indemnification of the </w:t>
      </w:r>
      <w:r>
        <w:rPr>
          <w:rFonts w:ascii="Times New Roman;serif" w:hAnsi="Times New Roman;serif"/>
          <w:b w:val="false"/>
          <w:color w:val="000000"/>
          <w:sz w:val="20"/>
        </w:rPr>
        <w:t>Specific Tax Loss</w:t>
      </w:r>
      <w:r>
        <w:rPr>
          <w:color w:val="000000"/>
          <w:shd w:fill="FFFFFF" w:val="clear"/>
        </w:rPr>
        <w:t xml:space="preserve"> </w:t>
      </w:r>
      <w:r>
        <w:rPr>
          <w:rFonts w:ascii="Times New Roman;serif" w:hAnsi="Times New Roman;serif"/>
          <w:b w:val="false"/>
          <w:color w:val="000000"/>
          <w:sz w:val="20"/>
          <w:shd w:fill="FFFFFF" w:val="clear"/>
        </w:rPr>
        <w:t xml:space="preserve">is capped at </w:t>
      </w:r>
      <w:r>
        <w:rPr>
          <w:rFonts w:ascii="Times New Roman;serif" w:hAnsi="Times New Roman;serif"/>
          <w:b w:val="false"/>
          <w:color w:val="000000"/>
          <w:sz w:val="20"/>
        </w:rPr>
        <w:t>$1.9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See Note 3</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Amazon Warrant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10, 2023, as part of the Velodyne Merger, the Company assumed a warrant agreement and a transaction agreement, pursuant to which Velodyne agreed to issue to Amazon.com NV Investment Holdings LLC, a wholly-owned subsidiary of Amazon.com Inc. (“Amazon”), a warrant to acquire, following customary antidilution adjustments, up to an aggregate of 3,263,898 shares of the Company’s common stock at an exercise price of $50.71 per share (the “Amazon Warrant”). The exercise price and the warrant shares issuable upon exercise of the Amazon Warrant are subject to further antidilution adjustments, including in the event the Company makes certain sales of common stock (or securities exercisable or convertible into or exchangeable for shares of the Company’s common stock) at a price less than the exercise price of the Amazon Warrant. During the six months ended June 30, 2026, the Company issued an additional 1,847,677 shares of common stock pursuant to the Stereolabs acquisition at effective prices below the exercise price of the Amazon Warrant, resulting in an antidilution adjustment to the terms of the Amazon Warrant with an increase in the number of shares issuable under the Amazon Warrant by 5,185 shares of common stock and a reduction to the original strike price of the Amazon Warrant to $50.49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issuance and sale by the Company of an additional 3,649,000 shares of common stock in the three months ended June 30, 2026 pursuant to a Sales Agreement (the “ATM Agreement”), dated May 8, 2026, by and among the Company, Oppenheimer &amp; Co. Inc., Northland Securities, Inc., Rosenblatt Securities Inc., and Roth Capital Partners, LLC, at prices below the exercise price of the Amazon Warrant, an antidilution adjustment to the terms of the Amazon Warrant occurred (see Note 8), resulting in the increase in the number of shares issuable under the Amazon Warrant by 12,939 shares of common stock and a reduction to the original strike price of the Amazon Warrant to $50.30 per share.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3,290,094 shares of common stock issuable under the Amazon Warrant.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will be recognized as a non-cash stock-based reduction to revenue when Amazon makes payments and vesting conditions become probable of being achieved.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right to exercise the Amazon Warrant and receive the warrant shares that have vested expires February 4, 2030.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289,490 Amazon Warrant shares vested. In the six months ended June 30, 2026, 432,380 Amazon Warrant shares vested. As of June 30, 2026, there were 3,161,365 Amazon Warrant shares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Letters of Credit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certain office leasehold interests in real property located in San Francisco (350 Treat Ave. and 2741 16th Street),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June 30, 2026 and December 31, 2025. The amount collateralizing the 2741 16th Street lease letter of credit following the purchase of the property and the termination of the 2741 16th Street lease was released during the first fiscal quarter of 2026. The outstanding amount of the letters of credit was $0.3 million and $1.4 million as of June 30, 2026 and December 31, 2025, respectively.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Non-cancelable purchase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non-cancelable purchase commitments to third-party contract manufacturers for approximately $24.8 million and other vendors for approximately $21.5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Contingencies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the Company may be involved in legal and administrative proceedings arising in the ordinary course of business.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loss contingency and an estimate of possible loss or range of loss (unless such an estimate cannot be made). Legal costs incurred in connection with loss contingencies are expensed as incurred.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involved in various legal proceedings arising in the ordinary course of business. Significant judgment is required in both the determination of probability and the determination as to whether any exposure is reasonably estimable. Actual outcomes of these legal and regulatory proceedings may materially differ from our current estimates.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Velodyne Legacy Litigation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2022, David and Marta Hall filed a lawsuit against current and former officers and directors of Velodyne, which proceeded through arbitration. In addition, in 2023, David and Marta Hall filed a separate complaint against Velodyne seeking indemnification for legal fees in California state court. The parties agreed to a confidential settlement, without any admission or concession of wrongdoing or liability, for both matters and executed the definitive agreement on April 16, 2025. The Company paid an immaterial amount in settlement expenses in the second quarter of fiscal 2025. An insurance receivable allowed the Company to recover the majority of the settlement expenses, resulting in a net charge that was immaterial to its consolidated statement of operations </w:t>
      </w:r>
    </w:p>
    <w:p>
      <w:pPr>
        <w:pStyle w:val="TextBody"/>
        <w:bidi w:val="0"/>
        <w:spacing w:lineRule="auto" w:line="288" w:before="120" w:after="283"/>
        <w:jc w:val="left"/>
        <w:rPr/>
      </w:pPr>
      <w:r>
        <w:rPr>
          <w:rFonts w:ascii="Times New Roman;serif" w:hAnsi="Times New Roman;serif"/>
          <w:b w:val="false"/>
          <w:color w:val="000000"/>
          <w:sz w:val="20"/>
        </w:rPr>
        <w:t xml:space="preserve">In 2023, a putative </w:t>
      </w:r>
      <w:r>
        <w:rPr>
          <w:rFonts w:ascii="Times New Roman;serif" w:hAnsi="Times New Roman;serif"/>
          <w:b w:val="false"/>
          <w:color w:val="000000"/>
          <w:sz w:val="20"/>
          <w:shd w:fill="FFFFFF" w:val="clear"/>
        </w:rPr>
        <w:t>shareholder</w:t>
      </w:r>
      <w:r>
        <w:rPr>
          <w:color w:val="000000"/>
        </w:rPr>
        <w:t xml:space="preserve"> </w:t>
      </w:r>
      <w:r>
        <w:rPr>
          <w:rFonts w:ascii="Times New Roman;serif" w:hAnsi="Times New Roman;serif"/>
          <w:b w:val="false"/>
          <w:color w:val="000000"/>
          <w:sz w:val="20"/>
        </w:rPr>
        <w:t xml:space="preserve">class action suit was filed in Delaware against former officers and directors of Graf Acquisition LLC (Velodyne was not named as a defendant in </w:t>
      </w:r>
      <w:r>
        <w:rPr>
          <w:rFonts w:ascii="Times New Roman;serif" w:hAnsi="Times New Roman;serif"/>
          <w:b w:val="false"/>
          <w:i/>
          <w:color w:val="000000"/>
          <w:sz w:val="20"/>
        </w:rPr>
        <w:t>Berger v. Graf Acquisition, LLC.,</w:t>
      </w:r>
      <w:r>
        <w:rPr>
          <w:color w:val="000000"/>
        </w:rPr>
        <w:t xml:space="preserve"> </w:t>
      </w:r>
      <w:r>
        <w:rPr>
          <w:rFonts w:ascii="Times New Roman;serif" w:hAnsi="Times New Roman;serif"/>
          <w:b w:val="false"/>
          <w:color w:val="000000"/>
          <w:sz w:val="20"/>
        </w:rPr>
        <w:t>No. C.A.2023-0873-LWW (Del. Ch.). The parties agreed to a settlement without any admission or concession of wrongdoing or liability. The Company paid an immaterial amount in settlement expenses in the third quarter of fiscal 2025. An insurance receivable allowed the Company to recover the majority of the expected settlement expenses, resulting in a net charge that was immaterial to its consolidated statement of operations. The court approved the settlement and entered final judgment on October 8,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Ouster Litigation</w:t>
      </w:r>
    </w:p>
    <w:p>
      <w:pPr>
        <w:pStyle w:val="TextBody"/>
        <w:bidi w:val="0"/>
        <w:spacing w:lineRule="auto" w:line="288" w:before="120" w:after="283"/>
        <w:jc w:val="left"/>
        <w:rPr/>
      </w:pPr>
      <w:r>
        <w:rPr>
          <w:rFonts w:ascii="Times New Roman;serif" w:hAnsi="Times New Roman;serif"/>
          <w:b w:val="false"/>
          <w:color w:val="000000"/>
          <w:sz w:val="20"/>
        </w:rPr>
        <w:t>On April 11, 2023, the Company filed a complaint in the District of Delaware alleging patent infringement of certain claims of the Company’s U.S. Patent Nos. 11,175,405, 11,178,381, 11,190,750, 11,287,515, and/or 11,422,236</w:t>
      </w:r>
      <w:r>
        <w:rPr>
          <w:color w:val="000000"/>
        </w:rPr>
        <w:t xml:space="preserve"> </w:t>
      </w:r>
      <w:r>
        <w:rPr>
          <w:rFonts w:ascii="Times New Roman;serif" w:hAnsi="Times New Roman;serif"/>
          <w:b w:val="false"/>
          <w:color w:val="000000"/>
          <w:sz w:val="20"/>
        </w:rPr>
        <w:t>against Hesai Group and Hesai Technology Co., Ltd. Subject to the terms of a confidential decision in the arbitration described below, the Company dismissed without prejudice this case on April 11, 2025.</w:t>
      </w:r>
    </w:p>
    <w:p>
      <w:pPr>
        <w:pStyle w:val="TextBody"/>
        <w:bidi w:val="0"/>
        <w:spacing w:lineRule="auto" w:line="288" w:before="120" w:after="283"/>
        <w:jc w:val="left"/>
        <w:rPr/>
      </w:pPr>
      <w:r>
        <w:rPr>
          <w:rFonts w:ascii="Times New Roman;serif" w:hAnsi="Times New Roman;serif"/>
          <w:b w:val="false"/>
          <w:color w:val="000000"/>
          <w:sz w:val="20"/>
        </w:rPr>
        <w:t>On May 17, 2023, Hesai Photonics Technology Co. Ltd. and Hesai Group (collectively “Hesai Photonics”) filed a request for arbitration with JAMS against the Company, Velodyne Lidar, Inc., Velodyne, LLC, and Oban Merger Sub II LLC. Hesai Photonics alleges that the Company is bound as a result of the Company’s 2023 merger with Velodyne Lidar, Inc. by the terms and conditions, including an obligation to arbitrate disputes, of a long-term, global cross-licensing settlement agreement signed in 2020 between Hesai Photonics and Velodyne Lidar, Inc. (“Velodyne-Hesai Settlement Agreement”).</w:t>
      </w:r>
      <w:r>
        <w:rPr>
          <w:color w:val="000000"/>
        </w:rPr>
        <w:t xml:space="preserve"> </w:t>
      </w:r>
      <w:r>
        <w:rPr>
          <w:rFonts w:ascii="Times New Roman;serif" w:hAnsi="Times New Roman;serif"/>
          <w:b w:val="false"/>
          <w:color w:val="000000"/>
          <w:sz w:val="20"/>
        </w:rPr>
        <w:t>On June 13, 2023, the Company responded to the arbitration demand and denied all allegations. On March 28, 2025, the tribunal issued a confidential interim decision, finding that the Company was subject to the Velodyne-Hesai Photonics Settlement Agreement. On September 15, 2025, the tribunal issued a confidential final decision, affirming the earlier finding of a global licensing settlement agreement that requires Hesai Photonics to pay royalties and deciding on fees in the amount of approximately $6.4 million, which the Company paid in the fourth quarter of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September 14, September 25, and September 26, 2023, Hesai filed Petitions for Inter Partes Review with the Patent Trial and Appeal Board (“PTAB”) challenging the validity of the Company’s patents asserted in the ITC and Delaware patent actions. The Company provided preliminary responses to those petitions in late December 2023 and early January 2024. On March 19, 2024, March 28, 2024, and April 1, 2024, the PTAB issued decisions to institute inter partes review for four patents: IPR2023-01421 (Patent No. 11,175,405), hearing date of December 17, 2024; IPR2023-01422 (Patent No. 11,287,515), hearing date of December 17, 2024; IPR2023-01456 (Patent No. 11,178,381), hearing date of January 13, 2025; and IPR2023-01457 (Patent No. 11,190,750), hearing date of January 13, 2025. On March 13, 2025, the PTAB issued final written decisions upholding the patentability of all challenged claims in IPR2023-01422, and finding unpatentable all challenged claims in IPR2023-01421 and IPR2023-01457. On March 17, 2025, the PTAB issued a final written decision finding unpatentable all challenged claims of IPR2023-01456. On June 2 and 3, 2025, the Company filed notices of appeal for IPR2023-01421, IPR 2023-01426, and IPR 2023-01457, but the parties dismissed all but IPR2023-01421, which is awaiting hearing. Regarding the fifth patent (Patent No. 11,422,236), the PTAB declined to institute on March 28, 2024, (see IPR2023-01458). Hesai requested review to the Director of the United States Patent and Trademark Office (“Director Review”), who remanded to the PTAB for further review of its decision not to institute. On January 21, 2025, the PTAB again denied institution, to which Hesai again requested Director Review, and the Company objected. On March 20, 2025, the Director again denied review.</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Indemnification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is indemnifying and has incurred costs to defend lawsuits or settle claims described above under the heading “Litigation” pursuant to the indemnity agreements of former directors and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Common Stock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terms of our Certificate of Incorporation (as amended, the “Certificate of Incorporation”), the Company is authorized to issue the following shares and classes of capital stock, each with a par value of $0.0001 per share: (i) 200,000,000 shares of common stock; (ii) 100,000,000 shares of preferred stock. The holder of each share of common stock is entitled to one vote.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June 17, 2026, the Company's stockholders approved an amendment to our Certificate of Incorporation to increase our number of authorized shares of common stock from 100,000,000 to 200,000,000, and the Company filed a Certificate of Amendment to its Certificate of Incorporation to effect this amendment on the same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12, 2025, the Company entered into an At-Market-Issuance Sales Agreement (the “Former ATM Agreement”) with Oppenheimer &amp; Co. Inc., pursuant to which the Company could offer and sell shares of the Company’s common stock, having an aggregate offering price of up to $100.0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terminated the Former ATM Agreement in May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the date of the Former ATM Agreement to its termination, the Company sold 4,671,406 shares at a weighted-average sales price of $20.88 per share, resulting in cumulative gross proceeds to the Company totaling approximately $97.5 million before deducting offering costs, sales commissions and fees. Cumulative net proceeds to the Company totaled approximately $95.6 million after deducting offering costs, sales commissions and fees.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8, 2026, the Company entered into the ATM Agreement with Oppenheimer &amp; Co. Inc., Northland Securities, Inc., Rosenblatt Securities Inc., and Roth Capital Partners, LLC (each, an “Agent” and, collectively the “Agents”), pursuant to which the Company may offer and sell, from time to time, through or to the Agents, acting as agent or principal, shares of the Company’s common stock, having an aggregate offering price of up to $100.0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3,649,000 shares of common stock were sold under the ATM Agreement at a weighted-average sales price of $27.40 per share, resulting in cumulative gross proceeds to the Company totaling approximately $100.0 million before deducting offering costs, sales commissions and fees. Cumulative net proceeds to the Company totaled approximately $98.0 million after deducting offering costs, sales commissions and fees. We plan to use the net proceeds from this offering for working capital and general corporate purposes. As of June 30, 2026, the ATM offering is complete and there are no remaining funds available under the ATM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9, 2025, the Company agreed to issue shares of common stock for the acquisition of Stereolabs. See Note 3. Upon the closing of the Stereolabs transaction on February 4, 2026, the Company issued 1,847,677 shares, inclusive of 660,005 shares which will be released over a four-year period. The Company sold the foregoing securities in transactions not involving an underwriter and not requiring registration under Section 5 of the Securities Act of 1933, as amended (the “Securities Act”) in reliance on the exemptions afforded by Section 4(a)(2) and/or Regulation S of the Securities Act and the rules and regulations promulgated thereunder.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6, 2026, the Company completed the sale and issuance of an aggregate of 3,621,876 shares of the Company’s common stock. The Company received net proceeds of approximately $191.9 million, after deducting the underwriter’s discounts and commissions. (See Note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9. Stock-based Compensation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maintains five equity incentive plans: its Amended and Restated 2015 Stock Plan (the “2015 Plan”), the Sense Photonics, Inc. 2017 Equity Incentive Plan (the “Sense Plan”), the Velodyne Lidar, Inc. 2020 Equity Incentive Plan (the “Velodyne Plan”), its 2021 Incentive Award Plan (the “2021 Plan”) and its Amended and Restated 2022 Employee Stock Purchase Plan (the “2022 ESPP” and, collectively with the 2015 Plan, the Sense Plan, the Velodyne Plan and the 2021 Plan, the “Plans”).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 for the grant of performance bonus awards. New equity awards may only be granted under the 2021 Plan and Velodyne Plan. Awards under the 2021 Plan and Velodyne Plan can be granted to employees, including officers, directors and consultants of the Company and its subsidiaries, in each case, within the limits provided in the 2021 Plan and Velodyne Plan,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2022 ESPP has been offered to all eligible employees since August 2022 and generally permits certain employees to purchase shares of our common stock at a discount through payroll deductions of up to 15% of their compensation during each offering period, subject to certain limitations.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2022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equals 85% of the lesser of the fair market value of a share of common stock on either the first or last day of the applicable offering period or the last day of the applicable purchase period.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there were 98,430 shares of common stock issued under the 2022 ESPP.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stock-based compensation expense for the 2022 ESPP is based on the estimated grant date fair value utilizing the Black-Scholes option valuation model of the 2022 ESPP shares and the number of shares that can be purchased as of the grant date, which is recognized as expense on a straight line expense attribution method over the length of an offering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 activity for the six months ended June 30, 2026 was as follows: </w:t>
      </w:r>
    </w:p>
    <w:tbl>
      <w:tblPr>
        <w:tblW w:w="8868" w:type="dxa"/>
        <w:jc w:val="left"/>
        <w:tblInd w:w="0" w:type="dxa"/>
        <w:tblLayout w:type="fixed"/>
        <w:tblCellMar>
          <w:top w:w="28" w:type="dxa"/>
          <w:left w:w="28" w:type="dxa"/>
          <w:bottom w:w="28" w:type="dxa"/>
          <w:right w:w="28" w:type="dxa"/>
        </w:tblCellMar>
      </w:tblPr>
      <w:tblGrid>
        <w:gridCol w:w="1047"/>
        <w:gridCol w:w="922"/>
        <w:gridCol w:w="925"/>
        <w:gridCol w:w="488"/>
        <w:gridCol w:w="488"/>
        <w:gridCol w:w="336"/>
        <w:gridCol w:w="109"/>
        <w:gridCol w:w="109"/>
        <w:gridCol w:w="109"/>
        <w:gridCol w:w="346"/>
        <w:gridCol w:w="839"/>
        <w:gridCol w:w="181"/>
        <w:gridCol w:w="109"/>
        <w:gridCol w:w="109"/>
        <w:gridCol w:w="109"/>
        <w:gridCol w:w="409"/>
        <w:gridCol w:w="409"/>
        <w:gridCol w:w="411"/>
        <w:gridCol w:w="109"/>
        <w:gridCol w:w="109"/>
        <w:gridCol w:w="109"/>
        <w:gridCol w:w="211"/>
        <w:gridCol w:w="721"/>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br/>
              <w:t>Underlying</w:t>
              <w:br/>
              <w:t>Outstanding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1,710,622 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(443,815)</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Outstanding—June 30,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1,266,807 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—June 30, 2026</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1,266,807 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Exercisable—June 30,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1,266,807 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information about stock options outstanding and exercisable at June 30, 2026. </w:t>
      </w:r>
    </w:p>
    <w:tbl>
      <w:tblPr>
        <w:tblW w:w="5824" w:type="dxa"/>
        <w:jc w:val="left"/>
        <w:tblInd w:w="0" w:type="dxa"/>
        <w:tblLayout w:type="fixed"/>
        <w:tblCellMar>
          <w:top w:w="28" w:type="dxa"/>
          <w:left w:w="28" w:type="dxa"/>
          <w:bottom w:w="28" w:type="dxa"/>
          <w:right w:w="28" w:type="dxa"/>
        </w:tblCellMar>
      </w:tblPr>
      <w:tblGrid>
        <w:gridCol w:w="226"/>
        <w:gridCol w:w="616"/>
        <w:gridCol w:w="109"/>
        <w:gridCol w:w="109"/>
        <w:gridCol w:w="109"/>
        <w:gridCol w:w="109"/>
        <w:gridCol w:w="488"/>
        <w:gridCol w:w="488"/>
        <w:gridCol w:w="336"/>
        <w:gridCol w:w="178"/>
        <w:gridCol w:w="178"/>
        <w:gridCol w:w="178"/>
        <w:gridCol w:w="323"/>
        <w:gridCol w:w="323"/>
        <w:gridCol w:w="345"/>
        <w:gridCol w:w="109"/>
        <w:gridCol w:w="109"/>
        <w:gridCol w:w="109"/>
        <w:gridCol w:w="488"/>
        <w:gridCol w:w="488"/>
        <w:gridCol w:w="406"/>
      </w:tblGrid>
      <w:tr>
        <w:trPr/>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br/>
              <w:t>Exercisable</w:t>
            </w:r>
          </w:p>
        </w:tc>
      </w:tr>
      <w:tr>
        <w:trPr/>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br/>
              <w:t>Outstanding</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461,616 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461,616 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636,688 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1,266,807 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1,266,807 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was no remaining unamortized stock-based compensation expense related to unvested stock options.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summary of RSU activity for the six months ended June 30, 2026 was as follows:</w:t>
      </w:r>
    </w:p>
    <w:tbl>
      <w:tblPr>
        <w:tblW w:w="5829" w:type="dxa"/>
        <w:jc w:val="left"/>
        <w:tblInd w:w="0" w:type="dxa"/>
        <w:tblLayout w:type="fixed"/>
        <w:tblCellMar>
          <w:top w:w="28" w:type="dxa"/>
          <w:left w:w="28" w:type="dxa"/>
          <w:bottom w:w="28" w:type="dxa"/>
          <w:right w:w="28" w:type="dxa"/>
        </w:tblCellMar>
      </w:tblPr>
      <w:tblGrid>
        <w:gridCol w:w="960"/>
        <w:gridCol w:w="845"/>
        <w:gridCol w:w="850"/>
        <w:gridCol w:w="524"/>
        <w:gridCol w:w="526"/>
        <w:gridCol w:w="296"/>
        <w:gridCol w:w="109"/>
        <w:gridCol w:w="109"/>
        <w:gridCol w:w="109"/>
        <w:gridCol w:w="322"/>
        <w:gridCol w:w="942"/>
        <w:gridCol w:w="237"/>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w:t>
              <w:br/>
              <w:t>Value (per share)</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Unvested—December 31, 2025</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4,085,075 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2,346,589 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(1,503,118)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Unvested—June 30, 2026</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4,792,322 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recognized on a straight-line basis over the vesting period of each award of RSUs. As of June 30, 2026, total compensation expense related to unvested RSUs granted to employees, but not yet recognized, was $80.5 million, with a weighted-average remaining vesting period of 2.1 years. RSUs settle into shares of common stock upon vesting.</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Stereolabs Acquisition</w:t>
      </w:r>
    </w:p>
    <w:p>
      <w:pPr>
        <w:pStyle w:val="TextBody"/>
        <w:bidi w:val="0"/>
        <w:spacing w:lineRule="auto" w:line="288" w:before="120" w:after="283"/>
        <w:jc w:val="left"/>
        <w:rPr/>
      </w:pPr>
      <w:r>
        <w:rPr>
          <w:rFonts w:ascii="Times New Roman;serif" w:hAnsi="Times New Roman;serif"/>
          <w:b w:val="false"/>
          <w:color w:val="000000"/>
          <w:sz w:val="20"/>
        </w:rPr>
        <w:t>In connection with the acquisition of Stereolabs (</w:t>
      </w:r>
      <w:r>
        <w:rPr>
          <w:rFonts w:ascii="Times New Roman;serif" w:hAnsi="Times New Roman;serif"/>
          <w:b w:val="false"/>
          <w:color w:val="000000"/>
          <w:sz w:val="20"/>
          <w:shd w:fill="FFFFFF" w:val="clear"/>
        </w:rPr>
        <w:t>Note 3</w:t>
      </w:r>
      <w:r>
        <w:rPr>
          <w:rFonts w:ascii="Times New Roman;serif" w:hAnsi="Times New Roman;serif"/>
          <w:b w:val="false"/>
          <w:color w:val="000000"/>
          <w:sz w:val="20"/>
        </w:rPr>
        <w:t xml:space="preserve">), several Stereolabs key employees entered into agreements with the Company whereby these key employees are eligible to receive an aggregate of 660,005 shares of common stock subject to their continued employment with the Company. These shares are excluded from the above restricted stock units table. These shares are considered compensatory in the post-business combination periods due to the additional service requirement for these key employees. These shares are subject to a staggered lock-up arrangement lasting through a four-year period, whereby twenty-five (25%) percent will be released upon each anniversary of the completion date as long as the key employees are still employees of the Company. As of June 30, 2026, there were 660,005 unvested shares outstanding with a grant date fair value of $19.18 per share subject to future service periods. The Company recognized stock-based compensation expense of $0.8 million during the three months ended June 30, 2026, and stock-based compensation expense of $1.3 million during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ended June 30, 2026, related to the 660,005 shares. As of June 30, 2026, there is $11.4 million remaining unamortized compensation expense that will be recognized over a weighted average remaining period of 3.6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during the six months ended June 30, 2026, the Company recognized $0.2 million in stock-based compensation expense related to the impact of the acceleration of Stereolabs warrants that vested at the close of the Stereolabs acquisition.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stock-based compensation expense for all share-based awards in the unaudited condensed consolidated statements of operations and comprehensive loss as follows (in thousands): </w:t>
      </w:r>
    </w:p>
    <w:tbl>
      <w:tblPr>
        <w:tblW w:w="8370" w:type="dxa"/>
        <w:jc w:val="left"/>
        <w:tblInd w:w="0" w:type="dxa"/>
        <w:tblLayout w:type="fixed"/>
        <w:tblCellMar>
          <w:top w:w="28" w:type="dxa"/>
          <w:left w:w="28" w:type="dxa"/>
          <w:bottom w:w="28" w:type="dxa"/>
          <w:right w:w="28" w:type="dxa"/>
        </w:tblCellMar>
      </w:tblPr>
      <w:tblGrid>
        <w:gridCol w:w="992"/>
        <w:gridCol w:w="874"/>
        <w:gridCol w:w="87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by award type (in thousands):</w:t>
      </w:r>
    </w:p>
    <w:tbl>
      <w:tblPr>
        <w:tblW w:w="9960" w:type="dxa"/>
        <w:jc w:val="left"/>
        <w:tblInd w:w="0" w:type="dxa"/>
        <w:tblLayout w:type="fixed"/>
        <w:tblCellMar>
          <w:top w:w="28" w:type="dxa"/>
          <w:left w:w="28" w:type="dxa"/>
          <w:bottom w:w="28" w:type="dxa"/>
          <w:right w:w="28" w:type="dxa"/>
        </w:tblCellMar>
      </w:tblPr>
      <w:tblGrid>
        <w:gridCol w:w="1567"/>
        <w:gridCol w:w="1370"/>
        <w:gridCol w:w="139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Stereolabs post</w:t>
              <w:noBreakHyphen/>
              <w:t>combination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Note 10. Net Loss Per Common Share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net loss per common share attributable to common stockholders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1279"/>
        <w:gridCol w:w="1128"/>
        <w:gridCol w:w="1139"/>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109"/>
        <w:gridCol w:w="109"/>
        <w:gridCol w:w="109"/>
        <w:gridCol w:w="109"/>
        <w:gridCol w:w="155"/>
      </w:tblGrid>
      <w:tr>
        <w:trPr/>
        <w:tc>
          <w:tcPr>
            <w:tcW w:w="127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gridSpan w:val="5"/>
            <w:tcBorders/>
          </w:tcPr>
          <w:p>
            <w:pPr>
              <w:pStyle w:val="TableContents"/>
              <w:bidi w:val="0"/>
              <w:spacing w:before="0" w:after="283"/>
              <w:jc w:val="left"/>
              <w:rPr>
                <w:sz w:val="4"/>
                <w:szCs w:val="4"/>
              </w:rPr>
            </w:pPr>
            <w:r>
              <w:rPr>
                <w:sz w:val="4"/>
                <w:szCs w:val="4"/>
              </w:rPr>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basic and diluted net loss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share—basic and diluted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number of shares used to compute basic and diluted net loss per share excludes unvested early exercised common stock options subject to repurchase.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outstanding shares of potentially dilutive securities were excluded from the computation of diluted net loss per share attributable to common stockholders for the periods presented because including them would have been antidilutive: </w:t>
      </w:r>
    </w:p>
    <w:tbl>
      <w:tblPr>
        <w:tblW w:w="7898" w:type="dxa"/>
        <w:jc w:val="left"/>
        <w:tblInd w:w="0" w:type="dxa"/>
        <w:tblLayout w:type="fixed"/>
        <w:tblCellMar>
          <w:top w:w="28" w:type="dxa"/>
          <w:left w:w="28" w:type="dxa"/>
          <w:bottom w:w="28" w:type="dxa"/>
          <w:right w:w="28" w:type="dxa"/>
        </w:tblCellMar>
      </w:tblPr>
      <w:tblGrid>
        <w:gridCol w:w="1822"/>
        <w:gridCol w:w="1606"/>
        <w:gridCol w:w="1612"/>
        <w:gridCol w:w="540"/>
        <w:gridCol w:w="541"/>
        <w:gridCol w:w="156"/>
        <w:gridCol w:w="109"/>
        <w:gridCol w:w="109"/>
        <w:gridCol w:w="109"/>
        <w:gridCol w:w="540"/>
        <w:gridCol w:w="541"/>
        <w:gridCol w:w="213"/>
      </w:tblGrid>
      <w:tr>
        <w:trPr/>
        <w:tc>
          <w:tcPr>
            <w:tcW w:w="182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1,266,807 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1,728,471 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and private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5,238,506 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5,608,426 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Stereolabs employees and subject to vesting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rights under the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RSAs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10,193,559 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13,305,721 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Note 11. Income Taxes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for interim periods is determined using an estimate of the Company’s annual effective tax rate, adjusted for discrete items arising in the quarter. The income tax provision for the three and six months ended June 30, 2026 was $0.1 million and $0.7 million, respectively. The income tax provision for the six months ended June 30, 2026 includes $0.9 million of discrete items primarily related to withholding taxes on sales to customers. Discrete items for the three months ended June 30, 2026, were not significant. The income tax benefit for the three and six months ended June 30, 2025 was $3.6 million and $3.4 million, respectively. The income tax benefits recorded for the three and six months ended June 30, 2025 primarily related to the resolution of an IRS examination of the Company’s 2017 and 2018 tax years offset by income taxes for its foreign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was (0.7)% and (1.9)% for the three and six months ended June 30, 2026, respectively, and 14.9% and 7.4% for the three and six months ended June 30, 2025. The Company’s effective tax rate differs from the U.S. statutory tax rate primarily due to valuation allowances on the deferred tax assets as it is more likely than not that some, or all, of the Company’s deferred tax assets will not be realized. We continue to maintain a full valuation allowance against our U.S. Federal, state and certain foreign deferred tax assets, excluding specific balances related to the Stereolabs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12.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revenue is recognized at the point in time when the customer obtains control of the respective lidar sensors, cameras and AI compute systems. Revenue recognized over time is immaterial to total revenue recognized for any given period.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Revenue for the three months ended June 30, 2026, includes patent royalty revenues generated from long-term intellectual property (“IP”) license agreements primarily in the Asia and Pacific region in the amount of $1.9 million. Patent royalty revenue for the three months ended June 30, 2025, was not significant. Revenue for the six months ended June 30, 2026 and 2025, respectively, includes patent royalty revenues in the amount of $2.2 million and $1.6 million. The Company also expects to record future revenue from these agreements as it satisfies its performance obligations.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total revenues by geographic area based on the location products were shipped to and services provided (in thousands):</w:t>
      </w:r>
    </w:p>
    <w:tbl>
      <w:tblPr>
        <w:tblW w:w="8400" w:type="dxa"/>
        <w:jc w:val="left"/>
        <w:tblInd w:w="0" w:type="dxa"/>
        <w:tblLayout w:type="fixed"/>
        <w:tblCellMar>
          <w:top w:w="28" w:type="dxa"/>
          <w:left w:w="28" w:type="dxa"/>
          <w:bottom w:w="28" w:type="dxa"/>
          <w:right w:w="28" w:type="dxa"/>
        </w:tblCellMar>
      </w:tblPr>
      <w:tblGrid>
        <w:gridCol w:w="965"/>
        <w:gridCol w:w="849"/>
        <w:gridCol w:w="85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and Pacific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Countries that accounted for more than 10% of total revenue were as follows:</w:t>
      </w:r>
    </w:p>
    <w:tbl>
      <w:tblPr>
        <w:tblW w:w="6233" w:type="dxa"/>
        <w:jc w:val="left"/>
        <w:tblInd w:w="0" w:type="dxa"/>
        <w:tblLayout w:type="fixed"/>
        <w:tblCellMar>
          <w:top w:w="28" w:type="dxa"/>
          <w:left w:w="28" w:type="dxa"/>
          <w:bottom w:w="28" w:type="dxa"/>
          <w:right w:w="28" w:type="dxa"/>
        </w:tblCellMar>
      </w:tblPr>
      <w:tblGrid>
        <w:gridCol w:w="384"/>
        <w:gridCol w:w="338"/>
        <w:gridCol w:w="342"/>
        <w:gridCol w:w="189"/>
        <w:gridCol w:w="189"/>
        <w:gridCol w:w="470"/>
        <w:gridCol w:w="189"/>
        <w:gridCol w:w="189"/>
        <w:gridCol w:w="189"/>
        <w:gridCol w:w="189"/>
        <w:gridCol w:w="189"/>
        <w:gridCol w:w="470"/>
        <w:gridCol w:w="109"/>
        <w:gridCol w:w="109"/>
        <w:gridCol w:w="109"/>
        <w:gridCol w:w="180"/>
        <w:gridCol w:w="181"/>
        <w:gridCol w:w="430"/>
        <w:gridCol w:w="172"/>
        <w:gridCol w:w="172"/>
        <w:gridCol w:w="172"/>
        <w:gridCol w:w="180"/>
        <w:gridCol w:w="181"/>
        <w:gridCol w:w="430"/>
        <w:gridCol w:w="109"/>
        <w:gridCol w:w="109"/>
        <w:gridCol w:w="109"/>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Thailand</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*Country accounted for less than 10% of total revenue in the period.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contract balances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and liabilities are generated when contractual billing schedules differ from revenue recognition timing.</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Unbilled receivables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receivable for multi-year licensing services is generally recorded upon invoicing. A receivable for multi-year license agreements is recorded upon delivery, whether or not invoiced, to the extent the Company has an unconditional right to receive payment in the future related to those licenses. As of June 30, 2026, the current portion of these unbilled receivables in the amount of $5.0 million, primarily consisting of unbilled receivables from multi-year license contracts, is included in “Accounts receivable, net” on the unaudited condensed consolidated balance sheet.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Contract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arise when revenue is recognized prior to billing customers and payment is contingent upon a future event, other than the passage of time. Contract assets primarily relate to the Company’s rights to consideration under a long-term IP license agreement when the licenses have been transferred to the customers, but payment is conditional on factors other than the passage of time.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advanced payments and deposits from customers for goods and services that are yet to be provided.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in the Company’s unaudited condensed consolidated balance sheets.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Contract assets and liabilities are presented net at the individual contract level in the unaudited condensed consolidated balance sheet and are classified as current or non-current based on the nature of the underlying contractual rights and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tbl>
      <w:tblPr>
        <w:tblW w:w="7361" w:type="dxa"/>
        <w:jc w:val="left"/>
        <w:tblInd w:w="0" w:type="dxa"/>
        <w:tblLayout w:type="fixed"/>
        <w:tblCellMar>
          <w:top w:w="28" w:type="dxa"/>
          <w:left w:w="28" w:type="dxa"/>
          <w:bottom w:w="28" w:type="dxa"/>
          <w:right w:w="28" w:type="dxa"/>
        </w:tblCellMar>
      </w:tblPr>
      <w:tblGrid>
        <w:gridCol w:w="1677"/>
        <w:gridCol w:w="1476"/>
        <w:gridCol w:w="1482"/>
        <w:gridCol w:w="211"/>
        <w:gridCol w:w="721"/>
        <w:gridCol w:w="109"/>
        <w:gridCol w:w="109"/>
        <w:gridCol w:w="109"/>
        <w:gridCol w:w="109"/>
        <w:gridCol w:w="222"/>
        <w:gridCol w:w="759"/>
        <w:gridCol w:w="114"/>
        <w:gridCol w:w="109"/>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current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non-current portion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from multi-year licensing agreements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non-current portion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from multi-year licensing agreements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from multi-year licensing agreements mainly represent minimum royalty payments received from licensees relating to long-term IP license agreements for which the Company has future obligations. Royalties from the IP license agreements are recognized at the later of the period the sales occur or the satisfaction of the performance obligations to which some or all of the royalties have been allocated.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contract liabilities primarily relate to a multi-year contract entered in 2023 with a customer to sell the Company’s products. During the three and six months ended June 30, 2026, the Company recognized $6.1 million in revenue associated with this contract from other contract liabilities. As of June 30, 2026, $6.4 million remained deferred until a future product delivery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liabilities (remaining performance obligations) and the significant changes in the balances (in thousands):</w:t>
      </w:r>
    </w:p>
    <w:tbl>
      <w:tblPr>
        <w:tblW w:w="10205" w:type="dxa"/>
        <w:jc w:val="left"/>
        <w:tblInd w:w="0" w:type="dxa"/>
        <w:tblLayout w:type="fixed"/>
        <w:tblCellMar>
          <w:top w:w="28" w:type="dxa"/>
          <w:left w:w="28" w:type="dxa"/>
          <w:bottom w:w="28" w:type="dxa"/>
          <w:right w:w="28" w:type="dxa"/>
        </w:tblCellMar>
      </w:tblPr>
      <w:tblGrid>
        <w:gridCol w:w="2812"/>
        <w:gridCol w:w="2461"/>
        <w:gridCol w:w="2476"/>
        <w:gridCol w:w="211"/>
        <w:gridCol w:w="721"/>
        <w:gridCol w:w="109"/>
        <w:gridCol w:w="109"/>
        <w:gridCol w:w="109"/>
        <w:gridCol w:w="109"/>
        <w:gridCol w:w="211"/>
        <w:gridCol w:w="721"/>
        <w:gridCol w:w="156"/>
      </w:tblGrid>
      <w:tr>
        <w:trPr/>
        <w:tc>
          <w:tcPr>
            <w:tcW w:w="281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deferred in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acquired in the Stereolabs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the contract liability balance at the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13.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The Chief Executive Officer reviews financial information including revenue, expenses and net loss presented on a consolidated basis, accompanied by certain supplemental information about significant expense categories for purposes of allocating resources and evaluating the Company’s financial performance. The Company operates as one reportable and operating segment, which relates to the sale and production of lidar sensors, cameras and AI compute systems and there are no segment managers who are held accountable for operations, operating results and plans for levels or components below the consolidated unit level. The CODM assesses financial performance of the reportable segment and decides how to allocate resources based on the net loss that also is reported as the net loss attributable to the Company on the unaudited condensed consolidated statements of operations and comprehensive loss. The net loss is also used by our CODM to monitor actual results versus budget and prior periods amounts of our reportable segment and decide how to expand business or to return value to stockholders. The measure of the segment assets is reported on the unaudited condensed consolidated balance sheet as total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significant expenses of our reportable segment (in thousands):</w:t>
      </w:r>
    </w:p>
    <w:tbl>
      <w:tblPr>
        <w:tblW w:w="9929" w:type="dxa"/>
        <w:jc w:val="left"/>
        <w:tblInd w:w="0" w:type="dxa"/>
        <w:tblLayout w:type="fixed"/>
        <w:tblCellMar>
          <w:top w:w="28" w:type="dxa"/>
          <w:left w:w="28" w:type="dxa"/>
          <w:bottom w:w="28" w:type="dxa"/>
          <w:right w:w="28" w:type="dxa"/>
        </w:tblCellMar>
      </w:tblPr>
      <w:tblGrid>
        <w:gridCol w:w="1593"/>
        <w:gridCol w:w="1404"/>
        <w:gridCol w:w="1412"/>
        <w:gridCol w:w="211"/>
        <w:gridCol w:w="796"/>
        <w:gridCol w:w="109"/>
        <w:gridCol w:w="109"/>
        <w:gridCol w:w="109"/>
        <w:gridCol w:w="109"/>
        <w:gridCol w:w="211"/>
        <w:gridCol w:w="796"/>
        <w:gridCol w:w="109"/>
        <w:gridCol w:w="109"/>
        <w:gridCol w:w="109"/>
        <w:gridCol w:w="109"/>
        <w:gridCol w:w="211"/>
        <w:gridCol w:w="826"/>
        <w:gridCol w:w="109"/>
        <w:gridCol w:w="109"/>
        <w:gridCol w:w="109"/>
        <w:gridCol w:w="109"/>
        <w:gridCol w:w="211"/>
        <w:gridCol w:w="796"/>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manufacturing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costs</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significant expense categories and amounts align with the segment-level information that is regularly provided to the CODM.</w:t>
      </w:r>
    </w:p>
    <w:p>
      <w:pPr>
        <w:pStyle w:val="TextBody"/>
        <w:bidi w:val="0"/>
        <w:spacing w:lineRule="auto" w:line="288" w:before="120" w:after="283"/>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Other costs primarily includes inventory excess and obsolescence, scrap, warranty, freight and other cost of revenue items. Amounts for the three and six months ended June 30, 2026, include $5.4 million of import duty refunds. (See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14. Subsequent Event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2, 2026, the Company entered into an underwriting agreement (the “Underwriting Agreement”) with Northland Securities, Inc. as underwriter (the “Underwriter”), pursuant to which the Company agreed to issue and sell an aggregate of 3,621,876 shares of its common stock to the Underwriter (the “Offering”). Additionally, under the terms of the Underwriting Agreement, the Company granted the Underwriter a 30-day option, solely for the purpose of covering over-allotments, if any, to purchase up to an additional 543,281 shares of common stock. On August 5, 2026, the option expired unexercised. The price to the public in the Offering was $55.22 per share.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6, 2026, the Company completed the sale and issuance of an aggregate of 3,621,876 shares of common stock. The Company received net proceeds of approximately $191.9 million, after deducting the Underwriter’s discounts and commissions.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results of operations and financial condition of Ouster, Inc. (“we,” “us,” “our,” the “Company,” “Ouster”) should be read together with the information set forth in our unaudited condensed consolidated financial statements and the notes thereto included elsewhere in this Quarterly Report, as well as our audited consolidated financial statements and the “Management’s Discussion and Analysis of Financial Condition and Results of Operations” included in Ouster’s Annual Report on Form 10-K (the “2025 Annual Report”) filed with the SEC on March 2, 2026. This discussion contains forward-looking statements based upon current plans, expectations and beliefs involving risks and uncertainties, including with respect to the potential future impact of tariffs and other trade measures on the Company’s business and results of operations. Ouster’s actual results may differ materially from those anticipated in these forward-looking statements as a result of various factors, including those set forth in the section titled “Risk Factors” in Ouster’s 2025 Annual Report and as may be further updated from time to time in the Company’s other filings with the SEC. The Company assumes no obligation to revise or update any forward-looking statements for any reason,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Ouster was founded in 2015 with the invention of its high-performance digital lidar and is headquartered in San Francisco, California. We are a leader in sensing and perception for Physical AI across industrial, robotics, automotive, and smart infrastructure. With a unified platform of high-performance digital lidar, cameras, AI compute, sensor fusion and perception software, and AI models, Ouster delivers solutions that improve quality of life by enabling machines to sense, think, act, and learn in the physical world. To grow our business, we have introduced new product lines and made several acquisitions to accelerate growth. We continue to invest in growing our hardware product portfolio, increasing the capabilities of our software solutions, and opportunistically expanding our sales and marketing efforts.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global provider of lidar sensors and solutions. We design and manufacture high-resolution digital lidar sensors that offer advanced 3D vision to machinery, vehicles, robots, and fixed infrastructure assets, which allows each to understand and visualize the surrounding world and enable safe operation and autonomy. We believe our sensors are one of the highest-performing, lowest-cost lidar solutions available today.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wholly-owned subsidiary, Stereolabs, which we acquired on February 4, 2026, is a pioneer in AI vision and perception solutions that has developed a leading portfolio of industrial-grade ZED-cameras, AI compute powered by NVIDIA’s platform, and in-house AI vision software to power solutions across robotics, industrials, and smart infrastructure. Its high-performance ZED cameras provide best-in-class 2D and 3D color data with ultra-low latency, and its embedded AI compute hardware facilitates native, real-time sensor fusion at the edge. We believe Stereolabs’s perception software, built on proprietary AI models, is the foundation for thousands of developers’ autonomy workflows. The Stereolabs acquisition positions Ouster as the foundational end-to-end sensing and perception platform for Physical AI.</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invested heavily in patents since our inception, pursuing comprehensive coverage of invention families and use cases, with broad international coverage.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extensive patent coverage creates material barriers to entry.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Products and Solutions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Ouster's hardware product offerings include a broad portfolio of digital lidar sensors, monocular and stereo cameras, and AI compute. On May 4, 2026, we announced the launch of the Rev8 OS family of digital lidar sensors. Powered by our next-generation L4 and L4 Max Ouster Silicon, the Rev8 family features upgraded OS0, OS1, and OSDome sensors and adds the flagship 256-channel OS1 Max. Rev8 introduces the world’s first native color lidar sensors, provides up to double the range and resolution of the previous generation, and is designed for functional safety, reliability, affordability, and scale. Within our OS sensor models, we offer numerous customization options, all enabled by embedded software.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portfolio has expanded to include Stereolabs’s growing product line, which now includes the ZED X, ZED X Mini, and ZED X Nano stereo cameras, the ZED X One monocular camera, and the ZED Box edge compute. We are currently developing our solid-state digital flash (“DF”) sensors, which is a suite of short, mid, and long-range solid-state digital lidar sensors that provide uniform precision imaging without motion blur across an entire field of view.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Ouster provides Physical AI solutions tailored for smart infrastructure applications. Our software solutions, built on proprietary AI models, enable real-time people and object detection, classification, and tracking for actionable, intuitive, and customizable insights while preserving personally identifiable information. Ouster Gemini is our digital lidar powered perception platform designed for security and crowd analytics, logistics, and intelligent transportation systems. Ouster BlueCity is our turnkey real-time traffic management solution for analytics and signal actuation to improve traffic flow, road safety, and urban planning.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Factors Affecting Our Performance </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Commercialization of Our Product Offerings. </w:t>
      </w:r>
      <w:r>
        <w:rPr>
          <w:rFonts w:ascii="Times New Roman;serif" w:hAnsi="Times New Roman;serif"/>
          <w:b w:val="false"/>
          <w:color w:val="000000"/>
          <w:sz w:val="20"/>
        </w:rPr>
        <w:t>As our customers continue research and development projects that rely on lidar, or a combination of lidar, camera, and AI compute for Physical AI, it is difficult to estimate the timing of ultimate end market and customer adoption. As a result, we expect that our results of operations, including revenue and gross margins, will improve over time but may fluctuate on a quarterly and annual basis for the foreseeable future. As more customers reach a commercialization phase with solutions that rely on our technology, the fluctuations in our operating results may become less pronounced. Our strategic business objectives also include growing the software-attached business, transforming the product portfolio, and executing towards profitability.</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Number of Customers in Production. </w:t>
      </w:r>
      <w:r>
        <w:rPr>
          <w:rFonts w:ascii="Times New Roman;serif" w:hAnsi="Times New Roman;serif"/>
          <w:b w:val="false"/>
          <w:color w:val="000000"/>
          <w:sz w:val="20"/>
        </w:rPr>
        <w:t>For certain strategic customers and markets, our products must be integrated into a broader platform, which then must be tested and validated to achieve system-level performance and reliability thresholds that enable commercial production and sales. The time necessary to reach commercial production varies from six months to several years, based on the market and application. For example, the production cycle in the automotive market tends to be substantially longer than in our other target markets. It is critical to our future success in each of our target end markets that our customers reach commercial production and select our products in their commercial production applications, and that we avoid unexpected cancellations of major purchases of our products. Because the timelines to reach production vary significantly and the revenue generated by each customer in connection with commercial production is unpredictable, it is difficult for us to reliably predict our financial performance.</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Customers’ Sales Volumes.</w:t>
      </w:r>
      <w:r>
        <w:rPr>
          <w:color w:val="000000"/>
        </w:rPr>
        <w:t xml:space="preserve"> </w:t>
      </w:r>
      <w:r>
        <w:rPr>
          <w:rFonts w:ascii="Times New Roman;serif" w:hAnsi="Times New Roman;serif"/>
          <w:b w:val="false"/>
          <w:color w:val="000000"/>
          <w:sz w:val="20"/>
        </w:rPr>
        <w:t xml:space="preserve">Our customer base is diversified, and we aim to continue to penetrate diverse end markets to increase our sales volumes. Ultimately, widespread adoption of our customers’ products that incorporate our lidar solutions will depend on many factors, including the size of our customers’ end markets, market penetration of our customers’ products that incorporate our digital lidar solutions, our customers’ ability to sell their products, and the financial stability and reputation of our customers. </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Average Selling Prices (“ASPs”), Product Costs and Margins. </w:t>
      </w:r>
      <w:r>
        <w:rPr>
          <w:rFonts w:ascii="Times New Roman;serif" w:hAnsi="Times New Roman;serif"/>
          <w:b w:val="false"/>
          <w:color w:val="000000"/>
          <w:sz w:val="20"/>
        </w:rPr>
        <w:t>Our product costs and gross margins depend largely on the volumes of sensors shipped, the mix of existing and new products sold and the number and variety of solutions we provide to our customers. We expect that our selling prices will vary by target end market and application due to market-specific supply and demand dynamics. We expect to continue to experience some downward pressure on prices from signing anticipated large multi-year agreements in the near term with multi-year negotiated pricing. We expect that these customer-specific selling price fluctuations combined with our volume-driven product costs may drive fluctuations in revenue and gross margins on a quarterly basis. In addition, we expect that the current uncertainty surrounding U.S. trade relationships may impact our future product costs and margins, particularly to the extent there are significant tariffs or trade restrictions imposed on goods imported from Thailand, Canada, Taiwan or China that are used in our products. Although we are taking steps to mitigate the impacts of potential tariffs, we do not expect to be able to offset or avoid such costs in full. In addition, our contractual arrangements generally provide that our customers will pay the costs of tariffs. These costs could impact customer demand and adoption as described above under “Customers’ Sales Volumes.”</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Competition. </w:t>
      </w:r>
      <w:r>
        <w:rPr>
          <w:rFonts w:ascii="Times New Roman;serif" w:hAnsi="Times New Roman;serif"/>
          <w:b w:val="false"/>
          <w:color w:val="000000"/>
          <w:sz w:val="20"/>
        </w:rPr>
        <w:t xml:space="preserve">Lidar is an emerging technology, and there are many competitors for this growing market which has created downward pressure on our ASPs. Absent the introduction of new technology, we expect this pressure to continue to push our ASPs lower in the coming years. However, we believe that because of the simplicity of our digital lidar technology, the increasing capabilities of our software solutions, the value of a complete end-to-end sensing and perception platform, and efficiencies created by our established manufacturing partnerships and suppliers, including Benchmark and Fabrinet. We are well-positioned to scale a set of differentiated offerings that allows us to sustain and potentially increase our gross margins and mitigate pricing pressure over time. </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Continued Investment and Innovation.</w:t>
      </w:r>
      <w:r>
        <w:rPr>
          <w:color w:val="000000"/>
        </w:rPr>
        <w:t xml:space="preserve"> </w:t>
      </w:r>
      <w:r>
        <w:rPr>
          <w:rFonts w:ascii="Times New Roman;serif" w:hAnsi="Times New Roman;serif"/>
          <w:b w:val="false"/>
          <w:color w:val="000000"/>
          <w:sz w:val="20"/>
        </w:rPr>
        <w:t xml:space="preserve">We believe that we are a leading 3D sensing provider. Our financial performance is significantly dependent on our ability to maintain this leading position, which is further dependent on the investments we make in research and development. We believe it is essential that we continue to identify and respond to rapidly evolving customer requirements, including successfully progressing our sensing and perception platform roadmap and developing technologies that will enhance the operating performance of our products. We announced our Rev8 family of products. Our “Chronos” chip has been fabricated by our foundry partner and is now undergoing in-house testing. If we fail to continue our innovation, our market position and revenue may be adversely affected, and our investments in that area will not be recovered.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Supply Chain Continuity. </w:t>
      </w:r>
      <w:r>
        <w:rPr>
          <w:rFonts w:ascii="Times New Roman;serif" w:hAnsi="Times New Roman;serif"/>
          <w:b w:val="false"/>
          <w:color w:val="000000"/>
          <w:sz w:val="20"/>
        </w:rPr>
        <w:t xml:space="preserve">Some of the key components in the products we have designed or are currently designing come from limited or single source suppliers. If these third parties experience financial, operational, manufacturing capacity or other difficulties, or experience shortages in required components, or if they are otherwise unable or unwilling to continue to manufacture these components in required volumes or at all, our supply may be disrupted or be on less favorable terms. For example, we may be required to seek alternate manufacturers or suppliers for our products. It would be time-consuming, and could be costly and impracticable, to begin to use and qualify new manufacturers, components or designs, and such changes could cause significant interruptions in supply and could have an adverse effect on our ability to meet our scheduled product deliveries and may subsequently lead to the loss of sales.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continue to monitor the impact of tariff and trade policy actions taken by the United States and foreign governments on our supply chain. During the three and six months ended June 30, 2026, the Company received cash refunds in the amount of $0.6 million IEEPA import duties. Additionally, included in prepaid expenses and other current assets as of June 30, 2026, is a $4.8 million IEEPA import duty refund receivable which was received in July 2026. We continue to review the potential impact of the global duty, tariff and value-added tax landscape on the Company and any available mitigation strategies.</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Market Trends and Uncertainties. </w:t>
      </w:r>
      <w:r>
        <w:rPr>
          <w:rFonts w:ascii="Times New Roman;serif" w:hAnsi="Times New Roman;serif"/>
          <w:b w:val="false"/>
          <w:color w:val="000000"/>
          <w:sz w:val="20"/>
        </w:rPr>
        <w:t>We anticipate increasing demand for our sensing and perception platform. We estimate a multi-billion dollar total addressable market (“TAM”) for our solutions in the future. We define our TAM as applications in the automotive, industrial, robotics, and smart infrastructure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well-positioned in our market as a leading provider of high-performance digital lidar, cameras, AI compute, sensor fusion and perception software, and AI models.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not be able to take advantage of demand if we are unable to anticipate regulatory changes and adapt quickly enough to meet such new regulatory standards or requirements applicable to us or to our customers’ products in which our lidar sensors are used. Market acceptance of lidar technology and active safety technology depend upon many factors, including cost, performance, quality and reliability, safety performance, regulatory requirements and international taxes or tariff and trade policy actions of governments related to such technologies. These factors may impact the ultimate market acceptance of our lidar technology.</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 xml:space="preserve">International Expansion. </w:t>
      </w:r>
      <w:r>
        <w:rPr>
          <w:rFonts w:ascii="Times New Roman;serif" w:hAnsi="Times New Roman;serif"/>
          <w:b w:val="false"/>
          <w:color w:val="000000"/>
          <w:sz w:val="20"/>
        </w:rPr>
        <w:t>We view international expansion as an important element of our strategy to increase revenue and achieve profitability. We continue to position ourselves in geographic markets that we expect to serve as important sources of future growth. We have an existing presence in three regions: Americas;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tariff and trade policy actions of foreign governments, legal obligations, geopolitical conflict, including war in the Middle East, export/import regulations and additional operational costs. These risks and challenges may impact our ability to meet our projected sales volumes, revenues, and gross margins. In addition, the current uncertainty surrounding U.S. trade relationships may impact our future international sales, particularly to the extent there are significant tariffs or trade restrictions imposed on goods imported from the United States.</w:t>
      </w:r>
    </w:p>
    <w:p>
      <w:pPr>
        <w:pStyle w:val="TextBody"/>
        <w:bidi w:val="0"/>
        <w:spacing w:lineRule="auto" w:line="288" w:before="120" w:after="283"/>
        <w:ind w:left="0" w:right="0" w:firstLine="450"/>
        <w:jc w:val="left"/>
        <w:rPr/>
      </w:pPr>
      <w:r>
        <w:rPr>
          <w:rFonts w:ascii="Times New Roman;serif" w:hAnsi="Times New Roman;serif"/>
          <w:b w:val="false"/>
          <w:i/>
          <w:color w:val="000000"/>
          <w:sz w:val="20"/>
        </w:rPr>
        <w:t>Employee Retention Credit.</w:t>
      </w:r>
      <w:r>
        <w:rPr>
          <w:color w:val="000000"/>
        </w:rPr>
        <w:t xml:space="preserve"> </w:t>
      </w:r>
      <w:r>
        <w:rPr>
          <w:rFonts w:ascii="Times New Roman;serif" w:hAnsi="Times New Roman;serif"/>
          <w:b w:val="false"/>
          <w:color w:val="000000"/>
          <w:sz w:val="20"/>
        </w:rPr>
        <w:t>The employee retention credit (“ERC”), as originally enacted through the Coronavirus Aid, Relief, and Economic Security Act (“CARES Act”) on March 27, 2020, is a refundable credit against certain employment taxes. The Company qualified for the ERC for the period between March 17, 2020 and September 30, 2021 and the Company received an ERC credit in the amount of $5.4 million in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comes from the sale of our lidar sensors, cameras, and AI compute systems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or obligations related to product development, validation, IP license agreements, maintenance under our extended warranty contracts, and shipping. We do not expect these services to be material components of revenue, cost of revenue or gross margin in the near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adoption curve, and some customers are still learning their growth and demand rates which can impact the timing of purchase orders quarter to quarter. As we grow our business, we expect to continue to improve our own understanding of our customers’ needs and timelines, and expect the timing of orders will have a less notable impact on our quarterly results.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 consists of the manufacturing cost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information technology (“IT”) costs, warranty expenses, excess and obsolete inventory, tariffs, shipping costs and merchant fees.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gross profit equals total revenues less our total cost of revenues, and our gross margin is our gross profit expressed as a percentage of total revenue. Our gross margin is subject to quarterly fluctuations in product mix, price and volume.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Expenses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activities are primarily conducted at our San Francisco headquarters and our additional R&amp;D facilities in France, Scotland and Canada and consist of the following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Design, prototyping, and testing of proprietary electrical, optical, and mechanical subsystems for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Robust testing for safety certifications;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 of new products and enhancements to existing products in response to customer requirements including firmware and software development of lidar and camera integration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Custom SoC design for Ouster’s digital lidar products;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 of custom manufacturing equipment.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allocated portion of overhead, facility and information technology (“IT”) costs that support R&amp;D activities.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R&amp;D costs are expensed as they are incurred. Our investment in R&amp;D will continue to grow as we invest in new lidar technology and related software. Our absolute amount of R&amp;D expenses is expected to grow over time; however, we expect R&amp;D as a percentage of revenue to decrease as our business grows.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Sales and Marketing Expenses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business development, customer support and marketing teams are located in offices worldwide. Selling and marketing expenses consist of personnel-related expenses, including salaries, commissions,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and a trade name associated with the acquisitions and an allocated portion of facility and IT costs that support sales and marketing activities. We expect sales and marketing expenses as a percentage of revenue to decrease over time as our business grows.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personnel-related expenses, including salaries, benefits, and stock-based compensation, of our executives and members of the board of directors, finance, human resources, an allocated portion of facility and IT costs that support general and administrative activities, as well as amortization of intangible assets, legal fees, patent prosecution, accounting, finance and professional services, as well as insurance and bank fees. We have experienced and may in the near-term experience additional increases in general and administrative expenses related to legal, accounting, finance and professional services costs associated with acquisition-related transaction and integration costs, litigation activities, hiring more personnel and consultants to support our international expansion and compliance with the applicable provisions of the Sarbanes-Oxley Act and other SEC rules and regulations as a result of being a public company. Our absolute amount of general and administrative expenses will grow over time; however, we expect general and administrative expenses as a percentage of revenue to decrease as our business grows.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Interest Income and Other Income (Expense), Net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income consists primarily of income earned on our cash and cash equivalents and short-term investments. These amounts will vary based on our respective balances and market rates. Other income (expense), net consists primarily of change in fair value with foreign currency forward contracts, realized and unrealized gains and losses on foreign currency transactions and balances, realized gains and losses related to sales of our available-for-sale investments.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450"/>
        <w:jc w:val="left"/>
        <w:rPr/>
      </w:pPr>
      <w:r>
        <w:rPr>
          <w:rFonts w:ascii="Times New Roman;serif" w:hAnsi="Times New Roman;serif"/>
          <w:b w:val="false"/>
          <w:color w:val="000000"/>
          <w:sz w:val="20"/>
          <w:shd w:fill="FFFFFF" w:val="clear"/>
        </w:rPr>
        <w:t>Our income tax provision consists of federal, state and foreign current and deferred income taxes. Our income tax provision for interim periods is determined using an estimate of our annual effective tax rate, adjusted for discrete items arising in the quarter. O</w:t>
      </w:r>
      <w:r>
        <w:rPr>
          <w:rFonts w:ascii="Times New Roman;serif" w:hAnsi="Times New Roman;serif"/>
          <w:b w:val="false"/>
          <w:color w:val="000000"/>
          <w:sz w:val="20"/>
        </w:rPr>
        <w:t>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U.S. Federal, state and certain foreign deferred tax assets, excluding specific balances related to the Stereolabs acquisition. The income tax provision for the three and six months ended June 30, 2026 was $0.1 million and $0.7 million, respectively. The income tax provision for the six months ended June 30, 2026 includes $0.9 million of discrete items primarily related to withholding taxes on sales to customers. Discrete items for the three months ended June 30, 2026, were not significant. The income tax benefit for the three and six months ended June 30, 2025 was $3.6 million and $3.4 million, respectively and is primarily related to the resolution of an IRS examination of the Company’s 2017 and 2018 tax years offset by income taxes for its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presented below should be reviewed in conjunction with the unaudited condensed consolidated financial statements and notes included elsewhere in this Quarterly Report. The following table sets forth our unaudited condensed consolidated results of operations data for the periods presented: </w:t>
      </w:r>
    </w:p>
    <w:tbl>
      <w:tblPr>
        <w:tblW w:w="9930" w:type="dxa"/>
        <w:jc w:val="left"/>
        <w:tblInd w:w="0" w:type="dxa"/>
        <w:tblLayout w:type="fixed"/>
        <w:tblCellMar>
          <w:top w:w="28" w:type="dxa"/>
          <w:left w:w="28" w:type="dxa"/>
          <w:bottom w:w="28" w:type="dxa"/>
          <w:right w:w="28" w:type="dxa"/>
        </w:tblCellMar>
      </w:tblPr>
      <w:tblGrid>
        <w:gridCol w:w="1435"/>
        <w:gridCol w:w="1267"/>
        <w:gridCol w:w="1272"/>
        <w:gridCol w:w="211"/>
        <w:gridCol w:w="796"/>
        <w:gridCol w:w="109"/>
        <w:gridCol w:w="109"/>
        <w:gridCol w:w="109"/>
        <w:gridCol w:w="109"/>
        <w:gridCol w:w="211"/>
        <w:gridCol w:w="796"/>
        <w:gridCol w:w="109"/>
        <w:gridCol w:w="109"/>
        <w:gridCol w:w="109"/>
        <w:gridCol w:w="109"/>
        <w:gridCol w:w="211"/>
        <w:gridCol w:w="826"/>
        <w:gridCol w:w="109"/>
        <w:gridCol w:w="109"/>
        <w:gridCol w:w="109"/>
        <w:gridCol w:w="109"/>
        <w:gridCol w:w="211"/>
        <w:gridCol w:w="796"/>
        <w:gridCol w:w="109"/>
        <w:gridCol w:w="109"/>
        <w:gridCol w:w="109"/>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unaudited condensed consolidated statements of operations and comprehensive loss data as a percentage of total revenue for the periods presented: </w:t>
      </w:r>
    </w:p>
    <w:tbl>
      <w:tblPr>
        <w:tblW w:w="9529" w:type="dxa"/>
        <w:jc w:val="left"/>
        <w:tblInd w:w="0" w:type="dxa"/>
        <w:tblLayout w:type="fixed"/>
        <w:tblCellMar>
          <w:top w:w="28" w:type="dxa"/>
          <w:left w:w="28" w:type="dxa"/>
          <w:bottom w:w="28" w:type="dxa"/>
          <w:right w:w="28" w:type="dxa"/>
        </w:tblCellMar>
      </w:tblPr>
      <w:tblGrid>
        <w:gridCol w:w="1435"/>
        <w:gridCol w:w="1268"/>
        <w:gridCol w:w="1271"/>
        <w:gridCol w:w="243"/>
        <w:gridCol w:w="223"/>
        <w:gridCol w:w="470"/>
        <w:gridCol w:w="189"/>
        <w:gridCol w:w="189"/>
        <w:gridCol w:w="189"/>
        <w:gridCol w:w="233"/>
        <w:gridCol w:w="233"/>
        <w:gridCol w:w="470"/>
        <w:gridCol w:w="109"/>
        <w:gridCol w:w="109"/>
        <w:gridCol w:w="109"/>
        <w:gridCol w:w="232"/>
        <w:gridCol w:w="234"/>
        <w:gridCol w:w="430"/>
        <w:gridCol w:w="172"/>
        <w:gridCol w:w="172"/>
        <w:gridCol w:w="172"/>
        <w:gridCol w:w="232"/>
        <w:gridCol w:w="234"/>
        <w:gridCol w:w="430"/>
        <w:gridCol w:w="109"/>
        <w:gridCol w:w="109"/>
        <w:gridCol w:w="109"/>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Cost of revenue</w:t>
            </w:r>
            <w:r>
              <w:rPr>
                <w:rFonts w:ascii="Times New Roman;serif" w:hAnsi="Times New Roman;serif"/>
                <w:b w:val="false"/>
                <w:color w:val="000000"/>
                <w:sz w:val="10"/>
              </w:rPr>
              <w:t>(1)</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 xml:space="preserve">Operating expenses </w:t>
            </w:r>
            <w:r>
              <w:rPr>
                <w:rFonts w:ascii="Times New Roman;serif" w:hAnsi="Times New Roman;serif"/>
                <w:b w:val="false"/>
                <w:color w:val="000000"/>
                <w:sz w:val="10"/>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stock-based compensation expense as follows: </w:t>
      </w:r>
    </w:p>
    <w:tbl>
      <w:tblPr>
        <w:tblW w:w="8370" w:type="dxa"/>
        <w:jc w:val="left"/>
        <w:tblInd w:w="0" w:type="dxa"/>
        <w:tblLayout w:type="fixed"/>
        <w:tblCellMar>
          <w:top w:w="28" w:type="dxa"/>
          <w:left w:w="28" w:type="dxa"/>
          <w:bottom w:w="28" w:type="dxa"/>
          <w:right w:w="28" w:type="dxa"/>
        </w:tblCellMar>
      </w:tblPr>
      <w:tblGrid>
        <w:gridCol w:w="992"/>
        <w:gridCol w:w="874"/>
        <w:gridCol w:w="87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2026 and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7823" w:type="dxa"/>
        <w:jc w:val="left"/>
        <w:tblInd w:w="0" w:type="dxa"/>
        <w:tblLayout w:type="fixed"/>
        <w:tblCellMar>
          <w:top w:w="28" w:type="dxa"/>
          <w:left w:w="28" w:type="dxa"/>
          <w:bottom w:w="28" w:type="dxa"/>
          <w:right w:w="28" w:type="dxa"/>
        </w:tblCellMar>
      </w:tblPr>
      <w:tblGrid>
        <w:gridCol w:w="1026"/>
        <w:gridCol w:w="903"/>
        <w:gridCol w:w="90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418"/>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geographic location: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and Pacific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increased by $19.6 million or 56%, to $54.6 million for the three months ended June 30, 2026 from $35.0 million for the comparable period in the prior year. The increase in revenue was primarily driven by increased sensor volumes as customers increased their purchase levels compared to the prior year period, offset in part by decreased ASPs. The increase was also attributable, in part, to the inclusion of revenue from products acquired through the Stereolabs acquisition, for which there was no comparable revenue contribution in the prior-year period.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recorded $1.9 million in patent royalty revenue for the three months ended June 30, 2026. Patent royalty revenue for the three months ended June 30, 2025, was not significant.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172"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418"/>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increased by $8.7 million, or 45%, to $27.9 million for the three months ended June 30, 2026 from $19.2 million for the comparable period in the prior year. The increase in cost of revenue was primarily attributable to higher shipments, the inclusion of manufacturing costs from our recently-acquired subsidiary, Stereolabs, higher amortization costs from acquired intangible assets and higher excess and obsolete inventory charges, offset in part by IEEPA import duty refunds. Cost of revenue for the three months ended June 30, 2026 included a $5.4 million cost reduction associated with the IEEPA import duty refunds. Cost of revenue for the three months ended June 30, 2025 included a $1.7 million cost reduction associated with the ERC that was received during the period.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Gross margin rose to 49% for the three months ended June 30, 2026 from 45% in the prior year period primarily due to increased sensor volumes and IEEPA import duty refunds.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tbl>
      <w:tblPr>
        <w:tblW w:w="7087" w:type="dxa"/>
        <w:jc w:val="left"/>
        <w:tblInd w:w="0" w:type="dxa"/>
        <w:tblLayout w:type="fixed"/>
        <w:tblCellMar>
          <w:top w:w="28" w:type="dxa"/>
          <w:left w:w="28" w:type="dxa"/>
          <w:bottom w:w="28" w:type="dxa"/>
          <w:right w:w="28" w:type="dxa"/>
        </w:tblCellMar>
      </w:tblPr>
      <w:tblGrid>
        <w:gridCol w:w="836"/>
        <w:gridCol w:w="735"/>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418"/>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$2.2 million, or 13%, to $19.3 million for the three months ended June 30, 2026 from $17.1 million for the comparable period in the prior year. The increase was primarily attributable to the inclusion of Stereolabs and the increase in compensation expenses for employees engaged in research and product development function, offset in part by lower prototype materials and lower stock compensation expense. Additionally, in the three months ended June 30, 2025, the Company recognized $2.2 million in benefits resulting from an ERC as a reduction to research and development expenses.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Sales and Marketing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$2.2 million, or 32%, to $9.2 million for the three months ended June 30, 2026 from $7.0 million for the comparable period in the prior year. The increase was primarily attributable to the inclusion of Stereolabs and the increase in the amortization of acquisition-related intangible assets, offset in part by lower stock compensation expense. Additionally, in the three months ended June 30, 2025, the Company recognized $0.7 million benefits that were received resulting from an ERC as a reduction to the sales and marketing expenses.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$0.3 million, or 2%, to $18.2 million for the three months ended June 30, 2026 from $18.5 million for the comparable period in the prior year. The decrease was primarily attributable to lower litigation and settlement activities, offset in part by transaction and integration costs associated with the Stereolabs acquisition, and increased stock compensation expense. Additionally, in the three months ended June 30, 2025, the Company recognized $0.8 million ERC benefits, that were received as a reduction to the general and administrative expenses.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Interest Income and Other Income (Expense), Net </w:t>
      </w:r>
    </w:p>
    <w:tbl>
      <w:tblPr>
        <w:tblW w:w="9131" w:type="dxa"/>
        <w:jc w:val="left"/>
        <w:tblInd w:w="0" w:type="dxa"/>
        <w:tblLayout w:type="fixed"/>
        <w:tblCellMar>
          <w:top w:w="28" w:type="dxa"/>
          <w:left w:w="28" w:type="dxa"/>
          <w:bottom w:w="28" w:type="dxa"/>
          <w:right w:w="28" w:type="dxa"/>
        </w:tblCellMar>
      </w:tblPr>
      <w:tblGrid>
        <w:gridCol w:w="1619"/>
        <w:gridCol w:w="1419"/>
        <w:gridCol w:w="1432"/>
        <w:gridCol w:w="217"/>
        <w:gridCol w:w="634"/>
        <w:gridCol w:w="112"/>
        <w:gridCol w:w="112"/>
        <w:gridCol w:w="112"/>
        <w:gridCol w:w="112"/>
        <w:gridCol w:w="217"/>
        <w:gridCol w:w="634"/>
        <w:gridCol w:w="112"/>
        <w:gridCol w:w="109"/>
        <w:gridCol w:w="109"/>
        <w:gridCol w:w="109"/>
        <w:gridCol w:w="211"/>
        <w:gridCol w:w="541"/>
        <w:gridCol w:w="109"/>
        <w:gridCol w:w="109"/>
        <w:gridCol w:w="109"/>
        <w:gridCol w:w="109"/>
        <w:gridCol w:w="233"/>
        <w:gridCol w:w="233"/>
        <w:gridCol w:w="418"/>
      </w:tblGrid>
      <w:tr>
        <w:trPr/>
        <w:tc>
          <w:tcPr>
            <w:tcW w:w="16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and other income (expense), net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year-over-year change in interest income is primarily due to the receipt of interest income on an IRS payment during the three months ended June 30, 2025 that did not reoccur, partially offset by a higher average investment balance during the three months ended June 30,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recognized $0.2 million in interest income earned on IEEPA import duty refunds.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recognized $0.8 million in interest income earned on a delayed IRS payment related to ERC claims.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were subject to income taxes in the United States and miscellaneous foreign jurisdictions for the three months ended June 30, 2026 and 2025. The Company’s income tax provision for interim periods is determined using an estimate of the Company’s annual effective tax rate, adjusted for discrete items arising in the quarter.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our U.S. Federal, state and certain foreign deferred tax assets, excluding specific balances related to the Stereolabs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tax provision for the three months ended June 30, 2026 was $0.1 million. For the three months ended June 30, 2025, the Company recorded an income tax benefit of $3.6 million primarily related to the resolution of the Company’s IRS examination of its 2017 and 2018 tax years offset by income taxes for its foreign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left"/>
        <w:rPr>
          <w:rFonts w:ascii="Times New Roman;serif" w:hAnsi="Times New Roman;serif"/>
          <w:b/>
          <w:color w:val="000000"/>
          <w:sz w:val="20"/>
        </w:rPr>
      </w:pPr>
      <w:r>
        <w:rPr>
          <w:rFonts w:ascii="Times New Roman;serif" w:hAnsi="Times New Roman;serif"/>
          <w:b/>
          <w:color w:val="000000"/>
          <w:sz w:val="20"/>
        </w:rPr>
        <w:t>Comparison of the six months ended June 30, 2026 and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7823" w:type="dxa"/>
        <w:jc w:val="left"/>
        <w:tblInd w:w="0" w:type="dxa"/>
        <w:tblLayout w:type="fixed"/>
        <w:tblCellMar>
          <w:top w:w="28" w:type="dxa"/>
          <w:left w:w="28" w:type="dxa"/>
          <w:bottom w:w="28" w:type="dxa"/>
          <w:right w:w="28" w:type="dxa"/>
        </w:tblCellMar>
      </w:tblPr>
      <w:tblGrid>
        <w:gridCol w:w="1026"/>
        <w:gridCol w:w="903"/>
        <w:gridCol w:w="906"/>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418"/>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geographic location: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and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increased by $35.5 million, or 52%, to $103.2 million for the six months ended June 30, 2026, from $67.7 million for the comparable period in the prior year. The increase in revenue was primarily driven by increased sensor volumes as customers increased their purchase levels compared to the prior year period, offset in part by decreased ASPs. The increase was also attributable, in part, to the inclusion of revenue from products acquired through the Stereolabs acquisition, for which there was no comparable revenue contribution in the prior-year period.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recorded $2.2 million and $1.6 million, respectively in patent royalty revenue for the six months ended June 30, 2026 and six months ended June 30,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277" w:type="dxa"/>
        <w:jc w:val="left"/>
        <w:tblInd w:w="0" w:type="dxa"/>
        <w:tblLayout w:type="fixed"/>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418"/>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0"/>
        </w:rPr>
        <w:t>Cost of revenue increased by $17.3 million, or 45%, to $55.7 million for the six months ended June 30, 2026 from $38.4 million for the comparable period in the prior year. The increase in cost of revenue was primarily attributable to higher product shipments, the inclusion of manufacturing costs from our recently-acquired subsidiary, Stereolabs, higher amortization costs from acquired intangible assets and higher excess and obsolete inventory charges, partially offset by IEEPA import duty refunds. Cost of revenue for the six months ended June 30, 2026 included a $5.4 million cost reduction associated with IEEPA import duty refunds. Cost of revenue for the six months ended June 30, 2025 included a $1.7 million</w:t>
      </w:r>
      <w:r>
        <w:rPr>
          <w:color w:val="000000"/>
        </w:rPr>
        <w:t xml:space="preserve"> </w:t>
      </w:r>
      <w:r>
        <w:rPr>
          <w:rFonts w:ascii="Times New Roman;serif" w:hAnsi="Times New Roman;serif"/>
          <w:b w:val="false"/>
          <w:color w:val="000000"/>
          <w:sz w:val="20"/>
        </w:rPr>
        <w:t xml:space="preserve">cost reduction associated with the ERC that was received during the period.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tbl>
      <w:tblPr>
        <w:tblW w:w="7132" w:type="dxa"/>
        <w:jc w:val="left"/>
        <w:tblInd w:w="0" w:type="dxa"/>
        <w:tblLayout w:type="fixed"/>
        <w:tblCellMar>
          <w:top w:w="28" w:type="dxa"/>
          <w:left w:w="28" w:type="dxa"/>
          <w:bottom w:w="28" w:type="dxa"/>
          <w:right w:w="28" w:type="dxa"/>
        </w:tblCellMar>
      </w:tblPr>
      <w:tblGrid>
        <w:gridCol w:w="836"/>
        <w:gridCol w:w="735"/>
        <w:gridCol w:w="73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02"/>
        <w:gridCol w:w="204"/>
        <w:gridCol w:w="418"/>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increased by $3.3 million, or 10%, to $35.4 million for the six months ended June 30, 2026 from $32.1 million for the comparable period in the prior year. The increase is primarily attributable to the inclusion of Stereolabs, the Company’s continuing investment in the research and development of new product offerings, and higher salaries and wages, offset in part by lower prototype materials expense and lower stock compensation expense. Additionally,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six months ended June 30, 2025, the Company recognized $2.2 million in benefits resulting from an ERC as a reduction to research and development expenses.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Sales and Marketing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$3.6 million, or 27%, to $17.0 million for the six months ended June 30, 2026 from $13.4 million for the comparable period in the prior year. The increase was primarily attributable to the inclusion of Stereolabs and the increase in the amortization of acquisition-related intangible assets, offset in part by lower stock compensation and commission expenses. Additionally, in the six months ended June 30, 2025, the Company recognized $0.7 million benefits that were received resulting from an ERC as a reduction to the sales and marketing expenses.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$0.1 million, or essentially flat, to $34.3 million for the six months ended June 30, 2026 from $34.4 for the comparable period in the prior year. The decrease was primarily attributable lower litigation and settlement activities, offset in part by transaction and integration costs associated with the Stereolabs acquisition and higher stock compensation expense. Additionally, in the six months ended June 30, 2025, the Company recognize $0.8 million ERC benefits, that were received as a reduction to the general and administrative expenses.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Interest Income and Other Income (Expense), Net </w:t>
      </w:r>
    </w:p>
    <w:tbl>
      <w:tblPr>
        <w:tblW w:w="9067" w:type="dxa"/>
        <w:jc w:val="left"/>
        <w:tblInd w:w="0" w:type="dxa"/>
        <w:tblLayout w:type="fixed"/>
        <w:tblCellMar>
          <w:top w:w="28" w:type="dxa"/>
          <w:left w:w="28" w:type="dxa"/>
          <w:bottom w:w="28" w:type="dxa"/>
          <w:right w:w="28" w:type="dxa"/>
        </w:tblCellMar>
      </w:tblPr>
      <w:tblGrid>
        <w:gridCol w:w="1619"/>
        <w:gridCol w:w="1419"/>
        <w:gridCol w:w="1432"/>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69"/>
        <w:gridCol w:w="271"/>
        <w:gridCol w:w="418"/>
      </w:tblGrid>
      <w:tr>
        <w:trPr/>
        <w:tc>
          <w:tcPr>
            <w:tcW w:w="16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and other income (expense), net</w:t>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year-over-year interest income earned increased due to higher cash and short-term invested balances offset by lower average rate of interest earned on held balances. During the six months ended June 30, 2026, the Company recognized $0.6 million interest income earned on an IRS income tax refund received during the period and $0.2 million interest income earned on IEEPA import duty refunds. During the six months ended June 30, 2025, the Company recognized $0.8 million in interest income earned on a delayed IRS payment related to ERC claims.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not material for the six months ended June 30, 2026 and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our U.S. Federal, state and certain foreign deferred tax assets, excluding specific balances related to the Stereolabs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tax provision for the six months ended June 30, 2026, was $0.7 million, which includes $0.9 million of discrete items primarily related to withholding taxes on sales to customers. For the six months ended June 30, 2025, the Company recorded an income tax benefit of $3.4 million primarily related to the resolution of the Company’s IRS examination of its 2017 and 2018 tax years offset by income taxes for its foreign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and cash equivalents and short-term investments, cash generated from sales of our products, and sales of common stock under our at-the market equity offering program.</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primary requirements for liquidity and capital are to finance working capital, inventory management, capital expenditures and general corporate purposes. We expect these needs to continue as we develop and grow our business.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we had an accumulated deficit of $1.0 billion and cash, cash equivalents, restricted cash and short-term investments of $262.5 million. Management believes that our existing sources of liquidity will be sufficient to fund our operations for at least twelve months from the date of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cash and cash equivalents with financial institutions that we believe have high credit quality and, at times, such amounts exceed federally insured limits. The failure of any bank with which we maintain a commercial relationship could cause us to lose our deposits in excess of the federally insured or protected amounts. We have experienced recurring losses from operations, and negative cash flows from operations, and we expect to continue operating at a loss and to have negative cash flows from operations for the foreseeable future. Because we are in the growth stage of our business and operate in an emerging field of technology, we expect to continue to invest in research and development and opportunistically expand our sales and marketing teams worldwide.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may choose to raise additional capital opportunistically if we believe market conditions are favorable. If we are unable to obtain adequate financing or financing on terms satisfactory to us, when we require it, our ability to continue to grow or support our business and to respond to business challenges could be significantly limited. In particular,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ATM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2025, the Company entered into an At-Market-Issuance Sales Agreement (the “Former ATM Agreement”) with Oppenheimer &amp; Co. Inc., pursuant to which the Company could offer and sell shares of the Company’s common stock, having an aggregate offering price of up to $100.0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terminated the Former ATM Agreement in May 2026.</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the date of the Former ATM Agreement to its termination, the Company sold 4,671,406 shares at a weighted-average sales price of $20.88 per share, resulting in cumulative gross proceeds to the Company totaling approximately $97.5 million before deducting offering costs, sales commissions and fees. Cumulative net proceeds to the Company totaled approximately $95.6 million after deducting offering costs, sales commissions and fees.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8, 2026, the Company entered into an At Market Issuance Sales Agreement (the “ATM Agreement”) with Oppenheimer &amp; Co. Inc., Northland Securities, Inc., Rosenblatt Securities Inc., and Roth Capital Partners, LLC (each, an “Agent” and, collectively the “Agents”), pursuant to which the Company may offer and sell, from time to time, through or to the Agents, acting as agent or principal, shares of the Company’s common stock, having an aggregate offering price of up to $100.0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3,649,000 shares of common stock were sold under the ATM Agreement at a weighted-average sales price of $27.40 per share, resulting in cumulative gross proceeds to the Company totaling approximately $100.0 million before deducting offering costs, sales commissions and fees. Cumulative net proceeds to the Company totaled approximately $98.0 million after deducting offering costs, sales commissions and fees. We plan to use the net proceeds from this offering for working capital and general corporate purposes. As of June 30, 2026, the ATM offering is complete and there are no remaining funds availability under the ATM Agreement.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July 2026 Offering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 2026, the Company entered into an underwriting agreement (the “Underwriting Agreement”) with Northland Securities, Inc. as underwriter (the “Underwriter”), pursuant to which the Company agreed to issue and sell an aggregate of 3,621,876 shares of common stock to the Underwriter (the “Offering”). Additionally, under the terms of the Underwriting Agreement, the Company granted the Underwriter a 30-day option, solely for the purpose of covering over-allotments, if any, to purchase up to an additional 543,281 shares of common stock. The price to the public in the Offering was $55.22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6, 2026, the Company completed the sale and issuance of an aggregate of 3,621,876 shares of common stock. The Company received net proceeds of approximately $191.9 million, after deducting the Underwriter’s discounts and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party to many contractual obligations involving commitments to make payments to third parties. These obligations impact our short-term and long-term liquidity and capital resource needs. Certain contractual obligations are reflected on the unaudited condensed consolidated balance sheet as of June 30, 2026,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7. Commitments and Contingencies to our unaudited condensed consolidated financial statements included in this Quarterly Report as well as Note 7. Leases and Note 8. Commitments and Contingencies Part II, Item 8 of our 2025 Annual Report.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 Summary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from continuing operations for the periods presented:</w:t>
      </w:r>
    </w:p>
    <w:tbl>
      <w:tblPr>
        <w:tblW w:w="5289" w:type="dxa"/>
        <w:jc w:val="left"/>
        <w:tblInd w:w="0" w:type="dxa"/>
        <w:tblLayout w:type="fixed"/>
        <w:tblCellMar>
          <w:top w:w="28" w:type="dxa"/>
          <w:left w:w="28" w:type="dxa"/>
          <w:bottom w:w="28" w:type="dxa"/>
          <w:right w:w="28" w:type="dxa"/>
        </w:tblCellMar>
      </w:tblPr>
      <w:tblGrid>
        <w:gridCol w:w="960"/>
        <w:gridCol w:w="845"/>
        <w:gridCol w:w="850"/>
        <w:gridCol w:w="211"/>
        <w:gridCol w:w="826"/>
        <w:gridCol w:w="109"/>
        <w:gridCol w:w="109"/>
        <w:gridCol w:w="109"/>
        <w:gridCol w:w="109"/>
        <w:gridCol w:w="211"/>
        <w:gridCol w:w="79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operating activities used $20.0 million in cash. The primary factors affecting our operating cash flows during this period were our net loss of $35.6 million, offset by our non-cash charges of $27.0 million, primarily consisting of depreciation and amortization of $5.9 million, stock-based compensation of $18.9 million, amortization of right-of-use asset of $1.7 million, partially offset by accretion on short-term investments of $1.1 million. The changes in our operating assets and liabilities of $11.5 million were primarily due to a decrease in accounts receivable of $10.6 million, increase in inventory of $5.7 million, an increase in prepaid expenses and other assets of $9.9 million, an increase in accounts payable of $0.8 million, a decrease in contract liabilities of $5.6 million and decrease in operating lease liability of $1.9 million.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operating activities used $6.2 million in cash. The primary factors affecting our operating cash flows during this period were our net loss of $42.6 million, offset by our non-cash charges of $28.3 million, primarily consisting of depreciation and amortization of $3.7 million, stock-based compensation of $21.7 million and amortization of right-of-use asset of $2.5 million, partially offset by accretion or amortization on short-term investments of $1.5 million. The changes in our operating assets and liabilities of $8.2 million were primarily due to a decrease in accounts receivable of $6.5 million, decrease in inventory of $2.0 million, an increase in prepaid expenses and other assets of $3.6 million, an increase in accounts payable of $6.4 million, an increase in accrued and other liabilities of $4.0 million, a decrease in contract liabilities of $3.8 million and decrease in operating lease liability of $3.3 million.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used by investing activities was $60.0 million, consisting primarily of $122.3 million purchases of short-term investments and $27.5 million used for the acquisition of Stereolabs, net of cash acquired, partially offset by $95.0 million in proceeds from the sale and maturities of short-term investments.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cash used by investing activities was $23.9 million, consisting primarily of purchases of short-term investments of $79.7 million partially offset by $57.3 million proceeds from sales and maturities of short-term investments.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six months ended June 30, 2026, cash provided by financing activities of $103.3 million was primarily related to the issuance of $98.0 million in common stock under the ATM Agreement.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cash provided by financing activities of $60.2 million was primarily from the issuance of common stock under the Former ATM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Management’s Discussion and Analysis of Financial Condition and Results of Operations in our 2025 Annual Report. There have been no significant changes to our critical accounting policies and estimates since the filing of our 2025 Annual Report.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assumptions. Certain of these policies require the application of subjective or complex judgments, often as a result of the need to make estimates about the effect of matters that are inherently uncertain. These estimates and assumptions are based on historical experience, changes in the business environment and other factors that we believe to be reasonable under the circumstances. Different estimates that could have been applied in the current period or changes in the accounting estimates that are reasonably likely can result in a material impact on our financial condition and operating results in the current and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and qualitative information regarding these risks.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inflation in the U.S., Europe and other geographies has risen significantly in recent years. To date, we do not believe that inflation has had a material effect on our business, financial condition, or results of operations, other than its impact on the general economy. However, we are monitoring the current inflationary environment, particularly as it may be impacted by proposed and/or newly implemented tariffs. If our costs were to become subject to significant inflationary pressures, we may not be able to fully offset such higher costs through price increases, and our inability or failure to do so could harm our business, financial condition and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As of June 30, 2026, we had cash and cash equivalents, restricted cash and short-term investments of $262.5 million, of which $68.8 million consisted of institutional money market funds, $97.9 million consisted of commercial paper, and $71.4 million consisted of corporate debt securities, all of which carries a degree of interest rate risk. The primar</w:t>
      </w:r>
      <w:r>
        <w:rPr>
          <w:rFonts w:ascii="Times New Roman;serif" w:hAnsi="Times New Roman;serif"/>
          <w:b w:val="false"/>
          <w:color w:val="000000"/>
          <w:sz w:val="20"/>
          <w:shd w:fill="FFFFFF" w:val="clear"/>
        </w:rPr>
        <w:t xml:space="preserve">y goals of our investment policy are liquidity and capital preservation. We do not enter into investments for trading or speculative purposes. </w:t>
      </w:r>
    </w:p>
    <w:p>
      <w:pPr>
        <w:pStyle w:val="TextBody"/>
        <w:bidi w:val="0"/>
        <w:spacing w:lineRule="auto" w:line="288" w:before="180" w:after="283"/>
        <w:ind w:left="0" w:right="0" w:firstLine="450"/>
        <w:jc w:val="left"/>
        <w:rPr/>
      </w:pPr>
      <w:r>
        <w:rPr>
          <w:rFonts w:ascii="Times New Roman;serif" w:hAnsi="Times New Roman;serif"/>
          <w:b w:val="false"/>
          <w:color w:val="000000"/>
          <w:sz w:val="20"/>
          <w:shd w:fill="FFFFFF" w:val="clear"/>
        </w:rPr>
        <w:t xml:space="preserve">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w:t>
      </w:r>
      <w:r>
        <w:rPr>
          <w:rFonts w:ascii="Times New Roman;serif" w:hAnsi="Times New Roman;serif"/>
          <w:b w:val="false"/>
          <w:color w:val="000000"/>
          <w:sz w:val="20"/>
        </w:rPr>
        <w:t>ability</w:t>
      </w:r>
      <w:r>
        <w:rPr>
          <w:color w:val="000000"/>
          <w:shd w:fill="FFFFFF" w:val="clear"/>
        </w:rPr>
        <w:t xml:space="preserve"> </w:t>
      </w:r>
      <w:r>
        <w:rPr>
          <w:rFonts w:ascii="Times New Roman;serif" w:hAnsi="Times New Roman;serif"/>
          <w:b w:val="false"/>
          <w:color w:val="000000"/>
          <w:sz w:val="20"/>
          <w:shd w:fill="FFFFFF" w:val="clear"/>
        </w:rPr>
        <w:t>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pStyle w:val="TextBody"/>
        <w:bidi w:val="0"/>
        <w:spacing w:lineRule="auto" w:line="288" w:before="180" w:after="283"/>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we had no debt outstanding and therefore are not exposed to interest rate risk with respect to debt.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Foreign Currency Exchange Risk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 of a hypothetical 10% change in foreign currency exchange rates applicable to our business would not have a material impact on our historical consolidated financial statements.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our international operations grow, we will continue to reassess our approach to managing our risk relating to fluctuations in currency rates. However, no strategy can completely insulate us from risks associated with such fluctuations and our currency exchange rate risk management activities could expose us to substantial losses if such rates move materially differently from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include controls and other procedures that are designed to ensure that information required to be disclosed in the reports filed or submitted under the Securities Exchange Act of 1934, as amended,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required disclosure.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that term is defined in Rules 13a-15(e) and 15d-15(e) under the Exchange Act) as of June 30, 2026. Based on that evaluation, our Chief Executive Officer and Chief Financial Officer concluded that our disclosure controls and procedures were effective at the reasonable assurance level as of June 30,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We are, from time to time, party to various claims and legal proceedings arising in the ordinary course of our business. See</w:t>
      </w:r>
      <w:r>
        <w:rPr>
          <w:color w:val="000000"/>
        </w:rPr>
        <w:t xml:space="preserve"> </w:t>
      </w:r>
      <w:r>
        <w:rPr>
          <w:rFonts w:ascii="Times New Roman;serif" w:hAnsi="Times New Roman;serif"/>
          <w:b w:val="false"/>
          <w:color w:val="000000"/>
          <w:sz w:val="20"/>
        </w:rPr>
        <w:t>Note 7. Commitments and Contingencies to our unaudited condensed consolidated financial statements included elsewhere in this Quarterly Report for a discussion of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Investing in our securities involves a high degree of risk. You should carefully consider the risks described under the heading “Risk Factors” in Part I, Item 1A. of our 2025 Annual Report, the other information in this Quarterly Report, including our unaudited condensed consolidated financial statements and the related notes, as well as our other public filings with the SEC, before deciding to invest in our securities. There have been no material changes to the Company’s risk factors previously disclosed in our 2025 Annual Report. The occurrence of any of the events described therein could harm our business, financial condition, results of operations, liquidity or prospects. In such an event, the market price of our common stock could decline, and you may lose all or part of your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 Disclosure in lieu of reporting on a Current Report on Form 8-K.</w:t>
      </w:r>
    </w:p>
    <w:p>
      <w:pPr>
        <w:pStyle w:val="TextBody"/>
        <w:bidi w:val="0"/>
        <w:spacing w:lineRule="auto" w:line="288" w:before="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both"/>
        <w:rPr/>
      </w:pPr>
      <w:r>
        <w:rPr>
          <w:rFonts w:ascii="Times New Roman;serif" w:hAnsi="Times New Roman;serif"/>
          <w:b/>
          <w:i/>
          <w:color w:val="000000"/>
          <w:sz w:val="20"/>
        </w:rPr>
        <w:t>(b) Material changes to the procedures by which security holders may recommend nominees to the board of directors.</w:t>
      </w:r>
      <w:r>
        <w:rPr>
          <w:color w:val="000000"/>
        </w:rPr>
        <w:t xml:space="preserve">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 Insider trading arrangements and policies.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19, 2026, Kenneth Gianella, the Company’s Chief Financial Officer, adopted a “Rule 10b5-1 trading arrangement” as defined in Item 408(a) of Regulation S-K. The plan provides for the periodic sale of up to 40,000 shares of common stock between August 18, 2026 and May 19, 2027.</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3, 2026, Megan Chung, the Company’s General Counsel and Secretary, adopted a “Rule 10b5-1 trading arrangement” as defined in Item 408(a) of Regulation S-K. The plan provides for the periodic sale of up to 16,000 shares of common stock between October 15, 2026 and February 25, 2027.</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than as described above, during the three months ended June 30, 2026, no director or officer of the Company, as defined in Rule 16a-1(f) of the Exchange Act, adopted or terminated a “Rule 10b5-1 trading arrangement” or a “non-Rule 10b5-1 trading arrangement,” as each term is defined in Item 408(a) of Regulation S-K.</w:t>
      </w:r>
    </w:p>
    <w:p>
      <w:pPr>
        <w:pStyle w:val="TextBody"/>
        <w:bidi w:val="0"/>
        <w:spacing w:before="6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30"/>
        <w:gridCol w:w="290"/>
        <w:gridCol w:w="291"/>
        <w:gridCol w:w="109"/>
        <w:gridCol w:w="109"/>
        <w:gridCol w:w="109"/>
        <w:gridCol w:w="1225"/>
        <w:gridCol w:w="1085"/>
        <w:gridCol w:w="1096"/>
        <w:gridCol w:w="109"/>
        <w:gridCol w:w="109"/>
        <w:gridCol w:w="109"/>
        <w:gridCol w:w="203"/>
        <w:gridCol w:w="203"/>
        <w:gridCol w:w="205"/>
        <w:gridCol w:w="109"/>
        <w:gridCol w:w="109"/>
        <w:gridCol w:w="109"/>
        <w:gridCol w:w="271"/>
        <w:gridCol w:w="271"/>
        <w:gridCol w:w="249"/>
        <w:gridCol w:w="109"/>
        <w:gridCol w:w="109"/>
        <w:gridCol w:w="109"/>
        <w:gridCol w:w="245"/>
        <w:gridCol w:w="245"/>
        <w:gridCol w:w="246"/>
        <w:gridCol w:w="109"/>
        <w:gridCol w:w="109"/>
        <w:gridCol w:w="109"/>
        <w:gridCol w:w="226"/>
        <w:gridCol w:w="226"/>
        <w:gridCol w:w="227"/>
        <w:gridCol w:w="109"/>
        <w:gridCol w:w="109"/>
        <w:gridCol w:w="109"/>
        <w:gridCol w:w="322"/>
        <w:gridCol w:w="322"/>
        <w:gridCol w:w="465"/>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 Furnished herewith</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Certificate of Incorporation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S-4 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333-251611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Amendment to Certificate of Incorporation of Ouster,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Second Amended and Restated Bylaws of Ouster, Inc. (effective as of April 18,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80"/>
                  <w:sz w:val="20"/>
                  <w:u w:val="single"/>
                </w:rPr>
                <w:t>Certificate of Amendment to Certif</w:t>
              </w:r>
            </w:hyperlink>
            <w:hyperlink r:id="rId10">
              <w:r>
                <w:rPr>
                  <w:rStyle w:val="InternetLink"/>
                  <w:rFonts w:ascii="Times New Roman;serif" w:hAnsi="Times New Roman;serif"/>
                  <w:b w:val="false"/>
                  <w:color w:val="000080"/>
                  <w:sz w:val="20"/>
                  <w:u w:val="single"/>
                </w:rPr>
                <w:t>icate of Incorporation of O</w:t>
              </w:r>
            </w:hyperlink>
            <w:hyperlink r:id="rId11">
              <w:r>
                <w:rPr>
                  <w:rStyle w:val="InternetLink"/>
                  <w:rFonts w:ascii="Times New Roman;serif" w:hAnsi="Times New Roman;serif"/>
                  <w:b w:val="false"/>
                  <w:color w:val="000080"/>
                  <w:sz w:val="20"/>
                  <w:u w:val="single"/>
                </w:rPr>
                <w:t xml:space="preserve">uster, </w:t>
              </w:r>
            </w:hyperlink>
            <w:hyperlink r:id="rId12">
              <w:r>
                <w:rPr>
                  <w:rStyle w:val="InternetLink"/>
                  <w:rFonts w:ascii="Times New Roman;serif" w:hAnsi="Times New Roman;serif"/>
                  <w:b w:val="false"/>
                  <w:color w:val="000080"/>
                  <w:sz w:val="20"/>
                  <w:u w:val="single"/>
                </w:rPr>
                <w:t>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6/18/2026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20"/>
                  <w:u w:val="single"/>
                </w:rPr>
                <w:t>Warrant to Purchase Common Stock of Velodyne Lidar, Inc., by and between Velodyne Lidar, Inc. and Amazon.com NV Investment Holdings LLC, dated as of February 4,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80"/>
                  <w:sz w:val="20"/>
                  <w:u w:val="single"/>
                </w:rPr>
                <w:t>1</w:t>
              </w:r>
            </w:hyperlink>
            <w:hyperlink r:id="rId16">
              <w:r>
                <w:rPr>
                  <w:rStyle w:val="InternetLink"/>
                  <w:rFonts w:ascii="Times New Roman;serif" w:hAnsi="Times New Roman;serif"/>
                  <w:b w:val="false"/>
                  <w:color w:val="000080"/>
                  <w:sz w:val="20"/>
                  <w:u w:val="single"/>
                </w:rPr>
                <w:t>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erif" w:hAnsi="Times New Roman;serif"/>
                  <w:b w:val="false"/>
                  <w:color w:val="0000FF"/>
                  <w:sz w:val="20"/>
                  <w:u w:val="single"/>
                </w:rPr>
                <w:t>Sales Agreement, dated May 8, 2026, by and between the Company and Oppenheimer &amp; Co. Inc., Northland Securities, Inc., Rosenblatt Securities Inc., and Roth Capital Partners,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001-39463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26x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26xex311.htm">
              <w:r>
                <w:rPr>
                  <w:rStyle w:val="InternetLink"/>
                  <w:rFonts w:ascii="Times New Roman;serif" w:hAnsi="Times New Roman;serif"/>
                  <w:b w:val="false"/>
                  <w:color w:val="0000FF"/>
                  <w:sz w:val="20"/>
                  <w:u w:val="single"/>
                </w:rPr>
                <w:t>Certification of Chief Executive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26x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26xex312.htm">
              <w:r>
                <w:rPr>
                  <w:rStyle w:val="InternetLink"/>
                  <w:rFonts w:ascii="Times New Roman;serif" w:hAnsi="Times New Roman;serif"/>
                  <w:b w:val="false"/>
                  <w:color w:val="0000FF"/>
                  <w:sz w:val="20"/>
                  <w:u w:val="single"/>
                </w:rPr>
                <w:t>Certification of Chief Financial Officer pursuant to Rules 13a-14(a)/15d-14(a) under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26x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26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26x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ust-30jun26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w:t>
      </w:r>
    </w:p>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a93dc29bd8354651aa848b38b338c4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9524" w:type="dxa"/>
        <w:jc w:val="left"/>
        <w:tblInd w:w="0" w:type="dxa"/>
        <w:tblLayout w:type="fixed"/>
        <w:tblCellMar>
          <w:top w:w="28" w:type="dxa"/>
          <w:left w:w="28" w:type="dxa"/>
          <w:bottom w:w="28" w:type="dxa"/>
          <w:right w:w="28" w:type="dxa"/>
        </w:tblCellMar>
      </w:tblPr>
      <w:tblGrid>
        <w:gridCol w:w="667"/>
        <w:gridCol w:w="587"/>
        <w:gridCol w:w="590"/>
        <w:gridCol w:w="222"/>
        <w:gridCol w:w="203"/>
        <w:gridCol w:w="205"/>
        <w:gridCol w:w="2045"/>
        <w:gridCol w:w="2045"/>
        <w:gridCol w:w="29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Ouster,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P. Gianella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P. Gianella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0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Chief Financial Officer (</w:t>
            </w: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Angus Pacala, certify that:</w:t>
      </w:r>
    </w:p>
    <w:p>
      <w:pPr>
        <w:pStyle w:val="TextBody"/>
        <w:bidi w:val="0"/>
        <w:spacing w:before="0" w:after="0"/>
        <w:jc w:val="left"/>
        <w:rPr/>
      </w:pPr>
      <w:r>
        <w:rPr/>
      </w:r>
    </w:p>
    <w:tbl>
      <w:tblPr>
        <w:tblW w:w="5921" w:type="dxa"/>
        <w:jc w:val="left"/>
        <w:tblInd w:w="0" w:type="dxa"/>
        <w:tblLayout w:type="fixed"/>
        <w:tblCellMar>
          <w:top w:w="28" w:type="dxa"/>
          <w:left w:w="28" w:type="dxa"/>
          <w:bottom w:w="28" w:type="dxa"/>
          <w:right w:w="28" w:type="dxa"/>
        </w:tblCellMar>
      </w:tblPr>
      <w:tblGrid>
        <w:gridCol w:w="124"/>
        <w:gridCol w:w="109"/>
        <w:gridCol w:w="109"/>
        <w:gridCol w:w="1632"/>
        <w:gridCol w:w="1632"/>
        <w:gridCol w:w="2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Ouster,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055"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1018"/>
        <w:gridCol w:w="1018"/>
        <w:gridCol w:w="14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Angus Pacala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Angus Pacala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Co-Founder and Chief Executive Officer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Kenneth Gianella, certify that:</w:t>
      </w:r>
    </w:p>
    <w:p>
      <w:pPr>
        <w:pStyle w:val="TextBody"/>
        <w:bidi w:val="0"/>
        <w:spacing w:before="0" w:after="0"/>
        <w:jc w:val="left"/>
        <w:rPr/>
      </w:pPr>
      <w:r>
        <w:rPr/>
      </w:r>
    </w:p>
    <w:tbl>
      <w:tblPr>
        <w:tblW w:w="5921" w:type="dxa"/>
        <w:jc w:val="left"/>
        <w:tblInd w:w="0" w:type="dxa"/>
        <w:tblLayout w:type="fixed"/>
        <w:tblCellMar>
          <w:top w:w="28" w:type="dxa"/>
          <w:left w:w="28" w:type="dxa"/>
          <w:bottom w:w="28" w:type="dxa"/>
          <w:right w:w="28" w:type="dxa"/>
        </w:tblCellMar>
      </w:tblPr>
      <w:tblGrid>
        <w:gridCol w:w="124"/>
        <w:gridCol w:w="109"/>
        <w:gridCol w:w="109"/>
        <w:gridCol w:w="1632"/>
        <w:gridCol w:w="1632"/>
        <w:gridCol w:w="23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Ouster,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989"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P. Gianella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P. Gianella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Ouster,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6054"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Angus Pacala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Angus Pacala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Co-Founder and Chief Executive Officer </w:t>
            </w:r>
          </w:p>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Ouster,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4989"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705"/>
        <w:gridCol w:w="705"/>
        <w:gridCol w:w="100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P. Gianella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P. Gianella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16581/000119312521076326/d149743dex31.htm" TargetMode="External"/><Relationship Id="rId3" Type="http://schemas.openxmlformats.org/officeDocument/2006/relationships/hyperlink" Target="https://www.sec.gov/Archives/edgar/data/0001816581/000119312521076326/d149743dex31.htm" TargetMode="External"/><Relationship Id="rId4" Type="http://schemas.openxmlformats.org/officeDocument/2006/relationships/hyperlink" Target="https://www.sec.gov/Archives/edgar/data/1816581/000119312523108331/d502108dex31.htm" TargetMode="External"/><Relationship Id="rId5" Type="http://schemas.openxmlformats.org/officeDocument/2006/relationships/hyperlink" Target="https://www.sec.gov/Archives/edgar/data/1816581/000119312523108331/d502108dex31.htm" TargetMode="External"/><Relationship Id="rId6" Type="http://schemas.openxmlformats.org/officeDocument/2006/relationships/hyperlink" Target="https://www.sec.gov/Archives/edgar/data/1816581/000119312524103286/d813445dex31.htm" TargetMode="External"/><Relationship Id="rId7" Type="http://schemas.openxmlformats.org/officeDocument/2006/relationships/hyperlink" Target="https://www.sec.gov/Archives/edgar/data/1816581/000119312524103286/d813445dex31.htm" TargetMode="External"/><Relationship Id="rId8" Type="http://schemas.openxmlformats.org/officeDocument/2006/relationships/hyperlink" Target="https://www.sec.gov/Archives/edgar/data/1816581/000119312526275810/d163903dex31.htm" TargetMode="External"/><Relationship Id="rId9" Type="http://schemas.openxmlformats.org/officeDocument/2006/relationships/hyperlink" Target="https://www.sec.gov/Archives/edgar/data/1816581/000119312526275810/d163903dex31.htm" TargetMode="External"/><Relationship Id="rId10" Type="http://schemas.openxmlformats.org/officeDocument/2006/relationships/hyperlink" Target="https://www.sec.gov/Archives/edgar/data/1816581/000119312526275810/d163903dex31.htm" TargetMode="External"/><Relationship Id="rId11" Type="http://schemas.openxmlformats.org/officeDocument/2006/relationships/hyperlink" Target="https://www.sec.gov/Archives/edgar/data/1816581/000119312526275810/d163903dex31.htm" TargetMode="External"/><Relationship Id="rId12" Type="http://schemas.openxmlformats.org/officeDocument/2006/relationships/hyperlink" Target="https://www.sec.gov/Archives/edgar/data/1816581/000119312526275810/d163903dex31.htm" TargetMode="External"/><Relationship Id="rId13" Type="http://schemas.openxmlformats.org/officeDocument/2006/relationships/hyperlink" Target="https://www.sec.gov/Archives/edgar/data/1745317/000119312522029612/d54842dex41.htm" TargetMode="External"/><Relationship Id="rId14" Type="http://schemas.openxmlformats.org/officeDocument/2006/relationships/hyperlink" Target="https://www.sec.gov/Archives/edgar/data/1745317/000119312522029612/d54842dex41.htm" TargetMode="External"/><Relationship Id="rId15" Type="http://schemas.openxmlformats.org/officeDocument/2006/relationships/hyperlink" Target="https://www.sec.gov/Archives/edgar/data/1816581/000119312526215081/d132439dex11.htm" TargetMode="External"/><Relationship Id="rId16" Type="http://schemas.openxmlformats.org/officeDocument/2006/relationships/hyperlink" Target="https://www.sec.gov/Archives/edgar/data/1816581/000119312526215081/d132439dex11.htm" TargetMode="External"/><Relationship Id="rId17" Type="http://schemas.openxmlformats.org/officeDocument/2006/relationships/hyperlink" Target="https://www.sec.gov/Archives/edgar/data/1816581/000119312526215081/d132439dex1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23836</Words>
  <Characters>133544</Characters>
  <CharactersWithSpaces>155863</CharactersWithSpaces>
  <Paragraphs>2890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