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1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139"/>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ind w:right="113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139"/>
        <w:spacing w:after="0"/>
        <w:rPr>
          <w:sz w:val="20"/>
          <w:szCs w:val="20"/>
          <w:color w:val="auto"/>
        </w:rPr>
      </w:pPr>
      <w:r>
        <w:rPr>
          <w:rFonts w:ascii="Arial" w:cs="Arial" w:eastAsia="Arial" w:hAnsi="Arial"/>
          <w:sz w:val="20"/>
          <w:szCs w:val="20"/>
          <w:color w:val="auto"/>
        </w:rPr>
        <w:t>(Amendment No. __)*</w:t>
      </w:r>
    </w:p>
    <w:p>
      <w:pPr>
        <w:spacing w:after="0" w:line="200" w:lineRule="exact"/>
        <w:rPr>
          <w:sz w:val="24"/>
          <w:szCs w:val="24"/>
          <w:color w:val="auto"/>
        </w:rPr>
      </w:pPr>
    </w:p>
    <w:p>
      <w:pPr>
        <w:spacing w:after="0" w:line="210" w:lineRule="exact"/>
        <w:rPr>
          <w:sz w:val="24"/>
          <w:szCs w:val="24"/>
          <w:color w:val="auto"/>
        </w:rPr>
      </w:pPr>
    </w:p>
    <w:p>
      <w:pPr>
        <w:jc w:val="center"/>
        <w:ind w:right="1139"/>
        <w:spacing w:after="0"/>
        <w:rPr>
          <w:sz w:val="20"/>
          <w:szCs w:val="20"/>
          <w:color w:val="auto"/>
        </w:rPr>
      </w:pPr>
      <w:r>
        <w:rPr>
          <w:rFonts w:ascii="Arial" w:cs="Arial" w:eastAsia="Arial" w:hAnsi="Arial"/>
          <w:sz w:val="20"/>
          <w:szCs w:val="20"/>
          <w:b w:val="1"/>
          <w:bCs w:val="1"/>
          <w:u w:val="single" w:color="auto"/>
          <w:color w:val="auto"/>
        </w:rPr>
        <w:t>Ouster, Inc.</w:t>
      </w:r>
    </w:p>
    <w:p>
      <w:pPr>
        <w:spacing w:after="0" w:line="21" w:lineRule="exact"/>
        <w:rPr>
          <w:sz w:val="24"/>
          <w:szCs w:val="24"/>
          <w:color w:val="auto"/>
        </w:rPr>
      </w:pPr>
    </w:p>
    <w:p>
      <w:pPr>
        <w:jc w:val="center"/>
        <w:ind w:right="1139"/>
        <w:spacing w:after="0"/>
        <w:rPr>
          <w:sz w:val="20"/>
          <w:szCs w:val="20"/>
          <w:color w:val="auto"/>
        </w:rPr>
      </w:pPr>
      <w:r>
        <w:rPr>
          <w:rFonts w:ascii="Arial" w:cs="Arial" w:eastAsia="Arial" w:hAnsi="Arial"/>
          <w:sz w:val="20"/>
          <w:szCs w:val="20"/>
          <w:color w:val="auto"/>
        </w:rPr>
        <w:t>(Name of Issuer)</w:t>
      </w:r>
    </w:p>
    <w:p>
      <w:pPr>
        <w:jc w:val="center"/>
        <w:ind w:right="1139"/>
        <w:spacing w:after="0"/>
        <w:rPr>
          <w:sz w:val="20"/>
          <w:szCs w:val="20"/>
          <w:color w:val="auto"/>
        </w:rPr>
      </w:pPr>
      <w:r>
        <w:rPr>
          <w:rFonts w:ascii="Arial" w:cs="Arial" w:eastAsia="Arial" w:hAnsi="Arial"/>
          <w:sz w:val="20"/>
          <w:szCs w:val="20"/>
          <w:b w:val="1"/>
          <w:bCs w:val="1"/>
          <w:u w:val="single" w:color="auto"/>
          <w:color w:val="auto"/>
        </w:rPr>
        <w:t>Common Stock, par value $0.0001 per share</w:t>
      </w:r>
    </w:p>
    <w:p>
      <w:pPr>
        <w:jc w:val="center"/>
        <w:ind w:right="1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10" w:lineRule="exact"/>
        <w:rPr>
          <w:sz w:val="24"/>
          <w:szCs w:val="24"/>
          <w:color w:val="auto"/>
        </w:rPr>
      </w:pPr>
    </w:p>
    <w:p>
      <w:pPr>
        <w:jc w:val="center"/>
        <w:ind w:right="1139"/>
        <w:spacing w:after="0"/>
        <w:rPr>
          <w:sz w:val="20"/>
          <w:szCs w:val="20"/>
          <w:color w:val="auto"/>
        </w:rPr>
      </w:pPr>
      <w:r>
        <w:rPr>
          <w:rFonts w:ascii="Arial" w:cs="Arial" w:eastAsia="Arial" w:hAnsi="Arial"/>
          <w:sz w:val="20"/>
          <w:szCs w:val="20"/>
          <w:b w:val="1"/>
          <w:bCs w:val="1"/>
          <w:u w:val="single" w:color="auto"/>
          <w:color w:val="auto"/>
        </w:rPr>
        <w:t>G2283K110</w:t>
      </w:r>
    </w:p>
    <w:p>
      <w:pPr>
        <w:spacing w:after="0" w:line="22" w:lineRule="exact"/>
        <w:rPr>
          <w:sz w:val="24"/>
          <w:szCs w:val="24"/>
          <w:color w:val="auto"/>
        </w:rPr>
      </w:pPr>
    </w:p>
    <w:p>
      <w:pPr>
        <w:jc w:val="center"/>
        <w:ind w:right="1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10" w:lineRule="exact"/>
        <w:rPr>
          <w:sz w:val="24"/>
          <w:szCs w:val="24"/>
          <w:color w:val="auto"/>
        </w:rPr>
      </w:pPr>
    </w:p>
    <w:p>
      <w:pPr>
        <w:jc w:val="center"/>
        <w:ind w:right="1139"/>
        <w:spacing w:after="0"/>
        <w:rPr>
          <w:sz w:val="20"/>
          <w:szCs w:val="20"/>
          <w:color w:val="auto"/>
        </w:rPr>
      </w:pPr>
      <w:r>
        <w:rPr>
          <w:rFonts w:ascii="Arial" w:cs="Arial" w:eastAsia="Arial" w:hAnsi="Arial"/>
          <w:sz w:val="20"/>
          <w:szCs w:val="20"/>
          <w:b w:val="1"/>
          <w:bCs w:val="1"/>
          <w:u w:val="single" w:color="auto"/>
          <w:color w:val="auto"/>
        </w:rPr>
        <w:t>March 12, 2021</w:t>
      </w:r>
    </w:p>
    <w:p>
      <w:pPr>
        <w:spacing w:after="0" w:line="22" w:lineRule="exact"/>
        <w:rPr>
          <w:sz w:val="24"/>
          <w:szCs w:val="24"/>
          <w:color w:val="auto"/>
        </w:rPr>
      </w:pPr>
    </w:p>
    <w:p>
      <w:pPr>
        <w:jc w:val="center"/>
        <w:ind w:right="113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spacing w:after="0"/>
        <w:tabs>
          <w:tab w:leader="none" w:pos="46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18"/>
          <w:szCs w:val="18"/>
          <w:color w:val="auto"/>
        </w:rPr>
        <w:t>Rule 13d-1(b)</w:t>
      </w:r>
    </w:p>
    <w:p>
      <w:pPr>
        <w:spacing w:after="0" w:line="15" w:lineRule="exact"/>
        <w:rPr>
          <w:sz w:val="24"/>
          <w:szCs w:val="24"/>
          <w:color w:val="auto"/>
        </w:rPr>
      </w:pPr>
    </w:p>
    <w:p>
      <w:pPr>
        <w:ind w:left="480" w:hanging="476"/>
        <w:spacing w:after="0"/>
        <w:tabs>
          <w:tab w:leader="none" w:pos="480" w:val="left"/>
        </w:tabs>
        <w:numPr>
          <w:ilvl w:val="0"/>
          <w:numId w:val="1"/>
        </w:numPr>
        <w:rPr>
          <w:rFonts w:ascii="Arial" w:cs="Arial" w:eastAsia="Arial" w:hAnsi="Arial"/>
          <w:sz w:val="20"/>
          <w:szCs w:val="20"/>
          <w:color w:val="auto"/>
        </w:rPr>
      </w:pPr>
      <w:r>
        <w:rPr>
          <w:rFonts w:ascii="Arial" w:cs="Arial" w:eastAsia="Arial" w:hAnsi="Arial"/>
          <w:sz w:val="20"/>
          <w:szCs w:val="20"/>
          <w:color w:val="auto"/>
        </w:rPr>
        <w:t>Rule 13d-1(c)</w:t>
      </w:r>
    </w:p>
    <w:p>
      <w:pPr>
        <w:ind w:left="220" w:hanging="216"/>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480" w:right="1159" w:hanging="472"/>
        <w:spacing w:after="0" w:line="269" w:lineRule="auto"/>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9"/>
          <w:szCs w:val="19"/>
          <w:color w:val="auto"/>
        </w:rPr>
        <w:t>The remainder of this cover page shall be filled out for a reporting person’s initial filing in this form with respect to the subject class of securities, and for any subsequent amendment containing information which would alter the disclosures provided in a prior cover page.</w:t>
      </w:r>
    </w:p>
    <w:p>
      <w:pPr>
        <w:spacing w:after="0" w:line="237" w:lineRule="exact"/>
        <w:rPr>
          <w:rFonts w:ascii="Arial" w:cs="Arial" w:eastAsia="Arial" w:hAnsi="Arial"/>
          <w:sz w:val="20"/>
          <w:szCs w:val="20"/>
          <w:color w:val="auto"/>
        </w:rPr>
      </w:pPr>
    </w:p>
    <w:p>
      <w:pPr>
        <w:ind w:left="480" w:right="1319"/>
        <w:spacing w:after="0" w:line="246" w:lineRule="auto"/>
        <w:rPr>
          <w:rFonts w:ascii="Arial" w:cs="Arial" w:eastAsia="Arial" w:hAnsi="Arial"/>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as amended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53492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559"/>
          </w:cols>
          <w:pgMar w:left="900" w:top="805" w:right="1440" w:bottom="1440" w:gutter="0" w:footer="0" w:header="0"/>
        </w:sectPr>
      </w:pPr>
    </w:p>
    <w:bookmarkStart w:id="1" w:name="page2"/>
    <w:bookmarkEnd w:id="1"/>
    <w:p>
      <w:pPr>
        <w:ind w:left="3480"/>
        <w:spacing w:after="0"/>
        <w:rPr>
          <w:sz w:val="20"/>
          <w:szCs w:val="20"/>
          <w:color w:val="auto"/>
        </w:rPr>
      </w:pPr>
      <w:r>
        <w:rPr>
          <w:rFonts w:ascii="Arial" w:cs="Arial" w:eastAsia="Arial" w:hAnsi="Arial"/>
          <w:sz w:val="20"/>
          <w:szCs w:val="20"/>
          <w:b w:val="1"/>
          <w:bCs w:val="1"/>
          <w:color w:val="auto"/>
        </w:rPr>
        <w:t>SCHEDULE 13G</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G2283K110</w:t>
      </w:r>
    </w:p>
    <w:p>
      <w:pPr>
        <w:spacing w:after="0" w:line="222" w:lineRule="exact"/>
        <w:rPr>
          <w:sz w:val="20"/>
          <w:szCs w:val="20"/>
          <w:color w:val="auto"/>
        </w:rPr>
      </w:pPr>
    </w:p>
    <w:p>
      <w:pPr>
        <w:ind w:left="480" w:hanging="476"/>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20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OIG Ouster IV, LLC</w:t>
      </w:r>
    </w:p>
    <w:p>
      <w:pPr>
        <w:spacing w:after="0" w:line="221" w:lineRule="exact"/>
        <w:rPr>
          <w:rFonts w:ascii="Arial" w:cs="Arial" w:eastAsia="Arial" w:hAnsi="Arial"/>
          <w:sz w:val="20"/>
          <w:szCs w:val="20"/>
          <w:color w:val="auto"/>
        </w:rPr>
      </w:pPr>
    </w:p>
    <w:p>
      <w:pPr>
        <w:ind w:left="480" w:hanging="476"/>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15" w:lineRule="exact"/>
        <w:rPr>
          <w:rFonts w:ascii="Arial" w:cs="Arial" w:eastAsia="Arial" w:hAnsi="Arial"/>
          <w:sz w:val="20"/>
          <w:szCs w:val="20"/>
          <w:color w:val="auto"/>
        </w:rPr>
      </w:pPr>
    </w:p>
    <w:p>
      <w:pPr>
        <w:ind w:left="1620" w:hanging="320"/>
        <w:spacing w:after="0"/>
        <w:tabs>
          <w:tab w:leader="none" w:pos="16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215" w:lineRule="exact"/>
        <w:rPr>
          <w:rFonts w:ascii="Arial" w:cs="Arial" w:eastAsia="Arial" w:hAnsi="Arial"/>
          <w:sz w:val="20"/>
          <w:szCs w:val="20"/>
          <w:color w:val="auto"/>
        </w:rPr>
      </w:pPr>
    </w:p>
    <w:p>
      <w:pPr>
        <w:ind w:left="1620" w:hanging="320"/>
        <w:spacing w:after="0"/>
        <w:tabs>
          <w:tab w:leader="none" w:pos="16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215" w:lineRule="exact"/>
        <w:rPr>
          <w:rFonts w:ascii="Arial" w:cs="Arial" w:eastAsia="Arial" w:hAnsi="Arial"/>
          <w:sz w:val="20"/>
          <w:szCs w:val="20"/>
          <w:color w:val="auto"/>
        </w:rPr>
      </w:pPr>
    </w:p>
    <w:p>
      <w:pPr>
        <w:ind w:left="480" w:hanging="476"/>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15" w:lineRule="exact"/>
        <w:rPr>
          <w:rFonts w:ascii="Arial" w:cs="Arial" w:eastAsia="Arial" w:hAnsi="Arial"/>
          <w:sz w:val="20"/>
          <w:szCs w:val="20"/>
          <w:color w:val="auto"/>
        </w:rPr>
      </w:pPr>
    </w:p>
    <w:p>
      <w:pPr>
        <w:ind w:left="480" w:hanging="476"/>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10" w:lineRule="exact"/>
        <w:rPr>
          <w:sz w:val="20"/>
          <w:szCs w:val="20"/>
          <w:color w:val="auto"/>
        </w:rPr>
      </w:pPr>
    </w:p>
    <w:p>
      <w:pPr>
        <w:jc w:val="center"/>
        <w:ind w:right="3939"/>
        <w:spacing w:after="0"/>
        <w:rPr>
          <w:sz w:val="20"/>
          <w:szCs w:val="20"/>
          <w:color w:val="auto"/>
        </w:rPr>
      </w:pPr>
      <w:r>
        <w:rPr>
          <w:rFonts w:ascii="Arial" w:cs="Arial" w:eastAsia="Arial" w:hAnsi="Arial"/>
          <w:sz w:val="20"/>
          <w:szCs w:val="20"/>
          <w:b w:val="1"/>
          <w:bCs w:val="1"/>
          <w:color w:val="auto"/>
        </w:rPr>
        <w:t>Wisconsin limited liability company</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Number of Shares Beneficially Owned by Each Reporting Person With:</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78"/>
              </w:rPr>
              <w:t>5)</w:t>
            </w:r>
          </w:p>
        </w:tc>
        <w:tc>
          <w:tcPr>
            <w:tcW w:w="2340" w:type="dxa"/>
            <w:vAlign w:val="bottom"/>
          </w:tcPr>
          <w:p>
            <w:pPr>
              <w:ind w:left="200"/>
              <w:spacing w:after="0"/>
              <w:rPr>
                <w:sz w:val="20"/>
                <w:szCs w:val="20"/>
                <w:color w:val="auto"/>
              </w:rPr>
            </w:pPr>
            <w:r>
              <w:rPr>
                <w:rFonts w:ascii="Arial" w:cs="Arial" w:eastAsia="Arial" w:hAnsi="Arial"/>
                <w:sz w:val="20"/>
                <w:szCs w:val="20"/>
                <w:color w:val="auto"/>
              </w:rPr>
              <w:t>Sole Voting Power:</w:t>
            </w:r>
          </w:p>
        </w:tc>
        <w:tc>
          <w:tcPr>
            <w:tcW w:w="1020" w:type="dxa"/>
            <w:vAlign w:val="bottom"/>
          </w:tcPr>
          <w:p>
            <w:pPr>
              <w:ind w:left="220"/>
              <w:spacing w:after="0"/>
              <w:rPr>
                <w:sz w:val="20"/>
                <w:szCs w:val="20"/>
                <w:color w:val="auto"/>
              </w:rPr>
            </w:pPr>
            <w:r>
              <w:rPr>
                <w:rFonts w:ascii="Arial" w:cs="Arial" w:eastAsia="Arial" w:hAnsi="Arial"/>
                <w:sz w:val="20"/>
                <w:szCs w:val="20"/>
                <w:b w:val="1"/>
                <w:bCs w:val="1"/>
                <w:color w:val="auto"/>
              </w:rPr>
              <w:t>0</w:t>
            </w:r>
          </w:p>
        </w:tc>
      </w:tr>
      <w:tr>
        <w:trPr>
          <w:trHeight w:val="513"/>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78"/>
              </w:rPr>
              <w:t>6)</w:t>
            </w:r>
          </w:p>
        </w:tc>
        <w:tc>
          <w:tcPr>
            <w:tcW w:w="2340" w:type="dxa"/>
            <w:vAlign w:val="bottom"/>
          </w:tcPr>
          <w:p>
            <w:pPr>
              <w:ind w:left="200"/>
              <w:spacing w:after="0"/>
              <w:rPr>
                <w:sz w:val="20"/>
                <w:szCs w:val="20"/>
                <w:color w:val="auto"/>
              </w:rPr>
            </w:pPr>
            <w:r>
              <w:rPr>
                <w:rFonts w:ascii="Arial" w:cs="Arial" w:eastAsia="Arial" w:hAnsi="Arial"/>
                <w:sz w:val="20"/>
                <w:szCs w:val="20"/>
                <w:color w:val="auto"/>
              </w:rPr>
              <w:t>Shared Voting Power:</w:t>
            </w:r>
          </w:p>
        </w:tc>
        <w:tc>
          <w:tcPr>
            <w:tcW w:w="1020" w:type="dxa"/>
            <w:vAlign w:val="bottom"/>
          </w:tcPr>
          <w:p>
            <w:pPr>
              <w:ind w:left="220"/>
              <w:spacing w:after="0"/>
              <w:rPr>
                <w:sz w:val="20"/>
                <w:szCs w:val="20"/>
                <w:color w:val="auto"/>
              </w:rPr>
            </w:pPr>
            <w:r>
              <w:rPr>
                <w:rFonts w:ascii="Arial" w:cs="Arial" w:eastAsia="Arial" w:hAnsi="Arial"/>
                <w:sz w:val="20"/>
                <w:szCs w:val="20"/>
                <w:b w:val="1"/>
                <w:bCs w:val="1"/>
                <w:color w:val="auto"/>
                <w:w w:val="87"/>
              </w:rPr>
              <w:t>8,058,362</w:t>
            </w:r>
          </w:p>
        </w:tc>
      </w:tr>
      <w:tr>
        <w:trPr>
          <w:trHeight w:val="513"/>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78"/>
              </w:rPr>
              <w:t>7)</w:t>
            </w:r>
          </w:p>
        </w:tc>
        <w:tc>
          <w:tcPr>
            <w:tcW w:w="2340" w:type="dxa"/>
            <w:vAlign w:val="bottom"/>
          </w:tcPr>
          <w:p>
            <w:pPr>
              <w:ind w:left="200"/>
              <w:spacing w:after="0"/>
              <w:rPr>
                <w:sz w:val="20"/>
                <w:szCs w:val="20"/>
                <w:color w:val="auto"/>
              </w:rPr>
            </w:pPr>
            <w:r>
              <w:rPr>
                <w:rFonts w:ascii="Arial" w:cs="Arial" w:eastAsia="Arial" w:hAnsi="Arial"/>
                <w:sz w:val="20"/>
                <w:szCs w:val="20"/>
                <w:color w:val="auto"/>
              </w:rPr>
              <w:t>Sole Dispositive Power:</w:t>
            </w:r>
          </w:p>
        </w:tc>
        <w:tc>
          <w:tcPr>
            <w:tcW w:w="1020" w:type="dxa"/>
            <w:vAlign w:val="bottom"/>
          </w:tcPr>
          <w:p>
            <w:pPr>
              <w:ind w:left="220"/>
              <w:spacing w:after="0"/>
              <w:rPr>
                <w:sz w:val="20"/>
                <w:szCs w:val="20"/>
                <w:color w:val="auto"/>
              </w:rPr>
            </w:pPr>
            <w:r>
              <w:rPr>
                <w:rFonts w:ascii="Arial" w:cs="Arial" w:eastAsia="Arial" w:hAnsi="Arial"/>
                <w:sz w:val="20"/>
                <w:szCs w:val="20"/>
                <w:b w:val="1"/>
                <w:bCs w:val="1"/>
                <w:color w:val="auto"/>
              </w:rPr>
              <w:t>0</w:t>
            </w:r>
          </w:p>
        </w:tc>
      </w:tr>
    </w:tbl>
    <w:p>
      <w:pPr>
        <w:spacing w:after="0" w:line="257" w:lineRule="exact"/>
        <w:rPr>
          <w:sz w:val="20"/>
          <w:szCs w:val="20"/>
          <w:color w:val="auto"/>
        </w:rPr>
      </w:pPr>
    </w:p>
    <w:p>
      <w:pPr>
        <w:ind w:left="560" w:hanging="543"/>
        <w:spacing w:after="0"/>
        <w:tabs>
          <w:tab w:leader="none" w:pos="560" w:val="left"/>
        </w:tabs>
        <w:numPr>
          <w:ilvl w:val="1"/>
          <w:numId w:val="4"/>
        </w:numPr>
        <w:rPr>
          <w:rFonts w:ascii="Arial" w:cs="Arial" w:eastAsia="Arial" w:hAnsi="Arial"/>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8,058,362</w:t>
      </w:r>
    </w:p>
    <w:p>
      <w:pPr>
        <w:spacing w:after="0" w:line="235" w:lineRule="exact"/>
        <w:rPr>
          <w:rFonts w:ascii="Arial" w:cs="Arial" w:eastAsia="Arial" w:hAnsi="Arial"/>
          <w:sz w:val="20"/>
          <w:szCs w:val="20"/>
          <w:color w:val="auto"/>
        </w:rPr>
      </w:pPr>
    </w:p>
    <w:p>
      <w:pPr>
        <w:ind w:left="480" w:hanging="476"/>
        <w:spacing w:after="0"/>
        <w:tabs>
          <w:tab w:leader="none" w:pos="480" w:val="left"/>
        </w:tabs>
        <w:numPr>
          <w:ilvl w:val="0"/>
          <w:numId w:val="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8,058,362</w:t>
      </w:r>
    </w:p>
    <w:p>
      <w:pPr>
        <w:spacing w:after="0" w:line="22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w:t>
        <w:tab/>
        <w:t>Check if the Aggregate Amount in Row (9) Excludes Certain Shares [  ]</w:t>
      </w:r>
    </w:p>
    <w:p>
      <w:pPr>
        <w:spacing w:after="0" w:line="239" w:lineRule="exact"/>
        <w:rPr>
          <w:sz w:val="20"/>
          <w:szCs w:val="20"/>
          <w:color w:val="auto"/>
        </w:rPr>
      </w:pPr>
    </w:p>
    <w:p>
      <w:pPr>
        <w:ind w:left="480" w:hanging="476"/>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20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5.0%</w:t>
      </w:r>
    </w:p>
    <w:p>
      <w:pPr>
        <w:spacing w:after="0" w:line="221" w:lineRule="exact"/>
        <w:rPr>
          <w:rFonts w:ascii="Arial" w:cs="Arial" w:eastAsia="Arial" w:hAnsi="Arial"/>
          <w:sz w:val="20"/>
          <w:szCs w:val="20"/>
          <w:color w:val="auto"/>
        </w:rPr>
      </w:pPr>
    </w:p>
    <w:p>
      <w:pPr>
        <w:ind w:left="480" w:hanging="476"/>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559"/>
          </w:cols>
          <w:pgMar w:left="900" w:top="118" w:right="1440"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G2283K110</w:t>
      </w:r>
    </w:p>
    <w:p>
      <w:pPr>
        <w:spacing w:after="0" w:line="221" w:lineRule="exact"/>
        <w:rPr>
          <w:sz w:val="20"/>
          <w:szCs w:val="20"/>
          <w:color w:val="auto"/>
        </w:rPr>
      </w:pPr>
    </w:p>
    <w:p>
      <w:pPr>
        <w:ind w:left="480" w:hanging="476"/>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20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Kyle M. Veenstra</w:t>
      </w:r>
    </w:p>
    <w:p>
      <w:pPr>
        <w:spacing w:after="0" w:line="221" w:lineRule="exact"/>
        <w:rPr>
          <w:rFonts w:ascii="Arial" w:cs="Arial" w:eastAsia="Arial" w:hAnsi="Arial"/>
          <w:sz w:val="20"/>
          <w:szCs w:val="20"/>
          <w:color w:val="auto"/>
        </w:rPr>
      </w:pPr>
    </w:p>
    <w:p>
      <w:pPr>
        <w:ind w:left="480" w:hanging="476"/>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215" w:lineRule="exact"/>
        <w:rPr>
          <w:rFonts w:ascii="Arial" w:cs="Arial" w:eastAsia="Arial" w:hAnsi="Arial"/>
          <w:sz w:val="20"/>
          <w:szCs w:val="20"/>
          <w:color w:val="auto"/>
        </w:rPr>
      </w:pPr>
    </w:p>
    <w:p>
      <w:pPr>
        <w:ind w:left="1620" w:hanging="320"/>
        <w:spacing w:after="0"/>
        <w:tabs>
          <w:tab w:leader="none" w:pos="1620" w:val="left"/>
        </w:tabs>
        <w:numPr>
          <w:ilvl w:val="1"/>
          <w:numId w:val="7"/>
        </w:numPr>
        <w:rPr>
          <w:rFonts w:ascii="Arial" w:cs="Arial" w:eastAsia="Arial" w:hAnsi="Arial"/>
          <w:sz w:val="20"/>
          <w:szCs w:val="20"/>
          <w:color w:val="auto"/>
        </w:rPr>
      </w:pPr>
      <w:r>
        <w:rPr>
          <w:rFonts w:ascii="Arial" w:cs="Arial" w:eastAsia="Arial" w:hAnsi="Arial"/>
          <w:sz w:val="20"/>
          <w:szCs w:val="20"/>
          <w:color w:val="auto"/>
        </w:rPr>
        <w:t>[  ]</w:t>
      </w:r>
    </w:p>
    <w:p>
      <w:pPr>
        <w:spacing w:after="0" w:line="215" w:lineRule="exact"/>
        <w:rPr>
          <w:rFonts w:ascii="Arial" w:cs="Arial" w:eastAsia="Arial" w:hAnsi="Arial"/>
          <w:sz w:val="20"/>
          <w:szCs w:val="20"/>
          <w:color w:val="auto"/>
        </w:rPr>
      </w:pPr>
    </w:p>
    <w:p>
      <w:pPr>
        <w:ind w:left="1620" w:hanging="320"/>
        <w:spacing w:after="0"/>
        <w:tabs>
          <w:tab w:leader="none" w:pos="1620" w:val="left"/>
        </w:tabs>
        <w:numPr>
          <w:ilvl w:val="1"/>
          <w:numId w:val="7"/>
        </w:numPr>
        <w:rPr>
          <w:rFonts w:ascii="Arial" w:cs="Arial" w:eastAsia="Arial" w:hAnsi="Arial"/>
          <w:sz w:val="20"/>
          <w:szCs w:val="20"/>
          <w:color w:val="auto"/>
        </w:rPr>
      </w:pPr>
      <w:r>
        <w:rPr>
          <w:rFonts w:ascii="Arial" w:cs="Arial" w:eastAsia="Arial" w:hAnsi="Arial"/>
          <w:sz w:val="20"/>
          <w:szCs w:val="20"/>
          <w:color w:val="auto"/>
        </w:rPr>
        <w:t>[  ]</w:t>
      </w:r>
    </w:p>
    <w:p>
      <w:pPr>
        <w:spacing w:after="0" w:line="215" w:lineRule="exact"/>
        <w:rPr>
          <w:rFonts w:ascii="Arial" w:cs="Arial" w:eastAsia="Arial" w:hAnsi="Arial"/>
          <w:sz w:val="20"/>
          <w:szCs w:val="20"/>
          <w:color w:val="auto"/>
        </w:rPr>
      </w:pPr>
    </w:p>
    <w:p>
      <w:pPr>
        <w:ind w:left="480" w:hanging="476"/>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15" w:lineRule="exact"/>
        <w:rPr>
          <w:rFonts w:ascii="Arial" w:cs="Arial" w:eastAsia="Arial" w:hAnsi="Arial"/>
          <w:sz w:val="20"/>
          <w:szCs w:val="20"/>
          <w:color w:val="auto"/>
        </w:rPr>
      </w:pPr>
    </w:p>
    <w:p>
      <w:pPr>
        <w:ind w:left="480" w:hanging="476"/>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Number of Shares Beneficially Owned by Each Reporting Person With:</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78"/>
              </w:rPr>
              <w:t>5)</w:t>
            </w:r>
          </w:p>
        </w:tc>
        <w:tc>
          <w:tcPr>
            <w:tcW w:w="2340" w:type="dxa"/>
            <w:vAlign w:val="bottom"/>
          </w:tcPr>
          <w:p>
            <w:pPr>
              <w:ind w:left="200"/>
              <w:spacing w:after="0"/>
              <w:rPr>
                <w:sz w:val="20"/>
                <w:szCs w:val="20"/>
                <w:color w:val="auto"/>
              </w:rPr>
            </w:pPr>
            <w:r>
              <w:rPr>
                <w:rFonts w:ascii="Arial" w:cs="Arial" w:eastAsia="Arial" w:hAnsi="Arial"/>
                <w:sz w:val="20"/>
                <w:szCs w:val="20"/>
                <w:color w:val="auto"/>
              </w:rPr>
              <w:t>Sole Voting Power:</w:t>
            </w:r>
          </w:p>
        </w:tc>
        <w:tc>
          <w:tcPr>
            <w:tcW w:w="1020" w:type="dxa"/>
            <w:vAlign w:val="bottom"/>
          </w:tcPr>
          <w:p>
            <w:pPr>
              <w:ind w:left="220"/>
              <w:spacing w:after="0"/>
              <w:rPr>
                <w:sz w:val="20"/>
                <w:szCs w:val="20"/>
                <w:color w:val="auto"/>
              </w:rPr>
            </w:pPr>
            <w:r>
              <w:rPr>
                <w:rFonts w:ascii="Arial" w:cs="Arial" w:eastAsia="Arial" w:hAnsi="Arial"/>
                <w:sz w:val="20"/>
                <w:szCs w:val="20"/>
                <w:b w:val="1"/>
                <w:bCs w:val="1"/>
                <w:color w:val="auto"/>
              </w:rPr>
              <w:t>0</w:t>
            </w:r>
          </w:p>
        </w:tc>
      </w:tr>
      <w:tr>
        <w:trPr>
          <w:trHeight w:val="513"/>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78"/>
              </w:rPr>
              <w:t>6)</w:t>
            </w:r>
          </w:p>
        </w:tc>
        <w:tc>
          <w:tcPr>
            <w:tcW w:w="2340" w:type="dxa"/>
            <w:vAlign w:val="bottom"/>
          </w:tcPr>
          <w:p>
            <w:pPr>
              <w:ind w:left="200"/>
              <w:spacing w:after="0"/>
              <w:rPr>
                <w:sz w:val="20"/>
                <w:szCs w:val="20"/>
                <w:color w:val="auto"/>
              </w:rPr>
            </w:pPr>
            <w:r>
              <w:rPr>
                <w:rFonts w:ascii="Arial" w:cs="Arial" w:eastAsia="Arial" w:hAnsi="Arial"/>
                <w:sz w:val="20"/>
                <w:szCs w:val="20"/>
                <w:color w:val="auto"/>
              </w:rPr>
              <w:t>Shared Voting Power:</w:t>
            </w:r>
          </w:p>
        </w:tc>
        <w:tc>
          <w:tcPr>
            <w:tcW w:w="1020" w:type="dxa"/>
            <w:vAlign w:val="bottom"/>
          </w:tcPr>
          <w:p>
            <w:pPr>
              <w:ind w:left="220"/>
              <w:spacing w:after="0"/>
              <w:rPr>
                <w:sz w:val="20"/>
                <w:szCs w:val="20"/>
                <w:color w:val="auto"/>
              </w:rPr>
            </w:pPr>
            <w:r>
              <w:rPr>
                <w:rFonts w:ascii="Arial" w:cs="Arial" w:eastAsia="Arial" w:hAnsi="Arial"/>
                <w:sz w:val="20"/>
                <w:szCs w:val="20"/>
                <w:b w:val="1"/>
                <w:bCs w:val="1"/>
                <w:color w:val="auto"/>
                <w:w w:val="87"/>
              </w:rPr>
              <w:t>8,058,362</w:t>
            </w:r>
          </w:p>
        </w:tc>
      </w:tr>
      <w:tr>
        <w:trPr>
          <w:trHeight w:val="513"/>
        </w:trPr>
        <w:tc>
          <w:tcPr>
            <w:tcW w:w="340" w:type="dxa"/>
            <w:vAlign w:val="bottom"/>
          </w:tcPr>
          <w:p>
            <w:pPr>
              <w:jc w:val="right"/>
              <w:ind w:right="81"/>
              <w:spacing w:after="0"/>
              <w:rPr>
                <w:sz w:val="20"/>
                <w:szCs w:val="20"/>
                <w:color w:val="auto"/>
              </w:rPr>
            </w:pPr>
            <w:r>
              <w:rPr>
                <w:rFonts w:ascii="Arial" w:cs="Arial" w:eastAsia="Arial" w:hAnsi="Arial"/>
                <w:sz w:val="20"/>
                <w:szCs w:val="20"/>
                <w:color w:val="auto"/>
                <w:w w:val="78"/>
              </w:rPr>
              <w:t>7)</w:t>
            </w:r>
          </w:p>
        </w:tc>
        <w:tc>
          <w:tcPr>
            <w:tcW w:w="2340" w:type="dxa"/>
            <w:vAlign w:val="bottom"/>
          </w:tcPr>
          <w:p>
            <w:pPr>
              <w:ind w:left="200"/>
              <w:spacing w:after="0"/>
              <w:rPr>
                <w:sz w:val="20"/>
                <w:szCs w:val="20"/>
                <w:color w:val="auto"/>
              </w:rPr>
            </w:pPr>
            <w:r>
              <w:rPr>
                <w:rFonts w:ascii="Arial" w:cs="Arial" w:eastAsia="Arial" w:hAnsi="Arial"/>
                <w:sz w:val="20"/>
                <w:szCs w:val="20"/>
                <w:color w:val="auto"/>
              </w:rPr>
              <w:t>Sole Dispositive Power:</w:t>
            </w:r>
          </w:p>
        </w:tc>
        <w:tc>
          <w:tcPr>
            <w:tcW w:w="1020" w:type="dxa"/>
            <w:vAlign w:val="bottom"/>
          </w:tcPr>
          <w:p>
            <w:pPr>
              <w:ind w:left="220"/>
              <w:spacing w:after="0"/>
              <w:rPr>
                <w:sz w:val="20"/>
                <w:szCs w:val="20"/>
                <w:color w:val="auto"/>
              </w:rPr>
            </w:pPr>
            <w:r>
              <w:rPr>
                <w:rFonts w:ascii="Arial" w:cs="Arial" w:eastAsia="Arial" w:hAnsi="Arial"/>
                <w:sz w:val="20"/>
                <w:szCs w:val="20"/>
                <w:b w:val="1"/>
                <w:bCs w:val="1"/>
                <w:color w:val="auto"/>
              </w:rPr>
              <w:t>0</w:t>
            </w:r>
          </w:p>
        </w:tc>
      </w:tr>
    </w:tbl>
    <w:p>
      <w:pPr>
        <w:spacing w:after="0" w:line="257" w:lineRule="exact"/>
        <w:rPr>
          <w:sz w:val="20"/>
          <w:szCs w:val="20"/>
          <w:color w:val="auto"/>
        </w:rPr>
      </w:pPr>
    </w:p>
    <w:p>
      <w:pPr>
        <w:ind w:left="560" w:hanging="543"/>
        <w:spacing w:after="0"/>
        <w:tabs>
          <w:tab w:leader="none" w:pos="560" w:val="left"/>
        </w:tabs>
        <w:numPr>
          <w:ilvl w:val="1"/>
          <w:numId w:val="8"/>
        </w:numPr>
        <w:rPr>
          <w:rFonts w:ascii="Arial" w:cs="Arial" w:eastAsia="Arial" w:hAnsi="Arial"/>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8,058,362</w:t>
      </w:r>
    </w:p>
    <w:p>
      <w:pPr>
        <w:spacing w:after="0" w:line="235" w:lineRule="exact"/>
        <w:rPr>
          <w:rFonts w:ascii="Arial" w:cs="Arial" w:eastAsia="Arial" w:hAnsi="Arial"/>
          <w:sz w:val="20"/>
          <w:szCs w:val="20"/>
          <w:color w:val="auto"/>
        </w:rPr>
      </w:pPr>
    </w:p>
    <w:p>
      <w:pPr>
        <w:ind w:left="480" w:hanging="476"/>
        <w:spacing w:after="0"/>
        <w:tabs>
          <w:tab w:leader="none" w:pos="480" w:val="left"/>
        </w:tabs>
        <w:numPr>
          <w:ilvl w:val="0"/>
          <w:numId w:val="9"/>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8,058,362</w:t>
      </w:r>
    </w:p>
    <w:p>
      <w:pPr>
        <w:spacing w:after="0" w:line="22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w:t>
        <w:tab/>
        <w:t>Check if the Aggregate Amount in Row (9) Excludes Certain Shares [  ]</w:t>
      </w:r>
    </w:p>
    <w:p>
      <w:pPr>
        <w:spacing w:after="0" w:line="239" w:lineRule="exact"/>
        <w:rPr>
          <w:sz w:val="20"/>
          <w:szCs w:val="20"/>
          <w:color w:val="auto"/>
        </w:rPr>
      </w:pPr>
    </w:p>
    <w:p>
      <w:pPr>
        <w:ind w:left="480" w:hanging="476"/>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20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5.0%</w:t>
      </w:r>
    </w:p>
    <w:p>
      <w:pPr>
        <w:spacing w:after="0" w:line="221" w:lineRule="exact"/>
        <w:rPr>
          <w:rFonts w:ascii="Arial" w:cs="Arial" w:eastAsia="Arial" w:hAnsi="Arial"/>
          <w:sz w:val="20"/>
          <w:szCs w:val="20"/>
          <w:color w:val="auto"/>
        </w:rPr>
      </w:pPr>
    </w:p>
    <w:p>
      <w:pPr>
        <w:ind w:left="480" w:hanging="476"/>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53492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559"/>
          </w:cols>
          <w:pgMar w:left="900" w:top="118" w:right="1440" w:bottom="1440" w:gutter="0" w:footer="0" w:header="0"/>
        </w:sectPr>
      </w:pPr>
    </w:p>
    <w:bookmarkStart w:id="3" w:name="page4"/>
    <w:bookmarkEnd w:id="3"/>
    <w:p>
      <w:pPr>
        <w:ind w:left="3480"/>
        <w:spacing w:after="0"/>
        <w:rPr>
          <w:sz w:val="20"/>
          <w:szCs w:val="20"/>
          <w:color w:val="auto"/>
        </w:rPr>
      </w:pPr>
      <w:r>
        <w:rPr>
          <w:rFonts w:ascii="Arial" w:cs="Arial" w:eastAsia="Arial" w:hAnsi="Arial"/>
          <w:sz w:val="20"/>
          <w:szCs w:val="20"/>
          <w:b w:val="1"/>
          <w:bCs w:val="1"/>
          <w:color w:val="auto"/>
        </w:rPr>
        <w:t>SCHEDULE 13G</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G2283K110</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OUSTER, INC. (f/k/a Colonnade Acquisition Corp.)</w:t>
      </w:r>
    </w:p>
    <w:p>
      <w:pPr>
        <w:spacing w:after="0" w:line="210" w:lineRule="exact"/>
        <w:rPr>
          <w:sz w:val="20"/>
          <w:szCs w:val="20"/>
          <w:color w:val="auto"/>
        </w:rPr>
      </w:pPr>
    </w:p>
    <w:p>
      <w:pPr>
        <w:jc w:val="center"/>
        <w:ind w:right="4259"/>
        <w:spacing w:after="0"/>
        <w:tabs>
          <w:tab w:leader="none" w:pos="3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1400 Centrepark Blvd, Suite 810</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West Palm Beach, FL 33401</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6"/>
          <w:szCs w:val="16"/>
          <w:b w:val="1"/>
          <w:bCs w:val="1"/>
          <w:color w:val="auto"/>
        </w:rPr>
        <w:t>Names of Persons Filing.</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OIG Ouster IV, LLC</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Kyle M. Veenstra</w:t>
      </w:r>
    </w:p>
    <w:p>
      <w:pPr>
        <w:spacing w:after="0" w:line="213" w:lineRule="exact"/>
        <w:rPr>
          <w:sz w:val="20"/>
          <w:szCs w:val="20"/>
          <w:color w:val="auto"/>
        </w:rPr>
      </w:pPr>
    </w:p>
    <w:p>
      <w:pPr>
        <w:ind w:left="1300" w:right="1139"/>
        <w:spacing w:after="0" w:line="260" w:lineRule="auto"/>
        <w:rPr>
          <w:sz w:val="20"/>
          <w:szCs w:val="20"/>
          <w:color w:val="auto"/>
        </w:rPr>
      </w:pPr>
      <w:r>
        <w:rPr>
          <w:rFonts w:ascii="Arial" w:cs="Arial" w:eastAsia="Arial" w:hAnsi="Arial"/>
          <w:sz w:val="20"/>
          <w:szCs w:val="20"/>
          <w:color w:val="auto"/>
        </w:rPr>
        <w:t>As the sole Manager of OIG Ouster IV, LLC, Mr. Veenstra may be deemed to beneficially own the shares of the subject company held by OIG Ouster IV, LLC.</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or, if none, Residence:</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All reporting persons may be contacted at:</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S74 W16853 Janesville Road</w:t>
      </w:r>
    </w:p>
    <w:p>
      <w:pPr>
        <w:ind w:left="1300"/>
        <w:spacing w:after="0"/>
        <w:rPr>
          <w:sz w:val="20"/>
          <w:szCs w:val="20"/>
          <w:color w:val="auto"/>
        </w:rPr>
      </w:pPr>
      <w:r>
        <w:rPr>
          <w:rFonts w:ascii="Arial" w:cs="Arial" w:eastAsia="Arial" w:hAnsi="Arial"/>
          <w:sz w:val="20"/>
          <w:szCs w:val="20"/>
          <w:color w:val="auto"/>
        </w:rPr>
        <w:t>Muskego, WI 53150</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2" w:lineRule="exact"/>
        <w:rPr>
          <w:sz w:val="20"/>
          <w:szCs w:val="20"/>
          <w:color w:val="auto"/>
        </w:rPr>
      </w:pPr>
    </w:p>
    <w:p>
      <w:pPr>
        <w:ind w:left="1300" w:right="3379"/>
        <w:spacing w:after="0" w:line="260" w:lineRule="auto"/>
        <w:rPr>
          <w:sz w:val="20"/>
          <w:szCs w:val="20"/>
          <w:color w:val="auto"/>
        </w:rPr>
      </w:pPr>
      <w:r>
        <w:rPr>
          <w:rFonts w:ascii="Arial" w:cs="Arial" w:eastAsia="Arial" w:hAnsi="Arial"/>
          <w:sz w:val="20"/>
          <w:szCs w:val="20"/>
          <w:color w:val="auto"/>
        </w:rPr>
        <w:t>OIG Ouster IV, LLC is a Wisconsin limited liability company Kyle M. Veenstra is a United States Citizen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Common Stock, $0.0001 per share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G2283K110</w:t>
      </w:r>
    </w:p>
    <w:p>
      <w:pPr>
        <w:spacing w:after="0" w:line="210" w:lineRule="exact"/>
        <w:rPr>
          <w:sz w:val="20"/>
          <w:szCs w:val="20"/>
          <w:color w:val="auto"/>
        </w:rPr>
      </w:pPr>
    </w:p>
    <w:p>
      <w:pPr>
        <w:ind w:left="1300" w:right="1499"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Sections 240.13d-1(b) or 240.13d-2(b) or (c), check whether the person filing is 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Pr>
          <w:p>
            <w:pPr>
              <w:ind w:left="1360"/>
              <w:spacing w:after="0"/>
              <w:rPr>
                <w:sz w:val="20"/>
                <w:szCs w:val="20"/>
                <w:color w:val="auto"/>
              </w:rPr>
            </w:pPr>
            <w:r>
              <w:rPr>
                <w:rFonts w:ascii="Arial" w:cs="Arial" w:eastAsia="Arial" w:hAnsi="Arial"/>
                <w:sz w:val="20"/>
                <w:szCs w:val="20"/>
                <w:color w:val="auto"/>
              </w:rPr>
              <w:t>(a)</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140" w:type="dxa"/>
            <w:vAlign w:val="bottom"/>
          </w:tcPr>
          <w:p>
            <w:pPr>
              <w:ind w:left="140"/>
              <w:spacing w:after="0"/>
              <w:rPr>
                <w:sz w:val="20"/>
                <w:szCs w:val="20"/>
                <w:color w:val="auto"/>
              </w:rPr>
            </w:pPr>
            <w:r>
              <w:rPr>
                <w:rFonts w:ascii="Arial" w:cs="Arial" w:eastAsia="Arial" w:hAnsi="Arial"/>
                <w:sz w:val="20"/>
                <w:szCs w:val="20"/>
                <w:color w:val="auto"/>
                <w:w w:val="94"/>
              </w:rPr>
              <w:t>Broker or dealer registered under Section 15 of the Act (15 U.S.C. 78o);</w:t>
            </w:r>
          </w:p>
        </w:tc>
      </w:tr>
      <w:tr>
        <w:trPr>
          <w:trHeight w:val="364"/>
        </w:trPr>
        <w:tc>
          <w:tcPr>
            <w:tcW w:w="1740" w:type="dxa"/>
            <w:vAlign w:val="bottom"/>
          </w:tcPr>
          <w:p>
            <w:pPr>
              <w:ind w:left="1360"/>
              <w:spacing w:after="0"/>
              <w:rPr>
                <w:sz w:val="20"/>
                <w:szCs w:val="20"/>
                <w:color w:val="auto"/>
              </w:rPr>
            </w:pPr>
            <w:r>
              <w:rPr>
                <w:rFonts w:ascii="Arial" w:cs="Arial" w:eastAsia="Arial" w:hAnsi="Arial"/>
                <w:sz w:val="20"/>
                <w:szCs w:val="20"/>
                <w:color w:val="auto"/>
              </w:rPr>
              <w:t>(b)</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140" w:type="dxa"/>
            <w:vAlign w:val="bottom"/>
          </w:tcPr>
          <w:p>
            <w:pPr>
              <w:ind w:left="140"/>
              <w:spacing w:after="0"/>
              <w:rPr>
                <w:sz w:val="20"/>
                <w:szCs w:val="20"/>
                <w:color w:val="auto"/>
              </w:rPr>
            </w:pPr>
            <w:r>
              <w:rPr>
                <w:rFonts w:ascii="Arial" w:cs="Arial" w:eastAsia="Arial" w:hAnsi="Arial"/>
                <w:sz w:val="20"/>
                <w:szCs w:val="20"/>
                <w:color w:val="auto"/>
              </w:rPr>
              <w:t>Bank as defined in Section 3(a)(6) of the Act (15 U.S.C. 78c);</w:t>
            </w:r>
          </w:p>
        </w:tc>
      </w:tr>
      <w:tr>
        <w:trPr>
          <w:trHeight w:val="344"/>
        </w:trPr>
        <w:tc>
          <w:tcPr>
            <w:tcW w:w="1740" w:type="dxa"/>
            <w:vAlign w:val="bottom"/>
          </w:tcPr>
          <w:p>
            <w:pPr>
              <w:ind w:left="1360"/>
              <w:spacing w:after="0"/>
              <w:rPr>
                <w:sz w:val="20"/>
                <w:szCs w:val="20"/>
                <w:color w:val="auto"/>
              </w:rPr>
            </w:pPr>
            <w:r>
              <w:rPr>
                <w:rFonts w:ascii="Arial" w:cs="Arial" w:eastAsia="Arial" w:hAnsi="Arial"/>
                <w:sz w:val="20"/>
                <w:szCs w:val="20"/>
                <w:color w:val="auto"/>
              </w:rPr>
              <w:t>(c)</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140" w:type="dxa"/>
            <w:vAlign w:val="bottom"/>
          </w:tcPr>
          <w:p>
            <w:pPr>
              <w:ind w:left="140"/>
              <w:spacing w:after="0"/>
              <w:rPr>
                <w:sz w:val="20"/>
                <w:szCs w:val="20"/>
                <w:color w:val="auto"/>
              </w:rPr>
            </w:pPr>
            <w:r>
              <w:rPr>
                <w:rFonts w:ascii="Arial" w:cs="Arial" w:eastAsia="Arial" w:hAnsi="Arial"/>
                <w:sz w:val="20"/>
                <w:szCs w:val="20"/>
                <w:color w:val="auto"/>
                <w:w w:val="94"/>
              </w:rPr>
              <w:t>Insurance company as defined in Section 3(a)(19) of the Act (15 U.S.C.</w:t>
            </w:r>
          </w:p>
        </w:tc>
      </w:tr>
      <w:tr>
        <w:trPr>
          <w:trHeight w:val="250"/>
        </w:trPr>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140" w:type="dxa"/>
            <w:vAlign w:val="bottom"/>
          </w:tcPr>
          <w:p>
            <w:pPr>
              <w:ind w:left="140"/>
              <w:spacing w:after="0"/>
              <w:rPr>
                <w:sz w:val="20"/>
                <w:szCs w:val="20"/>
                <w:color w:val="auto"/>
              </w:rPr>
            </w:pPr>
            <w:r>
              <w:rPr>
                <w:rFonts w:ascii="Arial" w:cs="Arial" w:eastAsia="Arial" w:hAnsi="Arial"/>
                <w:sz w:val="20"/>
                <w:szCs w:val="20"/>
                <w:color w:val="auto"/>
              </w:rPr>
              <w:t>78c);</w:t>
            </w:r>
          </w:p>
        </w:tc>
      </w:tr>
      <w:tr>
        <w:trPr>
          <w:trHeight w:val="344"/>
        </w:trPr>
        <w:tc>
          <w:tcPr>
            <w:tcW w:w="1740" w:type="dxa"/>
            <w:vAlign w:val="bottom"/>
          </w:tcPr>
          <w:p>
            <w:pPr>
              <w:ind w:left="1360"/>
              <w:spacing w:after="0"/>
              <w:rPr>
                <w:sz w:val="20"/>
                <w:szCs w:val="20"/>
                <w:color w:val="auto"/>
              </w:rPr>
            </w:pPr>
            <w:r>
              <w:rPr>
                <w:rFonts w:ascii="Arial" w:cs="Arial" w:eastAsia="Arial" w:hAnsi="Arial"/>
                <w:sz w:val="20"/>
                <w:szCs w:val="20"/>
                <w:color w:val="auto"/>
              </w:rPr>
              <w:t>(d)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140" w:type="dxa"/>
            <w:vAlign w:val="bottom"/>
          </w:tcPr>
          <w:p>
            <w:pPr>
              <w:ind w:left="140"/>
              <w:spacing w:after="0"/>
              <w:rPr>
                <w:sz w:val="20"/>
                <w:szCs w:val="20"/>
                <w:color w:val="auto"/>
              </w:rPr>
            </w:pPr>
            <w:r>
              <w:rPr>
                <w:rFonts w:ascii="Arial" w:cs="Arial" w:eastAsia="Arial" w:hAnsi="Arial"/>
                <w:sz w:val="20"/>
                <w:szCs w:val="20"/>
                <w:color w:val="auto"/>
              </w:rPr>
              <w:t>Investment company registered under Section 8 of the Investment</w:t>
            </w:r>
          </w:p>
        </w:tc>
      </w:tr>
      <w:tr>
        <w:trPr>
          <w:trHeight w:val="250"/>
        </w:trPr>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140" w:type="dxa"/>
            <w:vAlign w:val="bottom"/>
          </w:tcPr>
          <w:p>
            <w:pPr>
              <w:ind w:left="140"/>
              <w:spacing w:after="0"/>
              <w:rPr>
                <w:sz w:val="20"/>
                <w:szCs w:val="20"/>
                <w:color w:val="auto"/>
              </w:rPr>
            </w:pPr>
            <w:r>
              <w:rPr>
                <w:rFonts w:ascii="Arial" w:cs="Arial" w:eastAsia="Arial" w:hAnsi="Arial"/>
                <w:sz w:val="20"/>
                <w:szCs w:val="20"/>
                <w:color w:val="auto"/>
              </w:rPr>
              <w:t>Company Act of 1940 (15 U.S.C. 80a-8);</w:t>
            </w:r>
          </w:p>
        </w:tc>
      </w:tr>
      <w:tr>
        <w:trPr>
          <w:trHeight w:val="365"/>
        </w:trPr>
        <w:tc>
          <w:tcPr>
            <w:tcW w:w="1740" w:type="dxa"/>
            <w:vAlign w:val="bottom"/>
          </w:tcPr>
          <w:p>
            <w:pPr>
              <w:ind w:left="1360"/>
              <w:spacing w:after="0"/>
              <w:rPr>
                <w:sz w:val="20"/>
                <w:szCs w:val="20"/>
                <w:color w:val="auto"/>
              </w:rPr>
            </w:pPr>
            <w:r>
              <w:rPr>
                <w:rFonts w:ascii="Arial" w:cs="Arial" w:eastAsia="Arial" w:hAnsi="Arial"/>
                <w:sz w:val="20"/>
                <w:szCs w:val="20"/>
                <w:color w:val="auto"/>
              </w:rPr>
              <w:t>(e)</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6140" w:type="dxa"/>
            <w:vAlign w:val="bottom"/>
          </w:tcPr>
          <w:p>
            <w:pPr>
              <w:ind w:left="140"/>
              <w:spacing w:after="0"/>
              <w:rPr>
                <w:sz w:val="20"/>
                <w:szCs w:val="20"/>
                <w:color w:val="auto"/>
              </w:rPr>
            </w:pPr>
            <w:r>
              <w:rPr>
                <w:rFonts w:ascii="Arial" w:cs="Arial" w:eastAsia="Arial" w:hAnsi="Arial"/>
                <w:sz w:val="20"/>
                <w:szCs w:val="20"/>
                <w:color w:val="auto"/>
                <w:w w:val="93"/>
              </w:rPr>
              <w:t>An investment adviser in accordance with Section 240.13d-1(b)(1)(ii)(E);</w:t>
            </w:r>
          </w:p>
        </w:tc>
      </w:tr>
      <w:tr>
        <w:trPr>
          <w:trHeight w:val="543"/>
        </w:trPr>
        <w:tc>
          <w:tcPr>
            <w:tcW w:w="1740" w:type="dxa"/>
            <w:vAlign w:val="bottom"/>
            <w:tcBorders>
              <w:bottom w:val="single" w:sz="8" w:color="909090"/>
            </w:tcBorders>
          </w:tcPr>
          <w:p>
            <w:pPr>
              <w:spacing w:after="0"/>
              <w:rPr>
                <w:sz w:val="24"/>
                <w:szCs w:val="24"/>
                <w:color w:val="auto"/>
              </w:rPr>
            </w:pPr>
          </w:p>
        </w:tc>
        <w:tc>
          <w:tcPr>
            <w:tcW w:w="260" w:type="dxa"/>
            <w:vAlign w:val="bottom"/>
            <w:tcBorders>
              <w:bottom w:val="single" w:sz="8" w:color="909090"/>
            </w:tcBorders>
          </w:tcPr>
          <w:p>
            <w:pPr>
              <w:spacing w:after="0"/>
              <w:rPr>
                <w:sz w:val="24"/>
                <w:szCs w:val="24"/>
                <w:color w:val="auto"/>
              </w:rPr>
            </w:pPr>
          </w:p>
        </w:tc>
        <w:tc>
          <w:tcPr>
            <w:tcW w:w="300" w:type="dxa"/>
            <w:vAlign w:val="bottom"/>
            <w:tcBorders>
              <w:bottom w:val="single" w:sz="8" w:color="909090"/>
            </w:tcBorders>
          </w:tcPr>
          <w:p>
            <w:pPr>
              <w:spacing w:after="0"/>
              <w:rPr>
                <w:sz w:val="24"/>
                <w:szCs w:val="24"/>
                <w:color w:val="auto"/>
              </w:rPr>
            </w:pPr>
          </w:p>
        </w:tc>
        <w:tc>
          <w:tcPr>
            <w:tcW w:w="6140" w:type="dxa"/>
            <w:vAlign w:val="bottom"/>
            <w:tcBorders>
              <w:bottom w:val="single" w:sz="8" w:color="909090"/>
            </w:tcBorders>
          </w:tcPr>
          <w:p>
            <w:pPr>
              <w:spacing w:after="0"/>
              <w:rPr>
                <w:sz w:val="24"/>
                <w:szCs w:val="24"/>
                <w:color w:val="auto"/>
              </w:rPr>
            </w:pPr>
          </w:p>
        </w:tc>
      </w:tr>
    </w:tbl>
    <w:p>
      <w:pPr>
        <w:sectPr>
          <w:pgSz w:w="11900" w:h="16838" w:orient="portrait"/>
          <w:cols w:equalWidth="0" w:num="1">
            <w:col w:w="9559"/>
          </w:cols>
          <w:pgMar w:left="900" w:top="118"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680" w:type="dxa"/>
            <w:vAlign w:val="bottom"/>
          </w:tcPr>
          <w:p>
            <w:pPr>
              <w:ind w:left="300"/>
              <w:spacing w:after="0"/>
              <w:rPr>
                <w:sz w:val="20"/>
                <w:szCs w:val="20"/>
                <w:color w:val="auto"/>
              </w:rPr>
            </w:pPr>
            <w:r>
              <w:rPr>
                <w:rFonts w:ascii="Arial" w:cs="Arial" w:eastAsia="Arial" w:hAnsi="Arial"/>
                <w:sz w:val="20"/>
                <w:szCs w:val="20"/>
                <w:color w:val="auto"/>
              </w:rPr>
              <w:t>(f)</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6000" w:type="dxa"/>
            <w:vAlign w:val="bottom"/>
          </w:tcPr>
          <w:p>
            <w:pPr>
              <w:spacing w:after="0"/>
              <w:rPr>
                <w:sz w:val="20"/>
                <w:szCs w:val="20"/>
                <w:color w:val="auto"/>
              </w:rPr>
            </w:pPr>
            <w:r>
              <w:rPr>
                <w:rFonts w:ascii="Arial" w:cs="Arial" w:eastAsia="Arial" w:hAnsi="Arial"/>
                <w:sz w:val="20"/>
                <w:szCs w:val="20"/>
                <w:color w:val="auto"/>
                <w:w w:val="92"/>
              </w:rPr>
              <w:t>An employee benefit plan or endowment fund in accordance with Section</w:t>
            </w:r>
          </w:p>
        </w:tc>
      </w:tr>
      <w:tr>
        <w:trPr>
          <w:trHeight w:val="250"/>
        </w:trPr>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Arial" w:cs="Arial" w:eastAsia="Arial" w:hAnsi="Arial"/>
                <w:sz w:val="20"/>
                <w:szCs w:val="20"/>
                <w:color w:val="auto"/>
              </w:rPr>
              <w:t>240.13d-1(b)(1)(ii)(F);</w:t>
            </w:r>
          </w:p>
        </w:tc>
      </w:tr>
      <w:tr>
        <w:trPr>
          <w:trHeight w:val="452"/>
        </w:trPr>
        <w:tc>
          <w:tcPr>
            <w:tcW w:w="10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20"/>
                <w:szCs w:val="20"/>
                <w:color w:val="auto"/>
              </w:rPr>
              <w:t>(g)</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6000" w:type="dxa"/>
            <w:vAlign w:val="bottom"/>
          </w:tcPr>
          <w:p>
            <w:pPr>
              <w:spacing w:after="0"/>
              <w:rPr>
                <w:sz w:val="20"/>
                <w:szCs w:val="20"/>
                <w:color w:val="auto"/>
              </w:rPr>
            </w:pPr>
            <w:r>
              <w:rPr>
                <w:rFonts w:ascii="Arial" w:cs="Arial" w:eastAsia="Arial" w:hAnsi="Arial"/>
                <w:sz w:val="20"/>
                <w:szCs w:val="20"/>
                <w:color w:val="auto"/>
                <w:w w:val="94"/>
              </w:rPr>
              <w:t>A parent holding company or control person in accordance with Section</w:t>
            </w:r>
          </w:p>
        </w:tc>
      </w:tr>
      <w:tr>
        <w:trPr>
          <w:trHeight w:val="250"/>
        </w:trPr>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Arial" w:cs="Arial" w:eastAsia="Arial" w:hAnsi="Arial"/>
                <w:sz w:val="20"/>
                <w:szCs w:val="20"/>
                <w:color w:val="auto"/>
              </w:rPr>
              <w:t>240.13d-1(b)(1)(ii)(G);</w:t>
            </w:r>
          </w:p>
        </w:tc>
      </w:tr>
      <w:tr>
        <w:trPr>
          <w:trHeight w:val="344"/>
        </w:trPr>
        <w:tc>
          <w:tcPr>
            <w:tcW w:w="10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20"/>
                <w:szCs w:val="20"/>
                <w:color w:val="auto"/>
              </w:rPr>
              <w:t>(h)</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6000" w:type="dxa"/>
            <w:vAlign w:val="bottom"/>
          </w:tcPr>
          <w:p>
            <w:pPr>
              <w:spacing w:after="0"/>
              <w:rPr>
                <w:sz w:val="20"/>
                <w:szCs w:val="20"/>
                <w:color w:val="auto"/>
              </w:rPr>
            </w:pPr>
            <w:r>
              <w:rPr>
                <w:rFonts w:ascii="Arial" w:cs="Arial" w:eastAsia="Arial" w:hAnsi="Arial"/>
                <w:sz w:val="20"/>
                <w:szCs w:val="20"/>
                <w:color w:val="auto"/>
                <w:w w:val="95"/>
              </w:rPr>
              <w:t>A savings association as defined in Section 3(b) of the Federal Deposit</w:t>
            </w:r>
          </w:p>
        </w:tc>
      </w:tr>
      <w:tr>
        <w:trPr>
          <w:trHeight w:val="250"/>
        </w:trPr>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Arial" w:cs="Arial" w:eastAsia="Arial" w:hAnsi="Arial"/>
                <w:sz w:val="20"/>
                <w:szCs w:val="20"/>
                <w:color w:val="auto"/>
              </w:rPr>
              <w:t>Insurance Act (12 U.S.C. 1813);</w:t>
            </w:r>
          </w:p>
        </w:tc>
      </w:tr>
      <w:tr>
        <w:trPr>
          <w:trHeight w:val="344"/>
        </w:trPr>
        <w:tc>
          <w:tcPr>
            <w:tcW w:w="10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20"/>
                <w:szCs w:val="20"/>
                <w:color w:val="auto"/>
              </w:rPr>
              <w:t>(i)</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6000" w:type="dxa"/>
            <w:vAlign w:val="bottom"/>
          </w:tcPr>
          <w:p>
            <w:pPr>
              <w:spacing w:after="0"/>
              <w:rPr>
                <w:sz w:val="20"/>
                <w:szCs w:val="20"/>
                <w:color w:val="auto"/>
              </w:rPr>
            </w:pPr>
            <w:r>
              <w:rPr>
                <w:rFonts w:ascii="Arial" w:cs="Arial" w:eastAsia="Arial" w:hAnsi="Arial"/>
                <w:sz w:val="20"/>
                <w:szCs w:val="20"/>
                <w:color w:val="auto"/>
              </w:rPr>
              <w:t>A church plan that is excluded from the definition of an investment</w:t>
            </w:r>
          </w:p>
        </w:tc>
      </w:tr>
      <w:tr>
        <w:trPr>
          <w:trHeight w:val="230"/>
        </w:trPr>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20"/>
                <w:szCs w:val="20"/>
                <w:color w:val="auto"/>
                <w:w w:val="93"/>
              </w:rPr>
              <w:t>company under Section 3(c)(14) of the Investment Company Act of 1940</w:t>
            </w:r>
          </w:p>
        </w:tc>
      </w:tr>
      <w:tr>
        <w:trPr>
          <w:trHeight w:val="250"/>
        </w:trPr>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0" w:type="dxa"/>
            <w:vAlign w:val="bottom"/>
          </w:tcPr>
          <w:p>
            <w:pPr>
              <w:spacing w:after="0"/>
              <w:rPr>
                <w:sz w:val="20"/>
                <w:szCs w:val="20"/>
                <w:color w:val="auto"/>
              </w:rPr>
            </w:pPr>
            <w:r>
              <w:rPr>
                <w:rFonts w:ascii="Arial" w:cs="Arial" w:eastAsia="Arial" w:hAnsi="Arial"/>
                <w:sz w:val="20"/>
                <w:szCs w:val="20"/>
                <w:color w:val="auto"/>
              </w:rPr>
              <w:t>(15 U.S.C. 80a-3);</w:t>
            </w:r>
          </w:p>
        </w:tc>
      </w:tr>
      <w:tr>
        <w:trPr>
          <w:trHeight w:val="364"/>
        </w:trPr>
        <w:tc>
          <w:tcPr>
            <w:tcW w:w="10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20"/>
                <w:szCs w:val="20"/>
                <w:color w:val="auto"/>
              </w:rPr>
              <w:t>(j)</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6000" w:type="dxa"/>
            <w:vAlign w:val="bottom"/>
          </w:tcPr>
          <w:p>
            <w:pPr>
              <w:spacing w:after="0"/>
              <w:rPr>
                <w:sz w:val="20"/>
                <w:szCs w:val="20"/>
                <w:color w:val="auto"/>
              </w:rPr>
            </w:pPr>
            <w:r>
              <w:rPr>
                <w:rFonts w:ascii="Arial" w:cs="Arial" w:eastAsia="Arial" w:hAnsi="Arial"/>
                <w:sz w:val="20"/>
                <w:szCs w:val="20"/>
                <w:color w:val="auto"/>
                <w:w w:val="95"/>
              </w:rPr>
              <w:t>A non-U.S. institution in accordance with Section 240.13d-1(b)(1)(ii)(J);</w:t>
            </w:r>
          </w:p>
        </w:tc>
      </w:tr>
      <w:tr>
        <w:trPr>
          <w:trHeight w:val="365"/>
        </w:trPr>
        <w:tc>
          <w:tcPr>
            <w:tcW w:w="106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20"/>
                <w:szCs w:val="20"/>
                <w:color w:val="auto"/>
              </w:rPr>
              <w:t>(k)</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1"/>
              <w:spacing w:after="0"/>
              <w:rPr>
                <w:sz w:val="20"/>
                <w:szCs w:val="20"/>
                <w:color w:val="auto"/>
              </w:rPr>
            </w:pPr>
            <w:r>
              <w:rPr>
                <w:rFonts w:ascii="Arial" w:cs="Arial" w:eastAsia="Arial" w:hAnsi="Arial"/>
                <w:sz w:val="20"/>
                <w:szCs w:val="20"/>
                <w:color w:val="auto"/>
                <w:w w:val="71"/>
              </w:rPr>
              <w:t>]</w:t>
            </w:r>
          </w:p>
        </w:tc>
        <w:tc>
          <w:tcPr>
            <w:tcW w:w="6000" w:type="dxa"/>
            <w:vAlign w:val="bottom"/>
          </w:tcPr>
          <w:p>
            <w:pPr>
              <w:spacing w:after="0"/>
              <w:rPr>
                <w:sz w:val="20"/>
                <w:szCs w:val="20"/>
                <w:color w:val="auto"/>
              </w:rPr>
            </w:pPr>
            <w:r>
              <w:rPr>
                <w:rFonts w:ascii="Arial" w:cs="Arial" w:eastAsia="Arial" w:hAnsi="Arial"/>
                <w:sz w:val="20"/>
                <w:szCs w:val="20"/>
                <w:color w:val="auto"/>
              </w:rPr>
              <w:t>Group, in accordance with Section 240.13d-1(b)(1)(ii)(K).</w:t>
            </w:r>
          </w:p>
        </w:tc>
      </w:tr>
      <w:tr>
        <w:trPr>
          <w:trHeight w:val="459"/>
        </w:trPr>
        <w:tc>
          <w:tcPr>
            <w:tcW w:w="106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138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w:t>
            </w:r>
          </w:p>
        </w:tc>
        <w:tc>
          <w:tcPr>
            <w:tcW w:w="6000" w:type="dxa"/>
            <w:vAlign w:val="bottom"/>
          </w:tcPr>
          <w:p>
            <w:pPr>
              <w:spacing w:after="0"/>
              <w:rPr>
                <w:sz w:val="24"/>
                <w:szCs w:val="24"/>
                <w:color w:val="auto"/>
              </w:rPr>
            </w:pPr>
          </w:p>
        </w:tc>
      </w:tr>
      <w:tr>
        <w:trPr>
          <w:trHeight w:val="425"/>
        </w:trPr>
        <w:tc>
          <w:tcPr>
            <w:tcW w:w="1060" w:type="dxa"/>
            <w:vAlign w:val="bottom"/>
          </w:tcPr>
          <w:p>
            <w:pPr>
              <w:spacing w:after="0"/>
              <w:rPr>
                <w:sz w:val="24"/>
                <w:szCs w:val="24"/>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2"/>
              </w:rPr>
              <w:t>The information contained in Items 5 – 11 on the cover pages is incorporated herein by</w:t>
            </w:r>
          </w:p>
        </w:tc>
      </w:tr>
      <w:tr>
        <w:trPr>
          <w:trHeight w:val="250"/>
        </w:trPr>
        <w:tc>
          <w:tcPr>
            <w:tcW w:w="1060" w:type="dxa"/>
            <w:vAlign w:val="bottom"/>
          </w:tcPr>
          <w:p>
            <w:pPr>
              <w:spacing w:after="0"/>
              <w:rPr>
                <w:sz w:val="21"/>
                <w:szCs w:val="21"/>
                <w:color w:val="auto"/>
              </w:rPr>
            </w:pPr>
          </w:p>
        </w:tc>
        <w:tc>
          <w:tcPr>
            <w:tcW w:w="1020" w:type="dxa"/>
            <w:vAlign w:val="bottom"/>
            <w:gridSpan w:val="2"/>
          </w:tcPr>
          <w:p>
            <w:pPr>
              <w:ind w:left="240"/>
              <w:spacing w:after="0"/>
              <w:rPr>
                <w:sz w:val="20"/>
                <w:szCs w:val="20"/>
                <w:color w:val="auto"/>
              </w:rPr>
            </w:pPr>
            <w:r>
              <w:rPr>
                <w:rFonts w:ascii="Arial" w:cs="Arial" w:eastAsia="Arial" w:hAnsi="Arial"/>
                <w:sz w:val="20"/>
                <w:szCs w:val="20"/>
                <w:color w:val="auto"/>
                <w:w w:val="84"/>
              </w:rPr>
              <w:t>reference.</w:t>
            </w:r>
          </w:p>
        </w:tc>
        <w:tc>
          <w:tcPr>
            <w:tcW w:w="360" w:type="dxa"/>
            <w:vAlign w:val="bottom"/>
          </w:tcPr>
          <w:p>
            <w:pPr>
              <w:spacing w:after="0"/>
              <w:rPr>
                <w:sz w:val="21"/>
                <w:szCs w:val="21"/>
                <w:color w:val="auto"/>
              </w:rPr>
            </w:pPr>
          </w:p>
        </w:tc>
        <w:tc>
          <w:tcPr>
            <w:tcW w:w="6000" w:type="dxa"/>
            <w:vAlign w:val="bottom"/>
          </w:tcPr>
          <w:p>
            <w:pPr>
              <w:spacing w:after="0"/>
              <w:rPr>
                <w:sz w:val="21"/>
                <w:szCs w:val="21"/>
                <w:color w:val="auto"/>
              </w:rPr>
            </w:pPr>
          </w:p>
        </w:tc>
      </w:tr>
      <w:tr>
        <w:trPr>
          <w:trHeight w:val="446"/>
        </w:trPr>
        <w:tc>
          <w:tcPr>
            <w:tcW w:w="106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7380" w:type="dxa"/>
            <w:vAlign w:val="bottom"/>
            <w:gridSpan w:val="4"/>
          </w:tcPr>
          <w:p>
            <w:pPr>
              <w:ind w:left="24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425"/>
        </w:trPr>
        <w:tc>
          <w:tcPr>
            <w:tcW w:w="1060" w:type="dxa"/>
            <w:vAlign w:val="bottom"/>
          </w:tcPr>
          <w:p>
            <w:pPr>
              <w:spacing w:after="0"/>
              <w:rPr>
                <w:sz w:val="24"/>
                <w:szCs w:val="24"/>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4"/>
              </w:rPr>
              <w:t>If this statement is being filed to report the fact that as of the date hereof the reporting</w:t>
            </w:r>
          </w:p>
        </w:tc>
      </w:tr>
      <w:tr>
        <w:trPr>
          <w:trHeight w:val="229"/>
        </w:trPr>
        <w:tc>
          <w:tcPr>
            <w:tcW w:w="1060" w:type="dxa"/>
            <w:vAlign w:val="bottom"/>
          </w:tcPr>
          <w:p>
            <w:pPr>
              <w:spacing w:after="0"/>
              <w:rPr>
                <w:sz w:val="19"/>
                <w:szCs w:val="19"/>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3"/>
              </w:rPr>
              <w:t>person has ceased to be the beneficial owner of more than five percent of the class of</w:t>
            </w:r>
          </w:p>
        </w:tc>
      </w:tr>
      <w:tr>
        <w:trPr>
          <w:trHeight w:val="250"/>
        </w:trPr>
        <w:tc>
          <w:tcPr>
            <w:tcW w:w="1060" w:type="dxa"/>
            <w:vAlign w:val="bottom"/>
          </w:tcPr>
          <w:p>
            <w:pPr>
              <w:spacing w:after="0"/>
              <w:rPr>
                <w:sz w:val="21"/>
                <w:szCs w:val="21"/>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rPr>
              <w:t>securities check the following: [  ]</w:t>
            </w:r>
          </w:p>
        </w:tc>
      </w:tr>
      <w:tr>
        <w:trPr>
          <w:trHeight w:val="446"/>
        </w:trPr>
        <w:tc>
          <w:tcPr>
            <w:tcW w:w="106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7380" w:type="dxa"/>
            <w:vAlign w:val="bottom"/>
            <w:gridSpan w:val="4"/>
          </w:tcPr>
          <w:p>
            <w:pPr>
              <w:ind w:left="24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445"/>
        </w:trPr>
        <w:tc>
          <w:tcPr>
            <w:tcW w:w="1060" w:type="dxa"/>
            <w:vAlign w:val="bottom"/>
          </w:tcPr>
          <w:p>
            <w:pPr>
              <w:spacing w:after="0"/>
              <w:rPr>
                <w:sz w:val="24"/>
                <w:szCs w:val="24"/>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rPr>
              <w:t>Not Applicable.</w:t>
            </w:r>
          </w:p>
        </w:tc>
      </w:tr>
      <w:tr>
        <w:trPr>
          <w:trHeight w:val="419"/>
        </w:trPr>
        <w:tc>
          <w:tcPr>
            <w:tcW w:w="106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7380" w:type="dxa"/>
            <w:vAlign w:val="bottom"/>
            <w:gridSpan w:val="4"/>
          </w:tcPr>
          <w:p>
            <w:pPr>
              <w:ind w:left="240"/>
              <w:spacing w:after="0"/>
              <w:rPr>
                <w:sz w:val="20"/>
                <w:szCs w:val="20"/>
                <w:color w:val="auto"/>
              </w:rPr>
            </w:pPr>
            <w:r>
              <w:rPr>
                <w:rFonts w:ascii="Arial" w:cs="Arial" w:eastAsia="Arial" w:hAnsi="Arial"/>
                <w:sz w:val="20"/>
                <w:szCs w:val="20"/>
                <w:b w:val="1"/>
                <w:bCs w:val="1"/>
                <w:color w:val="auto"/>
                <w:w w:val="95"/>
              </w:rPr>
              <w:t>Identification and Classification of the Subsidiary Which Acquired the Security</w:t>
            </w:r>
          </w:p>
        </w:tc>
      </w:tr>
      <w:tr>
        <w:trPr>
          <w:trHeight w:val="256"/>
        </w:trPr>
        <w:tc>
          <w:tcPr>
            <w:tcW w:w="1060" w:type="dxa"/>
            <w:vAlign w:val="bottom"/>
          </w:tcPr>
          <w:p>
            <w:pPr>
              <w:spacing w:after="0"/>
              <w:rPr>
                <w:sz w:val="22"/>
                <w:szCs w:val="22"/>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b w:val="1"/>
                <w:bCs w:val="1"/>
                <w:color w:val="auto"/>
              </w:rPr>
              <w:t>Being Reported on by the Parent Holding Company or Control Person.</w:t>
            </w:r>
          </w:p>
        </w:tc>
      </w:tr>
      <w:tr>
        <w:trPr>
          <w:trHeight w:val="445"/>
        </w:trPr>
        <w:tc>
          <w:tcPr>
            <w:tcW w:w="1060" w:type="dxa"/>
            <w:vAlign w:val="bottom"/>
          </w:tcPr>
          <w:p>
            <w:pPr>
              <w:spacing w:after="0"/>
              <w:rPr>
                <w:sz w:val="24"/>
                <w:szCs w:val="24"/>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rPr>
              <w:t>Not Applicable.</w:t>
            </w:r>
          </w:p>
        </w:tc>
      </w:tr>
      <w:tr>
        <w:trPr>
          <w:trHeight w:val="446"/>
        </w:trPr>
        <w:tc>
          <w:tcPr>
            <w:tcW w:w="106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7380" w:type="dxa"/>
            <w:vAlign w:val="bottom"/>
            <w:gridSpan w:val="4"/>
          </w:tcPr>
          <w:p>
            <w:pPr>
              <w:ind w:left="24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445"/>
        </w:trPr>
        <w:tc>
          <w:tcPr>
            <w:tcW w:w="1060" w:type="dxa"/>
            <w:vAlign w:val="bottom"/>
          </w:tcPr>
          <w:p>
            <w:pPr>
              <w:spacing w:after="0"/>
              <w:rPr>
                <w:sz w:val="24"/>
                <w:szCs w:val="24"/>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rPr>
              <w:t>Not Applicable.</w:t>
            </w:r>
          </w:p>
        </w:tc>
      </w:tr>
      <w:tr>
        <w:trPr>
          <w:trHeight w:val="445"/>
        </w:trPr>
        <w:tc>
          <w:tcPr>
            <w:tcW w:w="106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7380" w:type="dxa"/>
            <w:vAlign w:val="bottom"/>
            <w:gridSpan w:val="4"/>
          </w:tcPr>
          <w:p>
            <w:pPr>
              <w:ind w:left="240"/>
              <w:spacing w:after="0"/>
              <w:rPr>
                <w:sz w:val="20"/>
                <w:szCs w:val="20"/>
                <w:color w:val="auto"/>
              </w:rPr>
            </w:pPr>
            <w:r>
              <w:rPr>
                <w:rFonts w:ascii="Arial" w:cs="Arial" w:eastAsia="Arial" w:hAnsi="Arial"/>
                <w:sz w:val="20"/>
                <w:szCs w:val="20"/>
                <w:b w:val="1"/>
                <w:bCs w:val="1"/>
                <w:color w:val="auto"/>
              </w:rPr>
              <w:t>Notice of Dissolution of Group.</w:t>
            </w:r>
          </w:p>
        </w:tc>
      </w:tr>
      <w:tr>
        <w:trPr>
          <w:trHeight w:val="445"/>
        </w:trPr>
        <w:tc>
          <w:tcPr>
            <w:tcW w:w="1060" w:type="dxa"/>
            <w:vAlign w:val="bottom"/>
          </w:tcPr>
          <w:p>
            <w:pPr>
              <w:spacing w:after="0"/>
              <w:rPr>
                <w:sz w:val="24"/>
                <w:szCs w:val="24"/>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rPr>
              <w:t>Not Applicable.</w:t>
            </w:r>
          </w:p>
        </w:tc>
      </w:tr>
      <w:tr>
        <w:trPr>
          <w:trHeight w:val="445"/>
        </w:trPr>
        <w:tc>
          <w:tcPr>
            <w:tcW w:w="106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1380" w:type="dxa"/>
            <w:vAlign w:val="bottom"/>
            <w:gridSpan w:val="3"/>
          </w:tcPr>
          <w:p>
            <w:pPr>
              <w:ind w:left="240"/>
              <w:spacing w:after="0"/>
              <w:rPr>
                <w:sz w:val="20"/>
                <w:szCs w:val="20"/>
                <w:color w:val="auto"/>
              </w:rPr>
            </w:pPr>
            <w:r>
              <w:rPr>
                <w:rFonts w:ascii="Arial" w:cs="Arial" w:eastAsia="Arial" w:hAnsi="Arial"/>
                <w:sz w:val="20"/>
                <w:szCs w:val="20"/>
                <w:b w:val="1"/>
                <w:bCs w:val="1"/>
                <w:color w:val="auto"/>
                <w:w w:val="91"/>
              </w:rPr>
              <w:t>Certification.</w:t>
            </w:r>
          </w:p>
        </w:tc>
        <w:tc>
          <w:tcPr>
            <w:tcW w:w="6000" w:type="dxa"/>
            <w:vAlign w:val="bottom"/>
          </w:tcPr>
          <w:p>
            <w:pPr>
              <w:spacing w:after="0"/>
              <w:rPr>
                <w:sz w:val="24"/>
                <w:szCs w:val="24"/>
                <w:color w:val="auto"/>
              </w:rPr>
            </w:pPr>
          </w:p>
        </w:tc>
      </w:tr>
      <w:tr>
        <w:trPr>
          <w:trHeight w:val="317"/>
        </w:trPr>
        <w:tc>
          <w:tcPr>
            <w:tcW w:w="1060" w:type="dxa"/>
            <w:vAlign w:val="bottom"/>
          </w:tcPr>
          <w:p>
            <w:pPr>
              <w:spacing w:after="0"/>
              <w:rPr>
                <w:sz w:val="24"/>
                <w:szCs w:val="24"/>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6"/>
              </w:rPr>
              <w:t>By signing below I certify that, to the best of my knowledge and belief, the securities</w:t>
            </w:r>
          </w:p>
        </w:tc>
      </w:tr>
      <w:tr>
        <w:trPr>
          <w:trHeight w:val="230"/>
        </w:trPr>
        <w:tc>
          <w:tcPr>
            <w:tcW w:w="1060" w:type="dxa"/>
            <w:vAlign w:val="bottom"/>
          </w:tcPr>
          <w:p>
            <w:pPr>
              <w:spacing w:after="0"/>
              <w:rPr>
                <w:sz w:val="19"/>
                <w:szCs w:val="19"/>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1"/>
              </w:rPr>
              <w:t>referred to above were not acquired and are not held for the purpose of or with the effect</w:t>
            </w:r>
          </w:p>
        </w:tc>
      </w:tr>
      <w:tr>
        <w:trPr>
          <w:trHeight w:val="229"/>
        </w:trPr>
        <w:tc>
          <w:tcPr>
            <w:tcW w:w="1060" w:type="dxa"/>
            <w:vAlign w:val="bottom"/>
          </w:tcPr>
          <w:p>
            <w:pPr>
              <w:spacing w:after="0"/>
              <w:rPr>
                <w:sz w:val="19"/>
                <w:szCs w:val="19"/>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0"/>
              </w:rPr>
              <w:t>of changing or influencing the control of the issuer of the securities and were not acquired</w:t>
            </w:r>
          </w:p>
        </w:tc>
      </w:tr>
      <w:tr>
        <w:trPr>
          <w:trHeight w:val="230"/>
        </w:trPr>
        <w:tc>
          <w:tcPr>
            <w:tcW w:w="1060" w:type="dxa"/>
            <w:vAlign w:val="bottom"/>
          </w:tcPr>
          <w:p>
            <w:pPr>
              <w:spacing w:after="0"/>
              <w:rPr>
                <w:sz w:val="19"/>
                <w:szCs w:val="19"/>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6"/>
              </w:rPr>
              <w:t>and are not held in connection with or as a participant in any transaction having that</w:t>
            </w:r>
          </w:p>
        </w:tc>
      </w:tr>
      <w:tr>
        <w:trPr>
          <w:trHeight w:val="230"/>
        </w:trPr>
        <w:tc>
          <w:tcPr>
            <w:tcW w:w="1060" w:type="dxa"/>
            <w:vAlign w:val="bottom"/>
          </w:tcPr>
          <w:p>
            <w:pPr>
              <w:spacing w:after="0"/>
              <w:rPr>
                <w:sz w:val="19"/>
                <w:szCs w:val="19"/>
                <w:color w:val="auto"/>
              </w:rPr>
            </w:pPr>
          </w:p>
        </w:tc>
        <w:tc>
          <w:tcPr>
            <w:tcW w:w="7380" w:type="dxa"/>
            <w:vAlign w:val="bottom"/>
            <w:gridSpan w:val="4"/>
          </w:tcPr>
          <w:p>
            <w:pPr>
              <w:ind w:left="240"/>
              <w:spacing w:after="0"/>
              <w:rPr>
                <w:sz w:val="20"/>
                <w:szCs w:val="20"/>
                <w:color w:val="auto"/>
              </w:rPr>
            </w:pPr>
            <w:r>
              <w:rPr>
                <w:rFonts w:ascii="Arial" w:cs="Arial" w:eastAsia="Arial" w:hAnsi="Arial"/>
                <w:sz w:val="20"/>
                <w:szCs w:val="20"/>
                <w:color w:val="auto"/>
                <w:w w:val="97"/>
              </w:rPr>
              <w:t>purpose or effect, other than activities solely in connection with a nomination under</w:t>
            </w:r>
          </w:p>
        </w:tc>
      </w:tr>
      <w:tr>
        <w:trPr>
          <w:trHeight w:val="250"/>
        </w:trPr>
        <w:tc>
          <w:tcPr>
            <w:tcW w:w="1060" w:type="dxa"/>
            <w:vAlign w:val="bottom"/>
          </w:tcPr>
          <w:p>
            <w:pPr>
              <w:spacing w:after="0"/>
              <w:rPr>
                <w:sz w:val="21"/>
                <w:szCs w:val="21"/>
                <w:color w:val="auto"/>
              </w:rPr>
            </w:pPr>
          </w:p>
        </w:tc>
        <w:tc>
          <w:tcPr>
            <w:tcW w:w="1380" w:type="dxa"/>
            <w:vAlign w:val="bottom"/>
            <w:gridSpan w:val="3"/>
          </w:tcPr>
          <w:p>
            <w:pPr>
              <w:ind w:left="240"/>
              <w:spacing w:after="0"/>
              <w:rPr>
                <w:sz w:val="20"/>
                <w:szCs w:val="20"/>
                <w:color w:val="auto"/>
              </w:rPr>
            </w:pPr>
            <w:r>
              <w:rPr>
                <w:rFonts w:ascii="Arial" w:cs="Arial" w:eastAsia="Arial" w:hAnsi="Arial"/>
                <w:sz w:val="20"/>
                <w:szCs w:val="20"/>
                <w:color w:val="auto"/>
                <w:w w:val="90"/>
              </w:rPr>
              <w:t>§ 240.14a-11.</w:t>
            </w:r>
          </w:p>
        </w:tc>
        <w:tc>
          <w:tcPr>
            <w:tcW w:w="6000" w:type="dxa"/>
            <w:vAlign w:val="bottom"/>
          </w:tcPr>
          <w:p>
            <w:pPr>
              <w:spacing w:after="0"/>
              <w:rPr>
                <w:sz w:val="21"/>
                <w:szCs w:val="21"/>
                <w:color w:val="auto"/>
              </w:rPr>
            </w:pPr>
          </w:p>
        </w:tc>
      </w:tr>
      <w:tr>
        <w:trPr>
          <w:trHeight w:val="610"/>
        </w:trPr>
        <w:tc>
          <w:tcPr>
            <w:tcW w:w="1060" w:type="dxa"/>
            <w:vAlign w:val="bottom"/>
            <w:tcBorders>
              <w:bottom w:val="single" w:sz="8" w:color="909090"/>
            </w:tcBorders>
          </w:tcPr>
          <w:p>
            <w:pPr>
              <w:spacing w:after="0"/>
              <w:rPr>
                <w:sz w:val="24"/>
                <w:szCs w:val="24"/>
                <w:color w:val="auto"/>
              </w:rPr>
            </w:pPr>
          </w:p>
        </w:tc>
        <w:tc>
          <w:tcPr>
            <w:tcW w:w="680" w:type="dxa"/>
            <w:vAlign w:val="bottom"/>
            <w:tcBorders>
              <w:bottom w:val="single" w:sz="8" w:color="909090"/>
            </w:tcBorders>
          </w:tcPr>
          <w:p>
            <w:pPr>
              <w:spacing w:after="0"/>
              <w:rPr>
                <w:sz w:val="24"/>
                <w:szCs w:val="24"/>
                <w:color w:val="auto"/>
              </w:rPr>
            </w:pPr>
          </w:p>
        </w:tc>
        <w:tc>
          <w:tcPr>
            <w:tcW w:w="340" w:type="dxa"/>
            <w:vAlign w:val="bottom"/>
            <w:tcBorders>
              <w:bottom w:val="single" w:sz="8" w:color="909090"/>
            </w:tcBorders>
          </w:tcPr>
          <w:p>
            <w:pPr>
              <w:spacing w:after="0"/>
              <w:rPr>
                <w:sz w:val="24"/>
                <w:szCs w:val="24"/>
                <w:color w:val="auto"/>
              </w:rPr>
            </w:pPr>
          </w:p>
        </w:tc>
        <w:tc>
          <w:tcPr>
            <w:tcW w:w="360" w:type="dxa"/>
            <w:vAlign w:val="bottom"/>
            <w:tcBorders>
              <w:bottom w:val="single" w:sz="8" w:color="909090"/>
            </w:tcBorders>
          </w:tcPr>
          <w:p>
            <w:pPr>
              <w:spacing w:after="0"/>
              <w:rPr>
                <w:sz w:val="24"/>
                <w:szCs w:val="24"/>
                <w:color w:val="auto"/>
              </w:rPr>
            </w:pPr>
          </w:p>
        </w:tc>
        <w:tc>
          <w:tcPr>
            <w:tcW w:w="6000" w:type="dxa"/>
            <w:vAlign w:val="bottom"/>
            <w:tcBorders>
              <w:bottom w:val="single" w:sz="8" w:color="909090"/>
            </w:tcBorders>
          </w:tcPr>
          <w:p>
            <w:pPr>
              <w:spacing w:after="0"/>
              <w:rPr>
                <w:sz w:val="24"/>
                <w:szCs w:val="24"/>
                <w:color w:val="auto"/>
              </w:rPr>
            </w:pPr>
          </w:p>
        </w:tc>
      </w:tr>
    </w:tbl>
    <w:p>
      <w:pPr>
        <w:sectPr>
          <w:pgSz w:w="11900" w:h="16838" w:orient="portrait"/>
          <w:cols w:equalWidth="0" w:num="1">
            <w:col w:w="9559"/>
          </w:cols>
          <w:pgMar w:left="900" w:top="136" w:right="1440" w:bottom="1440" w:gutter="0" w:footer="0" w:header="0"/>
        </w:sectPr>
      </w:pPr>
    </w:p>
    <w:bookmarkStart w:id="5" w:name="page6"/>
    <w:bookmarkEnd w:id="5"/>
    <w:p>
      <w:pPr>
        <w:ind w:left="3640"/>
        <w:spacing w:after="0"/>
        <w:rPr>
          <w:sz w:val="20"/>
          <w:szCs w:val="20"/>
          <w:color w:val="auto"/>
        </w:rPr>
      </w:pPr>
      <w:r>
        <w:rPr>
          <w:rFonts w:ascii="Arial" w:cs="Arial" w:eastAsia="Arial" w:hAnsi="Arial"/>
          <w:sz w:val="20"/>
          <w:szCs w:val="20"/>
          <w:b w:val="1"/>
          <w:bCs w:val="1"/>
          <w:color w:val="auto"/>
        </w:rPr>
        <w:t>SIGNATURE</w:t>
      </w:r>
    </w:p>
    <w:p>
      <w:pPr>
        <w:spacing w:after="0" w:line="221" w:lineRule="exact"/>
        <w:rPr>
          <w:sz w:val="20"/>
          <w:szCs w:val="20"/>
          <w:color w:val="auto"/>
        </w:rPr>
      </w:pPr>
    </w:p>
    <w:p>
      <w:pPr>
        <w:ind w:right="1159"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Dated as of the 17th day of March, 2021.</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OIG OUSTER IV, LLC</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/s/ Kyle M. Veenstra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40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Kyle M. Veenstra,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/s/ Kyle M. Veenstra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40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Kyle M. Veenstra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534924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559"/>
          </w:cols>
          <w:pgMar w:left="900" w:top="118" w:right="1440" w:bottom="1440" w:gutter="0" w:footer="0" w:header="0"/>
        </w:sectPr>
      </w:pPr>
    </w:p>
    <w:bookmarkStart w:id="6" w:name="page7"/>
    <w:bookmarkEnd w:id="6"/>
    <w:p>
      <w:pPr>
        <w:jc w:val="right"/>
        <w:ind w:right="4579"/>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31"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b w:val="1"/>
          <w:bCs w:val="1"/>
          <w:u w:val="single" w:color="auto"/>
          <w:color w:val="auto"/>
        </w:rPr>
        <w:t>Exhibit</w:t>
      </w:r>
      <w:r>
        <w:rPr>
          <w:sz w:val="20"/>
          <w:szCs w:val="20"/>
          <w:color w:val="auto"/>
        </w:rPr>
        <w:tab/>
      </w:r>
      <w:r>
        <w:rPr>
          <w:rFonts w:ascii="Arial" w:cs="Arial" w:eastAsia="Arial" w:hAnsi="Arial"/>
          <w:sz w:val="20"/>
          <w:szCs w:val="20"/>
          <w:b w:val="1"/>
          <w:bCs w:val="1"/>
          <w:u w:val="single" w:color="auto"/>
          <w:color w:val="auto"/>
        </w:rPr>
        <w:t>Description</w:t>
      </w:r>
    </w:p>
    <w:p>
      <w:pPr>
        <w:spacing w:after="0" w:line="114"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20"/>
          <w:szCs w:val="20"/>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559"/>
          </w:cols>
          <w:pgMar w:left="900" w:top="118" w:right="1440" w:bottom="1440" w:gutter="0" w:footer="0" w:header="0"/>
        </w:sectPr>
      </w:pPr>
    </w:p>
    <w:bookmarkStart w:id="7" w:name="page8"/>
    <w:bookmarkEnd w:id="7"/>
    <w:p>
      <w:pPr>
        <w:ind w:left="2740"/>
        <w:spacing w:after="0"/>
        <w:rPr>
          <w:sz w:val="20"/>
          <w:szCs w:val="20"/>
          <w:color w:val="auto"/>
        </w:rPr>
      </w:pPr>
      <w:r>
        <w:rPr>
          <w:rFonts w:ascii="Arial" w:cs="Arial" w:eastAsia="Arial" w:hAnsi="Arial"/>
          <w:sz w:val="22"/>
          <w:szCs w:val="22"/>
          <w:b w:val="1"/>
          <w:bCs w:val="1"/>
          <w:color w:val="auto"/>
        </w:rPr>
        <w:t>JOINT FILING AGREEMENT</w:t>
      </w:r>
    </w:p>
    <w:p>
      <w:pPr>
        <w:spacing w:after="0" w:line="213" w:lineRule="exact"/>
        <w:rPr>
          <w:sz w:val="20"/>
          <w:szCs w:val="20"/>
          <w:color w:val="auto"/>
        </w:rPr>
      </w:pPr>
    </w:p>
    <w:p>
      <w:pPr>
        <w:ind w:right="1179"/>
        <w:spacing w:after="0" w:line="236" w:lineRule="auto"/>
        <w:rPr>
          <w:sz w:val="20"/>
          <w:szCs w:val="20"/>
          <w:color w:val="auto"/>
        </w:rPr>
      </w:pPr>
      <w:r>
        <w:rPr>
          <w:rFonts w:ascii="Arial" w:cs="Arial" w:eastAsia="Arial" w:hAnsi="Arial"/>
          <w:sz w:val="22"/>
          <w:szCs w:val="22"/>
          <w:color w:val="auto"/>
        </w:rPr>
        <w:t>In accordance with Rule 13d-1(k)(1) under the Securities Exchange Act of 1934, as amended, each of the undersigned hereby agrees to the joint filing with the other reporting person of a statement on Schedule 13G (including amendments thereto) with respect to the Common Stock, $0.0001 par value, of Ouster, Inc. and that this Agreement be included as an Exhibit to such joint filing.</w:t>
      </w:r>
    </w:p>
    <w:p>
      <w:pPr>
        <w:spacing w:after="0" w:line="187" w:lineRule="exact"/>
        <w:rPr>
          <w:sz w:val="20"/>
          <w:szCs w:val="20"/>
          <w:color w:val="auto"/>
        </w:rPr>
      </w:pPr>
    </w:p>
    <w:p>
      <w:pPr>
        <w:ind w:right="1219" w:firstLine="648"/>
        <w:spacing w:after="0" w:line="250" w:lineRule="auto"/>
        <w:rPr>
          <w:sz w:val="20"/>
          <w:szCs w:val="20"/>
          <w:color w:val="auto"/>
        </w:rPr>
      </w:pPr>
      <w:r>
        <w:rPr>
          <w:rFonts w:ascii="Arial" w:cs="Arial" w:eastAsia="Arial" w:hAnsi="Arial"/>
          <w:sz w:val="22"/>
          <w:szCs w:val="22"/>
          <w:color w:val="auto"/>
        </w:rPr>
        <w:t>IN WITNESS WHEREOF, the undersigned hereby execute this Agreement this 17th day of March, 2021.</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OIG OUSTER IV, LLC</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/s/ Kyle M. Veenstra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945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Kyle M. Veenstra,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Kyle M. Veenstra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945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Kyle M. Veenstra</w:t>
      </w:r>
    </w:p>
    <w:sectPr>
      <w:pgSz w:w="11900" w:h="16838" w:orient="portrait"/>
      <w:cols w:equalWidth="0" w:num="1">
        <w:col w:w="9559"/>
      </w:cols>
      <w:pgMar w:left="9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decimal"/>
      <w:start w:val="1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decimal"/>
      <w:start w:val="8"/>
    </w:lvl>
  </w:abstractNum>
  <w:abstractNum w:abstractNumId="8">
    <w:nsid w:val="12200854"/>
    <w:multiLevelType w:val="hybridMultilevel"/>
    <w:lvl w:ilvl="0">
      <w:lvlJc w:val="left"/>
      <w:lvlText w:val="%1)"/>
      <w:numFmt w:val="decimal"/>
      <w:start w:val="9"/>
    </w:lvl>
    <w:lvl w:ilvl="1">
      <w:lvlJc w:val="left"/>
      <w:lvlText w:val="%2"/>
      <w:numFmt w:val="decimal"/>
      <w:start w:val="1"/>
    </w:lvl>
  </w:abstractNum>
  <w:abstractNum w:abstractNumId="9">
    <w:nsid w:val="4DB127F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2021-03-18T10:21:52Z</dcterms:created>
  <dcterms:modified xsi:type="dcterms:W3CDTF">2021-03-18T10:21:52Z</dcterms:modified>
</cp:coreProperties>
</file>