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11"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47"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14"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color w:val="auto"/>
        </w:rPr>
        <w:t>(Mark One)</w:t>
      </w:r>
    </w:p>
    <w:p>
      <w:pPr>
        <w:spacing w:after="0" w:line="31" w:lineRule="exact"/>
        <w:rPr>
          <w:sz w:val="24"/>
          <w:szCs w:val="24"/>
          <w:color w:val="auto"/>
        </w:rPr>
      </w:pPr>
    </w:p>
    <w:p>
      <w:pPr>
        <w:ind w:left="1760" w:hanging="686"/>
        <w:spacing w:after="0"/>
        <w:tabs>
          <w:tab w:leader="none" w:pos="17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QUARTERLY REPORT PURSUANT TO SECTION 13 OR 15(d) OF THE SECURITIES EXCHANGE ACT OF 1934</w:t>
      </w:r>
    </w:p>
    <w:p>
      <w:pPr>
        <w:spacing w:after="0" w:line="1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quarterly period ended June 30, 2024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274" w:lineRule="exact"/>
        <w:rPr>
          <w:sz w:val="24"/>
          <w:szCs w:val="24"/>
          <w:color w:val="auto"/>
        </w:rPr>
      </w:pPr>
    </w:p>
    <w:p>
      <w:pPr>
        <w:ind w:left="1760" w:hanging="686"/>
        <w:spacing w:after="0"/>
        <w:tabs>
          <w:tab w:leader="none" w:pos="17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TRANSITION REPORT PURSUANT TO SECTION 13 OR 15(d) OF THE SECURITIES EXCHANGE ACT OF 1934</w:t>
      </w:r>
    </w:p>
    <w:p>
      <w:pPr>
        <w:sectPr>
          <w:pgSz w:w="11900" w:h="16838" w:orient="portrait"/>
          <w:cols w:equalWidth="0" w:num="1">
            <w:col w:w="11240"/>
          </w:cols>
          <w:pgMar w:left="320" w:top="1289" w:right="339" w:bottom="164" w:gutter="0" w:footer="0" w:header="0"/>
        </w:sectPr>
      </w:pPr>
    </w:p>
    <w:p>
      <w:pPr>
        <w:spacing w:after="0" w:line="358"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color w:val="auto"/>
        </w:rPr>
        <w:t>For the transition period from</w:t>
      </w:r>
    </w:p>
    <w:p>
      <w:pPr>
        <w:spacing w:after="0" w:line="27"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7"/>
          <w:szCs w:val="17"/>
          <w:color w:val="auto"/>
        </w:rPr>
        <w:t>Commission File Number: 001-39463</w:t>
      </w:r>
    </w:p>
    <w:p>
      <w:pPr>
        <w:spacing w:after="0" w:line="21"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0" w:lineRule="exact"/>
        <w:rPr>
          <w:sz w:val="24"/>
          <w:szCs w:val="24"/>
          <w:color w:val="auto"/>
        </w:rPr>
      </w:pPr>
      <w:r>
        <w:rPr>
          <w:sz w:val="24"/>
          <w:szCs w:val="24"/>
          <w:color w:val="auto"/>
        </w:rPr>
        <w:br w:type="column"/>
      </w:r>
    </w:p>
    <w:p>
      <w:pPr>
        <w:spacing w:after="0" w:line="3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to</w:t>
      </w:r>
    </w:p>
    <w:p>
      <w:pPr>
        <w:spacing w:after="0" w:line="587" w:lineRule="exact"/>
        <w:rPr>
          <w:sz w:val="24"/>
          <w:szCs w:val="24"/>
          <w:color w:val="auto"/>
        </w:rPr>
      </w:pPr>
    </w:p>
    <w:p>
      <w:pPr>
        <w:sectPr>
          <w:pgSz w:w="11900" w:h="16838" w:orient="portrait"/>
          <w:cols w:equalWidth="0" w:num="2">
            <w:col w:w="7000" w:space="120"/>
            <w:col w:w="4120"/>
          </w:cols>
          <w:pgMar w:left="320" w:top="1289" w:right="339" w:bottom="164"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Ouster, Inc.</w:t>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8"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ectPr>
          <w:pgSz w:w="11900" w:h="16838" w:orient="portrait"/>
          <w:cols w:equalWidth="0" w:num="1">
            <w:col w:w="11240"/>
          </w:cols>
          <w:pgMar w:left="320" w:top="1289" w:right="339" w:bottom="164" w:gutter="0" w:footer="0" w:header="0"/>
          <w:type w:val="continuous"/>
        </w:sectPr>
      </w:pPr>
    </w:p>
    <w:p>
      <w:pPr>
        <w:spacing w:after="0" w:line="176"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86-2528989</w:t>
      </w:r>
    </w:p>
    <w:p>
      <w:pPr>
        <w:spacing w:after="0" w:line="63" w:lineRule="exact"/>
        <w:rPr>
          <w:sz w:val="24"/>
          <w:szCs w:val="24"/>
          <w:color w:val="auto"/>
        </w:rPr>
      </w:pPr>
    </w:p>
    <w:p>
      <w:pPr>
        <w:sectPr>
          <w:pgSz w:w="11900" w:h="16838" w:orient="portrait"/>
          <w:cols w:equalWidth="0" w:num="2">
            <w:col w:w="8220" w:space="720"/>
            <w:col w:w="2300"/>
          </w:cols>
          <w:pgMar w:left="320" w:top="1289" w:right="339" w:bottom="164" w:gutter="0" w:footer="0" w:header="0"/>
          <w:type w:val="continuous"/>
        </w:sectPr>
      </w:pPr>
    </w:p>
    <w:p>
      <w:pPr>
        <w:jc w:val="center"/>
        <w:ind w:right="426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31" w:lineRule="exact"/>
        <w:rPr>
          <w:sz w:val="24"/>
          <w:szCs w:val="24"/>
          <w:color w:val="auto"/>
        </w:rPr>
      </w:pPr>
    </w:p>
    <w:p>
      <w:pPr>
        <w:jc w:val="center"/>
        <w:ind w:right="426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119" w:lineRule="exact"/>
        <w:rPr>
          <w:sz w:val="24"/>
          <w:szCs w:val="24"/>
          <w:color w:val="auto"/>
        </w:rPr>
      </w:pPr>
    </w:p>
    <w:p>
      <w:pPr>
        <w:sectPr>
          <w:pgSz w:w="11900" w:h="16838" w:orient="portrait"/>
          <w:cols w:equalWidth="0" w:num="2">
            <w:col w:w="7960" w:space="720"/>
            <w:col w:w="2560"/>
          </w:cols>
          <w:pgMar w:left="320" w:top="1289" w:right="339" w:bottom="164"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350 Treat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Francisco, California 94110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(415) 949-0108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9"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5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5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5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237"/>
        </w:trPr>
        <w:tc>
          <w:tcPr>
            <w:tcW w:w="5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OUST</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70"/>
        </w:trPr>
        <w:tc>
          <w:tcPr>
            <w:tcW w:w="5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Warrants to purchase common stock</w:t>
            </w: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OUST WS</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70"/>
        </w:trPr>
        <w:tc>
          <w:tcPr>
            <w:tcW w:w="5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Warrants to purchase common stock expiring 2025</w:t>
            </w: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OUST WSA</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NYSE American</w:t>
            </w:r>
          </w:p>
        </w:tc>
      </w:tr>
    </w:tbl>
    <w:p>
      <w:pPr>
        <w:spacing w:after="0" w:line="238" w:lineRule="exact"/>
        <w:rPr>
          <w:sz w:val="24"/>
          <w:szCs w:val="24"/>
          <w:color w:val="auto"/>
        </w:rPr>
      </w:pPr>
    </w:p>
    <w:p>
      <w:pPr>
        <w:ind w:right="300"/>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4580" w:val="left"/>
          <w:tab w:leader="none" w:pos="5280" w:val="left"/>
        </w:tabs>
        <w:rPr>
          <w:sz w:val="20"/>
          <w:szCs w:val="20"/>
          <w:color w:val="auto"/>
        </w:rPr>
      </w:pPr>
      <w:r>
        <w:rPr>
          <w:rFonts w:ascii="Times New Roman" w:cs="Times New Roman" w:eastAsia="Times New Roman" w:hAnsi="Times New Roman"/>
          <w:sz w:val="18"/>
          <w:szCs w:val="18"/>
          <w:color w:val="auto"/>
        </w:rPr>
        <w:t>requirements for the past 90 days.</w:t>
      </w:r>
      <w:r>
        <w:rPr>
          <w:sz w:val="20"/>
          <w:szCs w:val="20"/>
          <w:color w:val="auto"/>
        </w:rPr>
        <w:tab/>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12" w:lineRule="exact"/>
        <w:rPr>
          <w:sz w:val="24"/>
          <w:szCs w:val="24"/>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82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2"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8" w:lineRule="exact"/>
        <w:rPr>
          <w:sz w:val="24"/>
          <w:szCs w:val="24"/>
          <w:color w:val="auto"/>
        </w:rPr>
      </w:pPr>
    </w:p>
    <w:tbl>
      <w:tblPr>
        <w:tblLayout w:type="fixed"/>
        <w:tblInd w:w="96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46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rPr>
              <w:t>☐</w:t>
            </w:r>
          </w:p>
        </w:tc>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46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rPr>
              <w:t>☒</w:t>
            </w:r>
          </w:p>
        </w:tc>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146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rPr>
              <w:t>☐</w:t>
            </w:r>
          </w:p>
        </w:tc>
        <w:tc>
          <w:tcPr>
            <w:tcW w:w="324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18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August 9, 2024, the registrant had 48,330,292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89" w:right="339" w:bottom="164"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80" w:type="dxa"/>
            <w:vAlign w:val="bottom"/>
            <w:gridSpan w:val="7"/>
          </w:tcPr>
          <w:p>
            <w:pPr>
              <w:ind w:left="19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80" w:type="dxa"/>
            <w:vAlign w:val="bottom"/>
            <w:gridSpan w:val="7"/>
            <w:vMerge w:val="restart"/>
          </w:tcPr>
          <w:p>
            <w:pPr>
              <w:ind w:left="172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38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25"/>
        </w:trPr>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80" w:type="dxa"/>
            <w:vAlign w:val="bottom"/>
            <w:gridSpan w:val="7"/>
            <w:vMerge w:val="continue"/>
          </w:tcPr>
          <w:p>
            <w:pPr>
              <w:spacing w:after="0"/>
              <w:rPr>
                <w:sz w:val="19"/>
                <w:szCs w:val="19"/>
                <w:color w:val="auto"/>
              </w:rPr>
            </w:pPr>
          </w:p>
        </w:tc>
        <w:tc>
          <w:tcPr>
            <w:tcW w:w="3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52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w w:val="97"/>
              </w:rPr>
              <w:t>Item 1.</w:t>
            </w:r>
          </w:p>
        </w:tc>
        <w:tc>
          <w:tcPr>
            <w:tcW w:w="400" w:type="dxa"/>
            <w:vAlign w:val="bottom"/>
          </w:tcPr>
          <w:p>
            <w:pPr>
              <w:spacing w:after="0"/>
              <w:rPr>
                <w:sz w:val="16"/>
                <w:szCs w:val="16"/>
                <w:color w:val="auto"/>
              </w:rPr>
            </w:pPr>
          </w:p>
        </w:tc>
        <w:tc>
          <w:tcPr>
            <w:tcW w:w="150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w w:val="98"/>
              </w:rPr>
              <w:t>Financial Statements</w:t>
            </w:r>
          </w:p>
        </w:tc>
        <w:tc>
          <w:tcPr>
            <w:tcW w:w="4940" w:type="dxa"/>
            <w:vAlign w:val="bottom"/>
            <w:gridSpan w:val="8"/>
          </w:tcPr>
          <w:p>
            <w:pPr>
              <w:spacing w:after="0"/>
              <w:rPr>
                <w:sz w:val="16"/>
                <w:szCs w:val="16"/>
                <w:color w:val="auto"/>
              </w:rPr>
            </w:pPr>
          </w:p>
        </w:tc>
        <w:tc>
          <w:tcPr>
            <w:tcW w:w="38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(Unaudited)</w:t>
            </w:r>
          </w:p>
        </w:tc>
        <w:tc>
          <w:tcPr>
            <w:tcW w:w="2600" w:type="dxa"/>
            <w:vAlign w:val="bottom"/>
            <w:gridSpan w:val="6"/>
          </w:tcPr>
          <w:p>
            <w:pPr>
              <w:spacing w:after="0"/>
              <w:rPr>
                <w:sz w:val="19"/>
                <w:szCs w:val="19"/>
                <w:color w:val="auto"/>
              </w:rPr>
            </w:pP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Loss (Unaudited)</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30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(Unaudited)</w:t>
            </w:r>
          </w:p>
        </w:tc>
        <w:tc>
          <w:tcPr>
            <w:tcW w:w="112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(Unaudited)</w:t>
            </w:r>
          </w:p>
        </w:tc>
        <w:tc>
          <w:tcPr>
            <w:tcW w:w="1820" w:type="dxa"/>
            <w:vAlign w:val="bottom"/>
            <w:gridSpan w:val="4"/>
          </w:tcPr>
          <w:p>
            <w:pPr>
              <w:spacing w:after="0"/>
              <w:rPr>
                <w:sz w:val="21"/>
                <w:szCs w:val="21"/>
                <w:color w:val="auto"/>
              </w:rPr>
            </w:pP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9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1540" w:type="dxa"/>
            <w:vAlign w:val="bottom"/>
            <w:gridSpan w:val="3"/>
          </w:tcPr>
          <w:p>
            <w:pPr>
              <w:spacing w:after="0"/>
              <w:rPr>
                <w:sz w:val="21"/>
                <w:szCs w:val="21"/>
                <w:color w:val="auto"/>
              </w:rPr>
            </w:pP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50"/>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400" w:type="dxa"/>
            <w:vAlign w:val="bottom"/>
          </w:tcPr>
          <w:p>
            <w:pPr>
              <w:spacing w:after="0"/>
              <w:rPr>
                <w:sz w:val="21"/>
                <w:szCs w:val="21"/>
                <w:color w:val="auto"/>
              </w:rPr>
            </w:pPr>
          </w:p>
        </w:tc>
        <w:tc>
          <w:tcPr>
            <w:tcW w:w="64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5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400" w:type="dxa"/>
            <w:vAlign w:val="bottom"/>
          </w:tcPr>
          <w:p>
            <w:pPr>
              <w:spacing w:after="0"/>
              <w:rPr>
                <w:sz w:val="21"/>
                <w:szCs w:val="21"/>
                <w:color w:val="auto"/>
              </w:rPr>
            </w:pPr>
          </w:p>
        </w:tc>
        <w:tc>
          <w:tcPr>
            <w:tcW w:w="64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50"/>
        </w:trPr>
        <w:tc>
          <w:tcPr>
            <w:tcW w:w="5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400" w:type="dxa"/>
            <w:vAlign w:val="bottom"/>
          </w:tcPr>
          <w:p>
            <w:pPr>
              <w:spacing w:after="0"/>
              <w:rPr>
                <w:sz w:val="21"/>
                <w:szCs w:val="21"/>
                <w:color w:val="auto"/>
              </w:rPr>
            </w:pPr>
          </w:p>
        </w:tc>
        <w:tc>
          <w:tcPr>
            <w:tcW w:w="17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2580" w:type="dxa"/>
            <w:vAlign w:val="bottom"/>
            <w:tcBorders>
              <w:top w:val="single" w:sz="8" w:color="0000FF"/>
            </w:tcBorders>
            <w:gridSpan w:val="2"/>
          </w:tcPr>
          <w:p>
            <w:pPr>
              <w:spacing w:after="0"/>
              <w:rPr>
                <w:sz w:val="21"/>
                <w:szCs w:val="21"/>
                <w:color w:val="auto"/>
              </w:rPr>
            </w:pPr>
          </w:p>
        </w:tc>
        <w:tc>
          <w:tcPr>
            <w:tcW w:w="2100" w:type="dxa"/>
            <w:vAlign w:val="bottom"/>
            <w:gridSpan w:val="5"/>
          </w:tcPr>
          <w:p>
            <w:pPr>
              <w:spacing w:after="0"/>
              <w:rPr>
                <w:sz w:val="21"/>
                <w:szCs w:val="21"/>
                <w:color w:val="auto"/>
              </w:rPr>
            </w:pP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bl>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580" w:type="dxa"/>
            <w:vAlign w:val="bottom"/>
            <w:gridSpan w:val="2"/>
          </w:tcPr>
          <w:p>
            <w:pPr>
              <w:ind w:left="126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2400" w:type="dxa"/>
            <w:vAlign w:val="bottom"/>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6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0000FF"/>
              </w:rPr>
              <w:t>Item 1.</w:t>
            </w:r>
          </w:p>
        </w:tc>
        <w:tc>
          <w:tcPr>
            <w:tcW w:w="160" w:type="dxa"/>
            <w:vAlign w:val="bottom"/>
            <w:gridSpan w:val="2"/>
          </w:tcPr>
          <w:p>
            <w:pPr>
              <w:spacing w:after="0"/>
              <w:rPr>
                <w:sz w:val="17"/>
                <w:szCs w:val="17"/>
                <w:color w:val="auto"/>
              </w:rPr>
            </w:pPr>
          </w:p>
        </w:tc>
        <w:tc>
          <w:tcPr>
            <w:tcW w:w="8020" w:type="dxa"/>
            <w:vAlign w:val="bottom"/>
            <w:gridSpan w:val="8"/>
          </w:tcPr>
          <w:p>
            <w:pPr>
              <w:ind w:left="120"/>
              <w:spacing w:after="0" w:line="202" w:lineRule="exact"/>
              <w:rPr>
                <w:sz w:val="20"/>
                <w:szCs w:val="20"/>
                <w:color w:val="auto"/>
              </w:rPr>
            </w:pPr>
            <w:r>
              <w:rPr>
                <w:rFonts w:ascii="Times New Roman" w:cs="Times New Roman" w:eastAsia="Times New Roman" w:hAnsi="Times New Roman"/>
                <w:sz w:val="18"/>
                <w:szCs w:val="18"/>
                <w:color w:val="0000FF"/>
              </w:rPr>
              <w:t>Legal Proceedings</w:t>
            </w:r>
          </w:p>
        </w:tc>
        <w:tc>
          <w:tcPr>
            <w:tcW w:w="24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45</w:t>
            </w: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802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0000FF"/>
              </w:rPr>
              <w:t>Risk Factors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2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1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02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280" w:type="dxa"/>
            <w:vAlign w:val="bottom"/>
            <w:gridSpan w:val="3"/>
          </w:tcPr>
          <w:p>
            <w:pPr>
              <w:spacing w:after="0"/>
              <w:rPr>
                <w:sz w:val="18"/>
                <w:szCs w:val="18"/>
                <w:color w:val="auto"/>
              </w:rPr>
            </w:pPr>
          </w:p>
        </w:tc>
        <w:tc>
          <w:tcPr>
            <w:tcW w:w="802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14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280" w:type="dxa"/>
            <w:vAlign w:val="bottom"/>
            <w:gridSpan w:val="3"/>
          </w:tcPr>
          <w:p>
            <w:pPr>
              <w:spacing w:after="0"/>
              <w:rPr>
                <w:sz w:val="18"/>
                <w:szCs w:val="18"/>
                <w:color w:val="auto"/>
              </w:rPr>
            </w:pPr>
          </w:p>
        </w:tc>
        <w:tc>
          <w:tcPr>
            <w:tcW w:w="802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0000FF"/>
              </w:rPr>
              <w:t>Other Information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600" w:type="dxa"/>
            <w:vAlign w:val="bottom"/>
            <w:gridSpan w:val="4"/>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280" w:type="dxa"/>
            <w:vAlign w:val="bottom"/>
            <w:gridSpan w:val="3"/>
          </w:tcPr>
          <w:p>
            <w:pPr>
              <w:spacing w:after="0"/>
              <w:rPr>
                <w:sz w:val="18"/>
                <w:szCs w:val="18"/>
                <w:color w:val="auto"/>
              </w:rPr>
            </w:pPr>
          </w:p>
        </w:tc>
        <w:tc>
          <w:tcPr>
            <w:tcW w:w="802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0000FF"/>
              </w:rPr>
              <w:t>Exhibits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925"/>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8020" w:type="dxa"/>
            <w:vAlign w:val="bottom"/>
            <w:gridSpan w:val="8"/>
          </w:tcPr>
          <w:p>
            <w:pPr>
              <w:ind w:left="4760"/>
              <w:spacing w:after="0"/>
              <w:rPr>
                <w:sz w:val="20"/>
                <w:szCs w:val="20"/>
                <w:color w:val="auto"/>
              </w:rPr>
            </w:pPr>
            <w:r>
              <w:rPr>
                <w:rFonts w:ascii="Times New Roman" w:cs="Times New Roman" w:eastAsia="Times New Roman" w:hAnsi="Times New Roman"/>
                <w:sz w:val="18"/>
                <w:szCs w:val="18"/>
                <w:color w:val="auto"/>
              </w:rPr>
              <w:t>2</w:t>
            </w:r>
          </w:p>
        </w:tc>
        <w:tc>
          <w:tcPr>
            <w:tcW w:w="24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54"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i w:val="1"/>
          <w:iCs w:val="1"/>
          <w:color w:val="auto"/>
        </w:rPr>
        <w:t>This Quarterly Report on Form 10-Q (“Quarterly Report”) contains forward-looking statements within the meaning of the Private Securities Litigation Reform Act of 1995. Ouster, Inc. (the “Company”, “Ouster,” or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contained in this Quarterly Report other than statements of historical fact, including, without limitation, statements regarding; expected contractual obligations and capital expenditures; the capabilities of and demand for Ouster’s products; Ouster’s anticipated new product launches and developments; including software-related solutions systems, and the timing for those launches and developments; Ouster’s ability to grow its sales and marketing organizations; Ouster’s future results of operations, cash reserve and financial position; projected industry and business trends; the remediation of material weaknesses; potential risks of inventory obsolescence; Ouster’s future business strategy, plans, distribution partnerships, market growth and its objectives for future operations; Ouster’s competitive market position within its industry and the impact of market conditions and other macroeconomic factors on Ouster’s business, financial condition and results of operation, are forward-looking statements. The words “believe,” “may,” “will,” “estimate,” “continue,” “anticipate,” “intend,” “expect,” “could,” “would,” “project,” “plan,” “potentially,” “preliminary,” “likely,” “aim,” “forecast,” “should,” “can have,” “likely,” and similar expressions are intended to identify forward-looking statements. The Company has based these forward-looking statements largely on its current expectations and projections about future events and trends that it believes may affect its financial condition, results of operations, business strategy, short-term and long-term business operations and objectives, and financial needs. These forward-looking statements speak only as of the date of this Quarterly Report and are subject to a number of risks, uncertainties, and assumptions that may cause actual results to differ materially from those that Ouster expected, including, but not limited to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Ouster’s limited operating history and history of losses; its ability to successfully integrate its business with Velodyne and achieve the anticipated benefits and synergies of the Velodyne Merger; substantial research and development costs needed to develop and commercialize new products; fluctuations in its operating results; Ouster’s ability to maintain competitive average selling prices or high sales volumes or reduce product costs; conditions in its customers’ industries; the competitive environment in which Ouster operates; the negotiating power and product standards of its customers; the creditworthiness of Ouster’s customers; the ability of its lidar technology roadmap and new software solutions to catalyze growth; the selection of Ouster’s products for inclusion in target markets; risks of product delivery problems or defects; costs associated with product warranties; Ouster’s future capital needs and ability to secure additional capital on favorable terms or at all; inaccurate forecasts of market growth; Ouster’s ability to manage growth; Ouster’s ability to grow its sales and marketing organization; risks related to acquisitions; risks related to international operations and compliance; cancellation or postponement of contracts or unsuccessful implementations; Ouster’s ability to maintain inventory and the risk of inventory write-downs; its ability to use tax attributes; Ouster’s dependence on key third-party suppliers, in particular Benchmark Electronics, Inc. and Fabrinet; supply chain constraints and challenges; risks related to Ouster’s indebtedness; Ouster’s ability to recruit and retain key personnel; Ouster’s ability to effectively respond to evolving regulations and standards; Ouster’s ability to adequately protect and enforce its intellectual property rights, including as it relates to Hesai; risks related to operating as a public company; and other important factors discussed in the Company’s Annual Report on Form 10-K for the fiscal year ended December 31, 2023, that are further updated from time to time in the Company’s other filings with the Securities and Exchange Commission (the “SEC”) that may cause its actual results, performance or achievements to differ materially and adversely from those expressed or implied by the forward-looking statements.</w:t>
      </w:r>
    </w:p>
    <w:p>
      <w:pPr>
        <w:spacing w:after="0" w:line="11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Any forward-looking statements made herein speak only as of the date of this Quarterly Report, and you should not rely on forward-looking statements as predictions of future events. Although we believe that the expectations reflected in the forward-looking statements are reasonable, we cannot guarantee that the future results, performance, or achievements reflected in the forward-looking statements will be achieved or occur. Except as required by applicable law, we undertake no obligation to update any of these forward-looking statements for any reason after the date of this Quarterly Report or to conform these statements to actual results or revised expectations.</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Unless the context otherwise indicates, references in this Quarterly Report to the terms “Ouster,” “the Company,” “we,” “our” and “us” refer to Ouster, Inc.</w:t>
      </w:r>
    </w:p>
    <w:p>
      <w:pPr>
        <w:spacing w:after="0" w:line="18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We may announce material business and financial information to our investors using our investor relations website at https://investors.ouster.com/overview. We therefore encourage investors and others interested in Ouster to review the information that we make available on our website, in addition to following our SEC filings, webcasts, press releases and conference calls. Information contained on our website is not part of this Quarterly Report.</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OUSTER,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2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52,687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50,991</w:t>
            </w: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 current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131,557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139,158</w:t>
            </w:r>
          </w:p>
        </w:tc>
        <w:tc>
          <w:tcPr>
            <w:tcW w:w="0" w:type="dxa"/>
            <w:vAlign w:val="bottom"/>
          </w:tcPr>
          <w:p>
            <w:pPr>
              <w:spacing w:after="0"/>
              <w:rPr>
                <w:sz w:val="1"/>
                <w:szCs w:val="1"/>
                <w:color w:val="auto"/>
              </w:rPr>
            </w:pP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14,577</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23,232</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33,530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34,647</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251,996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263,157</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10,228</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receivable, non-current portion</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10,567</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18,561</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24,436</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309,875</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330,743</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0" w:type="dxa"/>
            <w:vAlign w:val="bottom"/>
          </w:tcPr>
          <w:p>
            <w:pPr>
              <w:spacing w:after="0"/>
              <w:rPr>
                <w:sz w:val="1"/>
                <w:szCs w:val="1"/>
                <w:color w:val="auto"/>
              </w:rPr>
            </w:pP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48,506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58,166</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liabilities, current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12,885</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7,096</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74,071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81,692</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 non-current portion</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18,827</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43,975</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non-current portion</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139,265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151,071</w:t>
            </w:r>
          </w:p>
        </w:tc>
        <w:tc>
          <w:tcPr>
            <w:tcW w:w="0" w:type="dxa"/>
            <w:vAlign w:val="bottom"/>
          </w:tcPr>
          <w:p>
            <w:pPr>
              <w:spacing w:after="0"/>
              <w:rPr>
                <w:sz w:val="1"/>
                <w:szCs w:val="1"/>
                <w:color w:val="auto"/>
              </w:rPr>
            </w:pPr>
          </w:p>
        </w:tc>
      </w:tr>
      <w:tr>
        <w:trPr>
          <w:trHeight w:val="20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$0.0001 par value; 100,000,000 shares authorized at June 30, 2024 and December 31, 2023;</w:t>
            </w:r>
          </w:p>
        </w:tc>
        <w:tc>
          <w:tcPr>
            <w:tcW w:w="2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49"/>
        </w:trPr>
        <w:tc>
          <w:tcPr>
            <w:tcW w:w="82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47,167,305 and 43,257,863 issued and outstanding at June 30, 2024 and December 31, 2023, respectively.</w:t>
            </w:r>
          </w:p>
        </w:tc>
        <w:tc>
          <w:tcPr>
            <w:tcW w:w="280" w:type="dxa"/>
            <w:vAlign w:val="bottom"/>
            <w:shd w:val="clear" w:color="auto" w:fill="CCEEFF"/>
          </w:tcPr>
          <w:p>
            <w:pPr>
              <w:spacing w:after="0"/>
              <w:rPr>
                <w:sz w:val="12"/>
                <w:szCs w:val="12"/>
                <w:color w:val="auto"/>
              </w:rPr>
            </w:pPr>
          </w:p>
        </w:tc>
        <w:tc>
          <w:tcPr>
            <w:tcW w:w="11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8280" w:type="dxa"/>
            <w:vAlign w:val="bottom"/>
            <w:vMerge w:val="continue"/>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1,035,087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995,464</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(863,744)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(816,026)</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170,610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179,672</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309,875</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330,743</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OUSTER,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2200" w:type="dxa"/>
            <w:vAlign w:val="bottom"/>
            <w:gridSpan w:val="4"/>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6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6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36,626</w:t>
            </w:r>
          </w:p>
        </w:tc>
      </w:tr>
      <w:tr>
        <w:trPr>
          <w:trHeight w:val="213"/>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17,892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19,210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36,411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36,816</w:t>
            </w:r>
          </w:p>
        </w:tc>
      </w:tr>
      <w:tr>
        <w:trPr>
          <w:trHeight w:val="212"/>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r>
      <w:tr>
        <w:trPr>
          <w:trHeight w:val="213"/>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58,906</w:t>
            </w:r>
          </w:p>
        </w:tc>
      </w:tr>
      <w:tr>
        <w:trPr>
          <w:trHeight w:val="213"/>
        </w:trPr>
        <w:tc>
          <w:tcPr>
            <w:tcW w:w="6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Sales and marketing</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25,199</w:t>
            </w:r>
          </w:p>
        </w:tc>
      </w:tr>
      <w:tr>
        <w:trPr>
          <w:trHeight w:val="219"/>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49,167</w:t>
            </w:r>
          </w:p>
        </w:tc>
      </w:tr>
      <w:tr>
        <w:trPr>
          <w:trHeight w:val="229"/>
        </w:trPr>
        <w:tc>
          <w:tcPr>
            <w:tcW w:w="6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Goodwill impairment charges</w:t>
            </w: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166,675</w:t>
            </w:r>
          </w:p>
        </w:tc>
      </w:tr>
      <w:tr>
        <w:trPr>
          <w:trHeight w:val="210"/>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34,348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123,221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67,594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299,947</w:t>
            </w:r>
          </w:p>
        </w:tc>
      </w:tr>
      <w:tr>
        <w:trPr>
          <w:trHeight w:val="207"/>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(25,250)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(123,035)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(51,071)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(300,137)</w:t>
            </w:r>
          </w:p>
        </w:tc>
      </w:tr>
      <w:tr>
        <w:trPr>
          <w:trHeight w:val="21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6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 income</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3,964</w:t>
            </w:r>
          </w:p>
        </w:tc>
      </w:tr>
      <w:tr>
        <w:trPr>
          <w:trHeight w:val="219"/>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(3,397)</w:t>
            </w:r>
          </w:p>
        </w:tc>
      </w:tr>
      <w:tr>
        <w:trPr>
          <w:trHeight w:val="213"/>
        </w:trPr>
        <w:tc>
          <w:tcPr>
            <w:tcW w:w="6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(expense) income, net</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212"/>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income, net</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w:t>
            </w:r>
          </w:p>
        </w:tc>
      </w:tr>
      <w:tr>
        <w:trPr>
          <w:trHeight w:val="207"/>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(23,746)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(122,683)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(47,464)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(299,681)</w:t>
            </w:r>
          </w:p>
        </w:tc>
      </w:tr>
      <w:tr>
        <w:trPr>
          <w:trHeight w:val="21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r>
      <w:tr>
        <w:trPr>
          <w:trHeight w:val="207"/>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(23,869)</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(122,733)</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(47,718)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(300,013)</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13"/>
        </w:trPr>
        <w:tc>
          <w:tcPr>
            <w:tcW w:w="6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Changes in unrealized (loss) gain on available for sale securities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9"/>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07"/>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comprehensive loss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(24,207)</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(122,784)</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(48,687)</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(300,094)</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common share, basic and diluted</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w:t>
            </w: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shares used to compute basic and diluted net loss per share</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44,737,769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38,448,241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44,077,383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33,937,505</w:t>
            </w:r>
          </w:p>
        </w:tc>
      </w:tr>
    </w:tbl>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OUSTER,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8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20" w:type="dxa"/>
            <w:vAlign w:val="bottom"/>
            <w:gridSpan w:val="7"/>
            <w:vMerge w:val="restart"/>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07"/>
        </w:trPr>
        <w:tc>
          <w:tcPr>
            <w:tcW w:w="80" w:type="dxa"/>
            <w:vAlign w:val="bottom"/>
          </w:tcPr>
          <w:p>
            <w:pPr>
              <w:spacing w:after="0"/>
              <w:rPr>
                <w:sz w:val="8"/>
                <w:szCs w:val="8"/>
                <w:color w:val="auto"/>
              </w:rPr>
            </w:pPr>
          </w:p>
        </w:tc>
        <w:tc>
          <w:tcPr>
            <w:tcW w:w="4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20" w:type="dxa"/>
            <w:vAlign w:val="bottom"/>
            <w:tcBorders>
              <w:bottom w:val="single" w:sz="8" w:color="auto"/>
            </w:tcBorders>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2"/>
          </w:tcPr>
          <w:p>
            <w:pPr>
              <w:jc w:val="right"/>
              <w:ind w:right="260"/>
              <w:spacing w:after="0" w:line="102" w:lineRule="exact"/>
              <w:rPr>
                <w:sz w:val="20"/>
                <w:szCs w:val="20"/>
                <w:color w:val="auto"/>
              </w:rPr>
            </w:pPr>
            <w:r>
              <w:rPr>
                <w:rFonts w:ascii="Times New Roman" w:cs="Times New Roman" w:eastAsia="Times New Roman" w:hAnsi="Times New Roman"/>
                <w:sz w:val="10"/>
                <w:szCs w:val="10"/>
                <w:b w:val="1"/>
                <w:bCs w:val="1"/>
                <w:color w:val="auto"/>
              </w:rPr>
              <w:t>Paid-in-</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gridSpan w:val="2"/>
          </w:tcPr>
          <w:p>
            <w:pPr>
              <w:jc w:val="right"/>
              <w:ind w:right="180"/>
              <w:spacing w:after="0" w:line="102"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100" w:type="dxa"/>
            <w:vAlign w:val="bottom"/>
          </w:tcPr>
          <w:p>
            <w:pPr>
              <w:spacing w:after="0"/>
              <w:rPr>
                <w:sz w:val="8"/>
                <w:szCs w:val="8"/>
                <w:color w:val="auto"/>
              </w:rPr>
            </w:pPr>
          </w:p>
        </w:tc>
        <w:tc>
          <w:tcPr>
            <w:tcW w:w="1120" w:type="dxa"/>
            <w:vAlign w:val="bottom"/>
            <w:gridSpan w:val="3"/>
          </w:tcPr>
          <w:p>
            <w:pPr>
              <w:jc w:val="right"/>
              <w:ind w:right="60"/>
              <w:spacing w:after="0" w:line="102" w:lineRule="exact"/>
              <w:rPr>
                <w:sz w:val="20"/>
                <w:szCs w:val="20"/>
                <w:color w:val="auto"/>
              </w:rPr>
            </w:pPr>
            <w:r>
              <w:rPr>
                <w:rFonts w:ascii="Times New Roman" w:cs="Times New Roman" w:eastAsia="Times New Roman" w:hAnsi="Times New Roman"/>
                <w:sz w:val="10"/>
                <w:szCs w:val="10"/>
                <w:b w:val="1"/>
                <w:bCs w:val="1"/>
                <w:color w:val="auto"/>
              </w:rPr>
              <w:t>Accumulated other</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gridSpan w:val="2"/>
          </w:tcPr>
          <w:p>
            <w:pPr>
              <w:jc w:val="center"/>
              <w:ind w:right="100"/>
              <w:spacing w:after="0" w:line="102"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0" w:type="dxa"/>
            <w:vAlign w:val="bottom"/>
          </w:tcPr>
          <w:p>
            <w:pPr>
              <w:spacing w:after="0"/>
              <w:rPr>
                <w:sz w:val="1"/>
                <w:szCs w:val="1"/>
                <w:color w:val="auto"/>
              </w:rPr>
            </w:pPr>
          </w:p>
        </w:tc>
      </w:tr>
      <w:tr>
        <w:trPr>
          <w:trHeight w:val="183"/>
        </w:trPr>
        <w:tc>
          <w:tcPr>
            <w:tcW w:w="80" w:type="dxa"/>
            <w:vAlign w:val="bottom"/>
            <w:tcBorders>
              <w:bottom w:val="single" w:sz="8" w:color="CCEEFF"/>
            </w:tcBorders>
          </w:tcPr>
          <w:p>
            <w:pPr>
              <w:spacing w:after="0"/>
              <w:rPr>
                <w:sz w:val="15"/>
                <w:szCs w:val="15"/>
                <w:color w:val="auto"/>
              </w:rPr>
            </w:pPr>
          </w:p>
        </w:tc>
        <w:tc>
          <w:tcPr>
            <w:tcW w:w="46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w w:val="97"/>
              </w:rPr>
              <w:t>comprehensive loss</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76"/>
        </w:trPr>
        <w:tc>
          <w:tcPr>
            <w:tcW w:w="4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 December 31, 2023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43,257,863</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995,464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(816,026)</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192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179,672</w:t>
            </w:r>
          </w:p>
        </w:tc>
        <w:tc>
          <w:tcPr>
            <w:tcW w:w="0" w:type="dxa"/>
            <w:vAlign w:val="bottom"/>
          </w:tcPr>
          <w:p>
            <w:pPr>
              <w:spacing w:after="0"/>
              <w:rPr>
                <w:sz w:val="1"/>
                <w:szCs w:val="1"/>
                <w:color w:val="auto"/>
              </w:rPr>
            </w:pPr>
          </w:p>
        </w:tc>
      </w:tr>
      <w:tr>
        <w:trPr>
          <w:trHeight w:val="170"/>
        </w:trPr>
        <w:tc>
          <w:tcPr>
            <w:tcW w:w="80" w:type="dxa"/>
            <w:vAlign w:val="bottom"/>
          </w:tcPr>
          <w:p>
            <w:pPr>
              <w:spacing w:after="0"/>
              <w:rPr>
                <w:sz w:val="14"/>
                <w:szCs w:val="14"/>
                <w:color w:val="auto"/>
              </w:rPr>
            </w:pPr>
          </w:p>
        </w:tc>
        <w:tc>
          <w:tcPr>
            <w:tcW w:w="46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Issuance of common stock upon exercise of stock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54,374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108</w:t>
            </w:r>
          </w:p>
        </w:tc>
        <w:tc>
          <w:tcPr>
            <w:tcW w:w="0" w:type="dxa"/>
            <w:vAlign w:val="bottom"/>
          </w:tcPr>
          <w:p>
            <w:pPr>
              <w:spacing w:after="0"/>
              <w:rPr>
                <w:sz w:val="1"/>
                <w:szCs w:val="1"/>
                <w:color w:val="auto"/>
              </w:rPr>
            </w:pPr>
          </w:p>
        </w:tc>
      </w:tr>
      <w:tr>
        <w:trPr>
          <w:trHeight w:val="181"/>
        </w:trPr>
        <w:tc>
          <w:tcPr>
            <w:tcW w:w="80" w:type="dxa"/>
            <w:vAlign w:val="bottom"/>
            <w:shd w:val="clear" w:color="auto" w:fill="CCEEFF"/>
          </w:tcPr>
          <w:p>
            <w:pPr>
              <w:spacing w:after="0"/>
              <w:rPr>
                <w:sz w:val="15"/>
                <w:szCs w:val="15"/>
                <w:color w:val="auto"/>
              </w:rPr>
            </w:pPr>
          </w:p>
        </w:tc>
        <w:tc>
          <w:tcPr>
            <w:tcW w:w="4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Issuance of restricted stock awards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533,601</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0"/>
        </w:trPr>
        <w:tc>
          <w:tcPr>
            <w:tcW w:w="80" w:type="dxa"/>
            <w:vAlign w:val="bottom"/>
          </w:tcPr>
          <w:p>
            <w:pPr>
              <w:spacing w:after="0"/>
              <w:rPr>
                <w:sz w:val="14"/>
                <w:szCs w:val="14"/>
                <w:color w:val="auto"/>
              </w:rPr>
            </w:pPr>
          </w:p>
        </w:tc>
        <w:tc>
          <w:tcPr>
            <w:tcW w:w="46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Proceeds from at-the-market offering, net of commissions and fees of $72</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343,571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2,331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2,331</w:t>
            </w:r>
          </w:p>
        </w:tc>
        <w:tc>
          <w:tcPr>
            <w:tcW w:w="0" w:type="dxa"/>
            <w:vAlign w:val="bottom"/>
          </w:tcPr>
          <w:p>
            <w:pPr>
              <w:spacing w:after="0"/>
              <w:rPr>
                <w:sz w:val="1"/>
                <w:szCs w:val="1"/>
                <w:color w:val="auto"/>
              </w:rPr>
            </w:pPr>
          </w:p>
        </w:tc>
      </w:tr>
      <w:tr>
        <w:trPr>
          <w:trHeight w:val="181"/>
        </w:trPr>
        <w:tc>
          <w:tcPr>
            <w:tcW w:w="80" w:type="dxa"/>
            <w:vAlign w:val="bottom"/>
            <w:shd w:val="clear" w:color="auto" w:fill="CCEEFF"/>
          </w:tcPr>
          <w:p>
            <w:pPr>
              <w:spacing w:after="0"/>
              <w:rPr>
                <w:sz w:val="15"/>
                <w:szCs w:val="15"/>
                <w:color w:val="auto"/>
              </w:rPr>
            </w:pPr>
          </w:p>
        </w:tc>
        <w:tc>
          <w:tcPr>
            <w:tcW w:w="4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Issuance of common stock in connection with Velodyne Merger</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29,376</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80" w:type="dxa"/>
            <w:vAlign w:val="bottom"/>
          </w:tcPr>
          <w:p>
            <w:pPr>
              <w:spacing w:after="0"/>
              <w:rPr>
                <w:sz w:val="14"/>
                <w:szCs w:val="14"/>
                <w:color w:val="auto"/>
              </w:rPr>
            </w:pPr>
          </w:p>
        </w:tc>
        <w:tc>
          <w:tcPr>
            <w:tcW w:w="46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Issuance of common stock upon vesting of restricted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759,919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81"/>
        </w:trPr>
        <w:tc>
          <w:tcPr>
            <w:tcW w:w="80" w:type="dxa"/>
            <w:vAlign w:val="bottom"/>
            <w:shd w:val="clear" w:color="auto" w:fill="CCEEFF"/>
          </w:tcPr>
          <w:p>
            <w:pPr>
              <w:spacing w:after="0"/>
              <w:rPr>
                <w:sz w:val="15"/>
                <w:szCs w:val="15"/>
                <w:color w:val="auto"/>
              </w:rPr>
            </w:pPr>
          </w:p>
        </w:tc>
        <w:tc>
          <w:tcPr>
            <w:tcW w:w="4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Common stock warrants issuable to customer</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195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195</w:t>
            </w: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46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9,404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9,404</w:t>
            </w:r>
          </w:p>
        </w:tc>
        <w:tc>
          <w:tcPr>
            <w:tcW w:w="0" w:type="dxa"/>
            <w:vAlign w:val="bottom"/>
          </w:tcPr>
          <w:p>
            <w:pPr>
              <w:spacing w:after="0"/>
              <w:rPr>
                <w:sz w:val="1"/>
                <w:szCs w:val="1"/>
                <w:color w:val="auto"/>
              </w:rPr>
            </w:pPr>
          </w:p>
        </w:tc>
      </w:tr>
      <w:tr>
        <w:trPr>
          <w:trHeight w:val="183"/>
        </w:trPr>
        <w:tc>
          <w:tcPr>
            <w:tcW w:w="80" w:type="dxa"/>
            <w:vAlign w:val="bottom"/>
            <w:shd w:val="clear" w:color="auto" w:fill="CCEEFF"/>
          </w:tcPr>
          <w:p>
            <w:pPr>
              <w:spacing w:after="0"/>
              <w:rPr>
                <w:sz w:val="15"/>
                <w:szCs w:val="15"/>
                <w:color w:val="auto"/>
              </w:rPr>
            </w:pPr>
          </w:p>
        </w:tc>
        <w:tc>
          <w:tcPr>
            <w:tcW w:w="4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loss</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(23,849)</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(23,849)</w:t>
            </w:r>
          </w:p>
        </w:tc>
        <w:tc>
          <w:tcPr>
            <w:tcW w:w="0" w:type="dxa"/>
            <w:vAlign w:val="bottom"/>
          </w:tcPr>
          <w:p>
            <w:pPr>
              <w:spacing w:after="0"/>
              <w:rPr>
                <w:sz w:val="1"/>
                <w:szCs w:val="1"/>
                <w:color w:val="auto"/>
              </w:rPr>
            </w:pPr>
          </w:p>
        </w:tc>
      </w:tr>
      <w:tr>
        <w:trPr>
          <w:trHeight w:val="170"/>
        </w:trPr>
        <w:tc>
          <w:tcPr>
            <w:tcW w:w="80" w:type="dxa"/>
            <w:vAlign w:val="bottom"/>
            <w:tcBorders>
              <w:bottom w:val="single" w:sz="8" w:color="CCEEFF"/>
            </w:tcBorders>
          </w:tcPr>
          <w:p>
            <w:pPr>
              <w:spacing w:after="0"/>
              <w:rPr>
                <w:sz w:val="14"/>
                <w:szCs w:val="14"/>
                <w:color w:val="auto"/>
              </w:rPr>
            </w:pPr>
          </w:p>
        </w:tc>
        <w:tc>
          <w:tcPr>
            <w:tcW w:w="46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3"/>
                <w:szCs w:val="13"/>
                <w:color w:val="auto"/>
              </w:rPr>
              <w:t>Other Comprehensive loss</w:t>
            </w:r>
          </w:p>
        </w:tc>
        <w:tc>
          <w:tcPr>
            <w:tcW w:w="9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(631)</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(631)</w:t>
            </w:r>
          </w:p>
        </w:tc>
        <w:tc>
          <w:tcPr>
            <w:tcW w:w="0" w:type="dxa"/>
            <w:vAlign w:val="bottom"/>
          </w:tcPr>
          <w:p>
            <w:pPr>
              <w:spacing w:after="0"/>
              <w:rPr>
                <w:sz w:val="1"/>
                <w:szCs w:val="1"/>
                <w:color w:val="auto"/>
              </w:rPr>
            </w:pPr>
          </w:p>
        </w:tc>
      </w:tr>
      <w:tr>
        <w:trPr>
          <w:trHeight w:val="175"/>
        </w:trPr>
        <w:tc>
          <w:tcPr>
            <w:tcW w:w="4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 March 31, 2024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44,978,704</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1,007,502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(839,875)</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(439)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167,232</w:t>
            </w:r>
          </w:p>
        </w:tc>
        <w:tc>
          <w:tcPr>
            <w:tcW w:w="0" w:type="dxa"/>
            <w:vAlign w:val="bottom"/>
          </w:tcPr>
          <w:p>
            <w:pPr>
              <w:spacing w:after="0"/>
              <w:rPr>
                <w:sz w:val="1"/>
                <w:szCs w:val="1"/>
                <w:color w:val="auto"/>
              </w:rPr>
            </w:pPr>
          </w:p>
        </w:tc>
      </w:tr>
      <w:tr>
        <w:trPr>
          <w:trHeight w:val="170"/>
        </w:trPr>
        <w:tc>
          <w:tcPr>
            <w:tcW w:w="80" w:type="dxa"/>
            <w:vAlign w:val="bottom"/>
          </w:tcPr>
          <w:p>
            <w:pPr>
              <w:spacing w:after="0"/>
              <w:rPr>
                <w:sz w:val="14"/>
                <w:szCs w:val="14"/>
                <w:color w:val="auto"/>
              </w:rPr>
            </w:pPr>
          </w:p>
        </w:tc>
        <w:tc>
          <w:tcPr>
            <w:tcW w:w="46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Issuance of common stock upon exercise of stock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22,486</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181"/>
        </w:trPr>
        <w:tc>
          <w:tcPr>
            <w:tcW w:w="80" w:type="dxa"/>
            <w:vAlign w:val="bottom"/>
            <w:shd w:val="clear" w:color="auto" w:fill="CCEEFF"/>
          </w:tcPr>
          <w:p>
            <w:pPr>
              <w:spacing w:after="0"/>
              <w:rPr>
                <w:sz w:val="15"/>
                <w:szCs w:val="15"/>
                <w:color w:val="auto"/>
              </w:rPr>
            </w:pPr>
          </w:p>
        </w:tc>
        <w:tc>
          <w:tcPr>
            <w:tcW w:w="4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Proceeds from at-the-market offering, net of commissions and fees of $492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1,489,300</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15,774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15,774</w:t>
            </w:r>
          </w:p>
        </w:tc>
        <w:tc>
          <w:tcPr>
            <w:tcW w:w="0" w:type="dxa"/>
            <w:vAlign w:val="bottom"/>
          </w:tcPr>
          <w:p>
            <w:pPr>
              <w:spacing w:after="0"/>
              <w:rPr>
                <w:sz w:val="1"/>
                <w:szCs w:val="1"/>
                <w:color w:val="auto"/>
              </w:rPr>
            </w:pPr>
          </w:p>
        </w:tc>
      </w:tr>
      <w:tr>
        <w:trPr>
          <w:trHeight w:val="170"/>
        </w:trPr>
        <w:tc>
          <w:tcPr>
            <w:tcW w:w="80" w:type="dxa"/>
            <w:vAlign w:val="bottom"/>
          </w:tcPr>
          <w:p>
            <w:pPr>
              <w:spacing w:after="0"/>
              <w:rPr>
                <w:sz w:val="14"/>
                <w:szCs w:val="14"/>
                <w:color w:val="auto"/>
              </w:rPr>
            </w:pPr>
          </w:p>
        </w:tc>
        <w:tc>
          <w:tcPr>
            <w:tcW w:w="46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Issuance of common stock in connection with Velodyne Merger</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181,840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80" w:type="dxa"/>
            <w:vAlign w:val="bottom"/>
            <w:shd w:val="clear" w:color="auto" w:fill="CCEEFF"/>
          </w:tcPr>
          <w:p>
            <w:pPr>
              <w:spacing w:after="0"/>
              <w:rPr>
                <w:sz w:val="15"/>
                <w:szCs w:val="15"/>
                <w:color w:val="auto"/>
              </w:rPr>
            </w:pPr>
          </w:p>
        </w:tc>
        <w:tc>
          <w:tcPr>
            <w:tcW w:w="4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Issuance of common stock upon vesting of restricted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310,896</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80" w:type="dxa"/>
            <w:vAlign w:val="bottom"/>
          </w:tcPr>
          <w:p>
            <w:pPr>
              <w:spacing w:after="0"/>
              <w:rPr>
                <w:sz w:val="14"/>
                <w:szCs w:val="14"/>
                <w:color w:val="auto"/>
              </w:rPr>
            </w:pPr>
          </w:p>
        </w:tc>
        <w:tc>
          <w:tcPr>
            <w:tcW w:w="46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Issuance of common stock to employees under employee stock purchase plan</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184,079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781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781</w:t>
            </w:r>
          </w:p>
        </w:tc>
        <w:tc>
          <w:tcPr>
            <w:tcW w:w="0" w:type="dxa"/>
            <w:vAlign w:val="bottom"/>
          </w:tcPr>
          <w:p>
            <w:pPr>
              <w:spacing w:after="0"/>
              <w:rPr>
                <w:sz w:val="1"/>
                <w:szCs w:val="1"/>
                <w:color w:val="auto"/>
              </w:rPr>
            </w:pPr>
          </w:p>
        </w:tc>
      </w:tr>
      <w:tr>
        <w:trPr>
          <w:trHeight w:val="181"/>
        </w:trPr>
        <w:tc>
          <w:tcPr>
            <w:tcW w:w="80" w:type="dxa"/>
            <w:vAlign w:val="bottom"/>
            <w:shd w:val="clear" w:color="auto" w:fill="CCEEFF"/>
          </w:tcPr>
          <w:p>
            <w:pPr>
              <w:spacing w:after="0"/>
              <w:rPr>
                <w:sz w:val="15"/>
                <w:szCs w:val="15"/>
                <w:color w:val="auto"/>
              </w:rPr>
            </w:pPr>
          </w:p>
        </w:tc>
        <w:tc>
          <w:tcPr>
            <w:tcW w:w="4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Common stock warrants issuable to customer</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293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293</w:t>
            </w:r>
          </w:p>
        </w:tc>
        <w:tc>
          <w:tcPr>
            <w:tcW w:w="0" w:type="dxa"/>
            <w:vAlign w:val="bottom"/>
          </w:tcPr>
          <w:p>
            <w:pPr>
              <w:spacing w:after="0"/>
              <w:rPr>
                <w:sz w:val="1"/>
                <w:szCs w:val="1"/>
                <w:color w:val="auto"/>
              </w:rPr>
            </w:pPr>
          </w:p>
        </w:tc>
      </w:tr>
      <w:tr>
        <w:trPr>
          <w:trHeight w:val="170"/>
        </w:trPr>
        <w:tc>
          <w:tcPr>
            <w:tcW w:w="80" w:type="dxa"/>
            <w:vAlign w:val="bottom"/>
          </w:tcPr>
          <w:p>
            <w:pPr>
              <w:spacing w:after="0"/>
              <w:rPr>
                <w:sz w:val="14"/>
                <w:szCs w:val="14"/>
                <w:color w:val="auto"/>
              </w:rPr>
            </w:pPr>
          </w:p>
        </w:tc>
        <w:tc>
          <w:tcPr>
            <w:tcW w:w="46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10,695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10,695</w:t>
            </w:r>
          </w:p>
        </w:tc>
        <w:tc>
          <w:tcPr>
            <w:tcW w:w="0" w:type="dxa"/>
            <w:vAlign w:val="bottom"/>
          </w:tcPr>
          <w:p>
            <w:pPr>
              <w:spacing w:after="0"/>
              <w:rPr>
                <w:sz w:val="1"/>
                <w:szCs w:val="1"/>
                <w:color w:val="auto"/>
              </w:rPr>
            </w:pPr>
          </w:p>
        </w:tc>
      </w:tr>
      <w:tr>
        <w:trPr>
          <w:trHeight w:val="181"/>
        </w:trPr>
        <w:tc>
          <w:tcPr>
            <w:tcW w:w="80" w:type="dxa"/>
            <w:vAlign w:val="bottom"/>
            <w:shd w:val="clear" w:color="auto" w:fill="CCEEFF"/>
          </w:tcPr>
          <w:p>
            <w:pPr>
              <w:spacing w:after="0"/>
              <w:rPr>
                <w:sz w:val="15"/>
                <w:szCs w:val="15"/>
                <w:color w:val="auto"/>
              </w:rPr>
            </w:pPr>
          </w:p>
        </w:tc>
        <w:tc>
          <w:tcPr>
            <w:tcW w:w="4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loss</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(23,869)</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(23,869)</w:t>
            </w:r>
          </w:p>
        </w:tc>
        <w:tc>
          <w:tcPr>
            <w:tcW w:w="0" w:type="dxa"/>
            <w:vAlign w:val="bottom"/>
          </w:tcPr>
          <w:p>
            <w:pPr>
              <w:spacing w:after="0"/>
              <w:rPr>
                <w:sz w:val="1"/>
                <w:szCs w:val="1"/>
                <w:color w:val="auto"/>
              </w:rPr>
            </w:pPr>
          </w:p>
        </w:tc>
      </w:tr>
      <w:tr>
        <w:trPr>
          <w:trHeight w:val="170"/>
        </w:trPr>
        <w:tc>
          <w:tcPr>
            <w:tcW w:w="80" w:type="dxa"/>
            <w:vAlign w:val="bottom"/>
            <w:tcBorders>
              <w:bottom w:val="single" w:sz="8" w:color="CCEEFF"/>
            </w:tcBorders>
          </w:tcPr>
          <w:p>
            <w:pPr>
              <w:spacing w:after="0"/>
              <w:rPr>
                <w:sz w:val="14"/>
                <w:szCs w:val="14"/>
                <w:color w:val="auto"/>
              </w:rPr>
            </w:pPr>
          </w:p>
        </w:tc>
        <w:tc>
          <w:tcPr>
            <w:tcW w:w="46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3"/>
                <w:szCs w:val="13"/>
                <w:color w:val="auto"/>
              </w:rPr>
              <w:t>Other Comprehensive loss</w:t>
            </w:r>
          </w:p>
        </w:tc>
        <w:tc>
          <w:tcPr>
            <w:tcW w:w="9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(338)</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(338)</w:t>
            </w:r>
          </w:p>
        </w:tc>
        <w:tc>
          <w:tcPr>
            <w:tcW w:w="0" w:type="dxa"/>
            <w:vAlign w:val="bottom"/>
          </w:tcPr>
          <w:p>
            <w:pPr>
              <w:spacing w:after="0"/>
              <w:rPr>
                <w:sz w:val="1"/>
                <w:szCs w:val="1"/>
                <w:color w:val="auto"/>
              </w:rPr>
            </w:pPr>
          </w:p>
        </w:tc>
      </w:tr>
      <w:tr>
        <w:trPr>
          <w:trHeight w:val="194"/>
        </w:trPr>
        <w:tc>
          <w:tcPr>
            <w:tcW w:w="47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 June 30, 2024</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47,167,305</w:t>
            </w:r>
          </w:p>
        </w:tc>
        <w:tc>
          <w:tcPr>
            <w:tcW w:w="4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1,035,087</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(863,744)</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(777)</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170,610</w:t>
            </w: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gridSpan w:val="6"/>
            <w:vMerge w:val="restart"/>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vMerge w:val="restart"/>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01"/>
        </w:trPr>
        <w:tc>
          <w:tcPr>
            <w:tcW w:w="80" w:type="dxa"/>
            <w:vAlign w:val="bottom"/>
          </w:tcPr>
          <w:p>
            <w:pPr>
              <w:spacing w:after="0"/>
              <w:rPr>
                <w:sz w:val="8"/>
                <w:szCs w:val="8"/>
                <w:color w:val="auto"/>
              </w:rPr>
            </w:pPr>
          </w:p>
        </w:tc>
        <w:tc>
          <w:tcPr>
            <w:tcW w:w="464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gridSpan w:val="6"/>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2"/>
          </w:tcPr>
          <w:p>
            <w:pPr>
              <w:ind w:left="100"/>
              <w:spacing w:after="0" w:line="102" w:lineRule="exact"/>
              <w:rPr>
                <w:sz w:val="20"/>
                <w:szCs w:val="20"/>
                <w:color w:val="auto"/>
              </w:rPr>
            </w:pPr>
            <w:r>
              <w:rPr>
                <w:rFonts w:ascii="Times New Roman" w:cs="Times New Roman" w:eastAsia="Times New Roman" w:hAnsi="Times New Roman"/>
                <w:sz w:val="10"/>
                <w:szCs w:val="10"/>
                <w:b w:val="1"/>
                <w:bCs w:val="1"/>
                <w:color w:val="auto"/>
              </w:rPr>
              <w:t>Paid-in-</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gridSpan w:val="2"/>
          </w:tcPr>
          <w:p>
            <w:pPr>
              <w:jc w:val="right"/>
              <w:ind w:right="260"/>
              <w:spacing w:after="0" w:line="102"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1220" w:type="dxa"/>
            <w:vAlign w:val="bottom"/>
            <w:gridSpan w:val="4"/>
          </w:tcPr>
          <w:p>
            <w:pPr>
              <w:jc w:val="right"/>
              <w:ind w:right="140"/>
              <w:spacing w:after="0" w:line="102" w:lineRule="exact"/>
              <w:rPr>
                <w:sz w:val="20"/>
                <w:szCs w:val="20"/>
                <w:color w:val="auto"/>
              </w:rPr>
            </w:pPr>
            <w:r>
              <w:rPr>
                <w:rFonts w:ascii="Times New Roman" w:cs="Times New Roman" w:eastAsia="Times New Roman" w:hAnsi="Times New Roman"/>
                <w:sz w:val="10"/>
                <w:szCs w:val="10"/>
                <w:b w:val="1"/>
                <w:bCs w:val="1"/>
                <w:color w:val="auto"/>
              </w:rPr>
              <w:t>Accumulated other</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gridSpan w:val="2"/>
          </w:tcPr>
          <w:p>
            <w:pPr>
              <w:jc w:val="center"/>
              <w:ind w:right="260"/>
              <w:spacing w:after="0" w:line="102"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9"/>
              </w:rPr>
              <w:t>comprehensive loss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 December 31, 2022</w:t>
            </w:r>
          </w:p>
        </w:tc>
        <w:tc>
          <w:tcPr>
            <w:tcW w:w="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18,658,799</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613,665</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(441,916)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171,619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0" w:type="dxa"/>
            <w:vAlign w:val="bottom"/>
          </w:tcPr>
          <w:p>
            <w:pPr>
              <w:spacing w:after="0"/>
              <w:rPr>
                <w:sz w:val="14"/>
                <w:szCs w:val="14"/>
                <w:color w:val="auto"/>
              </w:rPr>
            </w:pPr>
          </w:p>
        </w:tc>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Issuance of common stock upon Velodyne Merger</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19,483,269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306,582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306,602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4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Issuance of common stock upon exercise of stock options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10,007</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80" w:type="dxa"/>
            <w:vAlign w:val="bottom"/>
          </w:tcPr>
          <w:p>
            <w:pPr>
              <w:spacing w:after="0"/>
              <w:rPr>
                <w:sz w:val="14"/>
                <w:szCs w:val="14"/>
                <w:color w:val="auto"/>
              </w:rPr>
            </w:pPr>
          </w:p>
        </w:tc>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Issuance of common stock upon vesting of restricted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568,675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4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(3,753)</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80" w:type="dxa"/>
            <w:vAlign w:val="bottom"/>
          </w:tcPr>
          <w:p>
            <w:pPr>
              <w:spacing w:after="0"/>
              <w:rPr>
                <w:sz w:val="14"/>
                <w:szCs w:val="14"/>
                <w:color w:val="auto"/>
              </w:rPr>
            </w:pPr>
          </w:p>
        </w:tc>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21,780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21,780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4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Vesting of early exercised stock options</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0" w:type="dxa"/>
            <w:vAlign w:val="bottom"/>
          </w:tcPr>
          <w:p>
            <w:pPr>
              <w:spacing w:after="0"/>
              <w:rPr>
                <w:sz w:val="14"/>
                <w:szCs w:val="14"/>
                <w:color w:val="auto"/>
              </w:rPr>
            </w:pPr>
          </w:p>
        </w:tc>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Net loss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(177,280)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(177,280)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4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Comprehensive loss</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80" w:type="dxa"/>
            <w:vAlign w:val="bottom"/>
          </w:tcPr>
          <w:p>
            <w:pPr>
              <w:spacing w:after="0"/>
              <w:rPr>
                <w:sz w:val="14"/>
                <w:szCs w:val="14"/>
                <w:color w:val="auto"/>
              </w:rPr>
            </w:pPr>
          </w:p>
        </w:tc>
        <w:tc>
          <w:tcPr>
            <w:tcW w:w="464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Balance — March 31, 2023</w:t>
            </w:r>
          </w:p>
        </w:tc>
        <w:tc>
          <w:tcPr>
            <w:tcW w:w="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38,716,997</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942,072</w:t>
            </w: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(619,196)</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322,736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4660" w:type="dxa"/>
            <w:vAlign w:val="bottom"/>
            <w:gridSpan w:val="2"/>
            <w:shd w:val="clear" w:color="auto" w:fill="CCEEFF"/>
          </w:tcPr>
          <w:p>
            <w:pPr>
              <w:ind w:left="180"/>
              <w:spacing w:after="0" w:line="128" w:lineRule="exact"/>
              <w:rPr>
                <w:sz w:val="20"/>
                <w:szCs w:val="20"/>
                <w:color w:val="auto"/>
              </w:rPr>
            </w:pPr>
            <w:r>
              <w:rPr>
                <w:rFonts w:ascii="Times New Roman" w:cs="Times New Roman" w:eastAsia="Times New Roman" w:hAnsi="Times New Roman"/>
                <w:sz w:val="13"/>
                <w:szCs w:val="13"/>
                <w:color w:val="auto"/>
              </w:rPr>
              <w:t>Common Stock adjustment reflected as a result of the one-for-10 reverse stock split</w:t>
            </w:r>
          </w:p>
        </w:tc>
        <w:tc>
          <w:tcPr>
            <w:tcW w:w="9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4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effectuated on April 6, 2023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85,893</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80" w:type="dxa"/>
            <w:vAlign w:val="bottom"/>
          </w:tcPr>
          <w:p>
            <w:pPr>
              <w:spacing w:after="0"/>
              <w:rPr>
                <w:sz w:val="14"/>
                <w:szCs w:val="14"/>
                <w:color w:val="auto"/>
              </w:rPr>
            </w:pPr>
          </w:p>
        </w:tc>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Issuance of common stock upon exercise of stock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69,080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4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Issuance of common stock upon vesting of restricted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385,865</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80" w:type="dxa"/>
            <w:vAlign w:val="bottom"/>
          </w:tcPr>
          <w:p>
            <w:pPr>
              <w:spacing w:after="0"/>
              <w:rPr>
                <w:sz w:val="14"/>
                <w:szCs w:val="14"/>
                <w:color w:val="auto"/>
              </w:rPr>
            </w:pPr>
          </w:p>
        </w:tc>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Issuance of common stock to employees under employee stock purchase plan</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62,880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4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Common stock warrants issuable to customer</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0" w:type="dxa"/>
            <w:vAlign w:val="bottom"/>
          </w:tcPr>
          <w:p>
            <w:pPr>
              <w:spacing w:after="0"/>
              <w:rPr>
                <w:sz w:val="14"/>
                <w:szCs w:val="14"/>
                <w:color w:val="auto"/>
              </w:rPr>
            </w:pPr>
          </w:p>
        </w:tc>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Vesting of early exercised stock options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4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16,466</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16,466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0" w:type="dxa"/>
            <w:vAlign w:val="bottom"/>
          </w:tcPr>
          <w:p>
            <w:pPr>
              <w:spacing w:after="0"/>
              <w:rPr>
                <w:sz w:val="14"/>
                <w:szCs w:val="14"/>
                <w:color w:val="auto"/>
              </w:rPr>
            </w:pPr>
          </w:p>
        </w:tc>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Net loss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(122,733)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(122,733)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4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Comprehensive loss</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80" w:type="dxa"/>
            <w:vAlign w:val="bottom"/>
          </w:tcPr>
          <w:p>
            <w:pPr>
              <w:spacing w:after="0"/>
              <w:rPr>
                <w:sz w:val="14"/>
                <w:szCs w:val="14"/>
                <w:color w:val="auto"/>
              </w:rPr>
            </w:pPr>
          </w:p>
        </w:tc>
        <w:tc>
          <w:tcPr>
            <w:tcW w:w="464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Balance — June 30, 2023</w:t>
            </w:r>
          </w:p>
        </w:tc>
        <w:tc>
          <w:tcPr>
            <w:tcW w:w="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39,320,715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gridSpan w:val="2"/>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959,111</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(741,929)</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216,991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OUSTER,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4"/>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8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85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8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loss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(47,718)</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(300,013)</w:t>
            </w:r>
          </w:p>
        </w:tc>
      </w:tr>
      <w:tr>
        <w:trPr>
          <w:trHeight w:val="219"/>
        </w:trPr>
        <w:tc>
          <w:tcPr>
            <w:tcW w:w="8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5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Goodwill impairment charges</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166,675</w:t>
            </w:r>
          </w:p>
        </w:tc>
      </w:tr>
      <w:tr>
        <w:trPr>
          <w:trHeight w:val="219"/>
        </w:trPr>
        <w:tc>
          <w:tcPr>
            <w:tcW w:w="8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10,605</w:t>
            </w:r>
          </w:p>
        </w:tc>
      </w:tr>
      <w:tr>
        <w:trPr>
          <w:trHeight w:val="213"/>
        </w:trPr>
        <w:tc>
          <w:tcPr>
            <w:tcW w:w="85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Loss on write-off of construction in progress and right-of-use asset impairment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1,423</w:t>
            </w:r>
          </w:p>
        </w:tc>
      </w:tr>
      <w:tr>
        <w:trPr>
          <w:trHeight w:val="219"/>
        </w:trPr>
        <w:tc>
          <w:tcPr>
            <w:tcW w:w="8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Stock-based compensation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38,246</w:t>
            </w:r>
          </w:p>
        </w:tc>
      </w:tr>
      <w:tr>
        <w:trPr>
          <w:trHeight w:val="213"/>
        </w:trPr>
        <w:tc>
          <w:tcPr>
            <w:tcW w:w="85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Reduction of revenue related to stock warrant issued to customer</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19"/>
        </w:trPr>
        <w:tc>
          <w:tcPr>
            <w:tcW w:w="8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Amortization of right-of-use asset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2,012</w:t>
            </w:r>
          </w:p>
        </w:tc>
      </w:tr>
      <w:tr>
        <w:trPr>
          <w:trHeight w:val="213"/>
        </w:trPr>
        <w:tc>
          <w:tcPr>
            <w:tcW w:w="85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w:t>
            </w:r>
          </w:p>
        </w:tc>
      </w:tr>
      <w:tr>
        <w:trPr>
          <w:trHeight w:val="219"/>
        </w:trPr>
        <w:tc>
          <w:tcPr>
            <w:tcW w:w="8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Amortization of debt issuance costs and debt discount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13"/>
        </w:trPr>
        <w:tc>
          <w:tcPr>
            <w:tcW w:w="85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Accretion or amortization on short-term investments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(2,097)</w:t>
            </w:r>
          </w:p>
        </w:tc>
      </w:tr>
      <w:tr>
        <w:trPr>
          <w:trHeight w:val="219"/>
        </w:trPr>
        <w:tc>
          <w:tcPr>
            <w:tcW w:w="8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r>
      <w:tr>
        <w:trPr>
          <w:trHeight w:val="213"/>
        </w:trPr>
        <w:tc>
          <w:tcPr>
            <w:tcW w:w="85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Inventory write down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5,065</w:t>
            </w:r>
          </w:p>
        </w:tc>
      </w:tr>
      <w:tr>
        <w:trPr>
          <w:trHeight w:val="219"/>
        </w:trPr>
        <w:tc>
          <w:tcPr>
            <w:tcW w:w="8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Provision (recovery of) for doubtful accounts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w:t>
            </w:r>
          </w:p>
        </w:tc>
      </w:tr>
      <w:tr>
        <w:trPr>
          <w:trHeight w:val="213"/>
        </w:trPr>
        <w:tc>
          <w:tcPr>
            <w:tcW w:w="85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Gain from disposal of property and equipment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r>
      <w:tr>
        <w:trPr>
          <w:trHeight w:val="219"/>
        </w:trPr>
        <w:tc>
          <w:tcPr>
            <w:tcW w:w="8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Realized gain on available for sale securities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5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850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3,420</w:t>
            </w:r>
          </w:p>
        </w:tc>
      </w:tr>
      <w:tr>
        <w:trPr>
          <w:trHeight w:val="213"/>
        </w:trPr>
        <w:tc>
          <w:tcPr>
            <w:tcW w:w="850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Inventory</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(3,644)</w:t>
            </w:r>
          </w:p>
        </w:tc>
      </w:tr>
      <w:tr>
        <w:trPr>
          <w:trHeight w:val="219"/>
        </w:trPr>
        <w:tc>
          <w:tcPr>
            <w:tcW w:w="850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w:t>
            </w:r>
          </w:p>
        </w:tc>
      </w:tr>
      <w:tr>
        <w:trPr>
          <w:trHeight w:val="213"/>
        </w:trPr>
        <w:tc>
          <w:tcPr>
            <w:tcW w:w="850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(1,741)</w:t>
            </w:r>
          </w:p>
        </w:tc>
      </w:tr>
      <w:tr>
        <w:trPr>
          <w:trHeight w:val="219"/>
        </w:trPr>
        <w:tc>
          <w:tcPr>
            <w:tcW w:w="850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Accrued and other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(4,779)</w:t>
            </w:r>
          </w:p>
        </w:tc>
      </w:tr>
      <w:tr>
        <w:trPr>
          <w:trHeight w:val="213"/>
        </w:trPr>
        <w:tc>
          <w:tcPr>
            <w:tcW w:w="850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Contract liabilities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w:t>
            </w:r>
          </w:p>
        </w:tc>
      </w:tr>
      <w:tr>
        <w:trPr>
          <w:trHeight w:val="219"/>
        </w:trPr>
        <w:tc>
          <w:tcPr>
            <w:tcW w:w="850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(2,525)</w:t>
            </w:r>
          </w:p>
        </w:tc>
      </w:tr>
      <w:tr>
        <w:trPr>
          <w:trHeight w:val="207"/>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(27,366)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(86,478)</w:t>
            </w:r>
          </w:p>
        </w:tc>
      </w:tr>
      <w:tr>
        <w:trPr>
          <w:trHeight w:val="19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8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w:t>
            </w:r>
          </w:p>
        </w:tc>
      </w:tr>
      <w:tr>
        <w:trPr>
          <w:trHeight w:val="219"/>
        </w:trPr>
        <w:tc>
          <w:tcPr>
            <w:tcW w:w="8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(1,973)</w:t>
            </w:r>
          </w:p>
        </w:tc>
      </w:tr>
      <w:tr>
        <w:trPr>
          <w:trHeight w:val="213"/>
        </w:trPr>
        <w:tc>
          <w:tcPr>
            <w:tcW w:w="8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Purchase of short-term investments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(48,554)</w:t>
            </w:r>
          </w:p>
        </w:tc>
      </w:tr>
      <w:tr>
        <w:trPr>
          <w:trHeight w:val="219"/>
        </w:trPr>
        <w:tc>
          <w:tcPr>
            <w:tcW w:w="8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sales of short-term investments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72,481</w:t>
            </w:r>
          </w:p>
        </w:tc>
      </w:tr>
      <w:tr>
        <w:trPr>
          <w:trHeight w:val="213"/>
        </w:trPr>
        <w:tc>
          <w:tcPr>
            <w:tcW w:w="8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Cash and cash equivalents acquired in the Velodyne Merger</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32,137</w:t>
            </w:r>
          </w:p>
        </w:tc>
      </w:tr>
      <w:tr>
        <w:trPr>
          <w:trHeight w:val="212"/>
        </w:trPr>
        <w:tc>
          <w:tcPr>
            <w:tcW w:w="8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9,069</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54,651</w:t>
            </w:r>
          </w:p>
        </w:tc>
      </w:tr>
      <w:tr>
        <w:trPr>
          <w:trHeight w:val="194"/>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8"/>
        </w:trPr>
        <w:tc>
          <w:tcPr>
            <w:tcW w:w="8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ESPP purchase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r>
      <w:tr>
        <w:trPr>
          <w:trHeight w:val="213"/>
        </w:trPr>
        <w:tc>
          <w:tcPr>
            <w:tcW w:w="8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19"/>
        </w:trPr>
        <w:tc>
          <w:tcPr>
            <w:tcW w:w="8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the issuance of common stock under at-the-market offering, net of commissions and fees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5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At-the-market offering costs for the issuance of common stock</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20,335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r>
      <w:tr>
        <w:trPr>
          <w:trHeight w:val="207"/>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rates on cash and cash equivalents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12"/>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(31,423)</w:t>
            </w:r>
          </w:p>
        </w:tc>
      </w:tr>
      <w:tr>
        <w:trPr>
          <w:trHeight w:val="213"/>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52,634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124,278</w:t>
            </w:r>
          </w:p>
        </w:tc>
      </w:tr>
      <w:tr>
        <w:trPr>
          <w:trHeight w:val="234"/>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54,205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92,855</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OUSTER,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00" w:type="dxa"/>
            <w:vAlign w:val="bottom"/>
          </w:tcPr>
          <w:p>
            <w:pPr>
              <w:spacing w:after="0"/>
              <w:rPr>
                <w:sz w:val="16"/>
                <w:szCs w:val="16"/>
                <w:color w:val="auto"/>
              </w:rPr>
            </w:pPr>
          </w:p>
        </w:tc>
        <w:tc>
          <w:tcPr>
            <w:tcW w:w="2740" w:type="dxa"/>
            <w:vAlign w:val="bottom"/>
            <w:gridSpan w:val="5"/>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85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5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2"/>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OPERATING ACTIVITIES:</w:t>
            </w: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5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Cash paid for interest</w:t>
            </w:r>
          </w:p>
        </w:tc>
        <w:tc>
          <w:tcPr>
            <w:tcW w:w="84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2,832</w:t>
            </w:r>
          </w:p>
        </w:tc>
        <w:tc>
          <w:tcPr>
            <w:tcW w:w="0" w:type="dxa"/>
            <w:vAlign w:val="bottom"/>
          </w:tcPr>
          <w:p>
            <w:pPr>
              <w:spacing w:after="0"/>
              <w:rPr>
                <w:sz w:val="1"/>
                <w:szCs w:val="1"/>
                <w:color w:val="auto"/>
              </w:rPr>
            </w:pPr>
          </w:p>
        </w:tc>
      </w:tr>
      <w:tr>
        <w:trPr>
          <w:trHeight w:val="20"/>
        </w:trPr>
        <w:tc>
          <w:tcPr>
            <w:tcW w:w="85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50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b w:val="1"/>
                <w:bCs w:val="1"/>
                <w:color w:val="auto"/>
              </w:rPr>
              <w:t>SUPPLEMENTAL DISCLOSURES OF NON-CASH INVESTING AND FINANCING INFORMATION:</w:t>
            </w:r>
          </w:p>
        </w:tc>
        <w:tc>
          <w:tcPr>
            <w:tcW w:w="8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6"/>
                <w:szCs w:val="16"/>
                <w:color w:val="auto"/>
              </w:rPr>
              <w:t>Property and equipment purchases included in accounts payable and accrued liabilities</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500" w:type="dxa"/>
            <w:vAlign w:val="bottom"/>
            <w:vMerge w:val="continue"/>
          </w:tcPr>
          <w:p>
            <w:pPr>
              <w:spacing w:after="0"/>
              <w:rPr>
                <w:sz w:val="16"/>
                <w:szCs w:val="16"/>
                <w:color w:val="auto"/>
              </w:rPr>
            </w:pPr>
          </w:p>
        </w:tc>
        <w:tc>
          <w:tcPr>
            <w:tcW w:w="84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0" w:type="dxa"/>
            <w:vAlign w:val="bottom"/>
          </w:tcPr>
          <w:p>
            <w:pPr>
              <w:spacing w:after="0"/>
              <w:rPr>
                <w:sz w:val="1"/>
                <w:szCs w:val="1"/>
                <w:color w:val="auto"/>
              </w:rPr>
            </w:pPr>
          </w:p>
        </w:tc>
      </w:tr>
      <w:tr>
        <w:trPr>
          <w:trHeight w:val="20"/>
        </w:trPr>
        <w:tc>
          <w:tcPr>
            <w:tcW w:w="85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Common stock shares issued in the Velodyne Merger</w:t>
            </w:r>
          </w:p>
        </w:tc>
        <w:tc>
          <w:tcPr>
            <w:tcW w:w="840" w:type="dxa"/>
            <w:vAlign w:val="bottom"/>
            <w:tcBorders>
              <w:bottom w:val="single" w:sz="8" w:color="auto"/>
            </w:tcBorders>
            <w:shd w:val="clear" w:color="auto" w:fill="CCEEFF"/>
          </w:tcPr>
          <w:p>
            <w:pPr>
              <w:jc w:val="right"/>
              <w:ind w:right="662"/>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297,425</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tcBorders>
            <w:vMerge w:val="restart"/>
          </w:tcPr>
          <w:p>
            <w:pPr>
              <w:ind w:left="360"/>
              <w:spacing w:after="0"/>
              <w:rPr>
                <w:sz w:val="20"/>
                <w:szCs w:val="20"/>
                <w:color w:val="auto"/>
              </w:rPr>
            </w:pPr>
            <w:r>
              <w:rPr>
                <w:rFonts w:ascii="Times New Roman" w:cs="Times New Roman" w:eastAsia="Times New Roman" w:hAnsi="Times New Roman"/>
                <w:sz w:val="16"/>
                <w:szCs w:val="16"/>
                <w:color w:val="auto"/>
              </w:rPr>
              <w:t>Common stock warrants issued in the Velodyne Merger</w:t>
            </w:r>
          </w:p>
        </w:tc>
        <w:tc>
          <w:tcPr>
            <w:tcW w:w="8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00" w:type="dxa"/>
            <w:vAlign w:val="bottom"/>
            <w:tcBorders>
              <w:top w:val="single" w:sz="8" w:color="CCEEFF"/>
            </w:tcBorders>
            <w:vMerge w:val="continue"/>
          </w:tcPr>
          <w:p>
            <w:pPr>
              <w:spacing w:after="0"/>
              <w:rPr>
                <w:sz w:val="16"/>
                <w:szCs w:val="16"/>
                <w:color w:val="auto"/>
              </w:rPr>
            </w:pPr>
          </w:p>
        </w:tc>
        <w:tc>
          <w:tcPr>
            <w:tcW w:w="840" w:type="dxa"/>
            <w:vAlign w:val="bottom"/>
            <w:tcBorders>
              <w:top w:val="single" w:sz="8" w:color="auto"/>
              <w:bottom w:val="single" w:sz="8" w:color="auto"/>
            </w:tcBorders>
          </w:tcPr>
          <w:p>
            <w:pPr>
              <w:jc w:val="right"/>
              <w:ind w:right="662"/>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9,177</w:t>
            </w:r>
          </w:p>
        </w:tc>
        <w:tc>
          <w:tcPr>
            <w:tcW w:w="0" w:type="dxa"/>
            <w:vAlign w:val="bottom"/>
          </w:tcPr>
          <w:p>
            <w:pPr>
              <w:spacing w:after="0"/>
              <w:rPr>
                <w:sz w:val="1"/>
                <w:szCs w:val="1"/>
                <w:color w:val="auto"/>
              </w:rPr>
            </w:pPr>
          </w:p>
        </w:tc>
      </w:tr>
      <w:tr>
        <w:trPr>
          <w:trHeight w:val="23"/>
        </w:trPr>
        <w:tc>
          <w:tcPr>
            <w:tcW w:w="85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OUSTER,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Ouster, Inc. was incorporated in the Cayman Islands on June 4, 2020 as “Colonnade Acquisition Corp.” (“CLA”). Following the closing of the business combination in March 2021, the Company domesticated as a Delaware corporation and changed its name to “Ouster, Inc.” The Company’s prior operating subsidiary, Ouster Technologies, Inc. (“OTI” and prior to the Merger (as defined below)), was incorporated in the state of Delaware on June 30, 2015. The Company is a leading provider of high-resolution digital lidar sensors that offer advanced 3D vision to machinery, vehicles, robots, and fixed infrastructure assets, allowing each to understand and visualize the surrounding world and ultimately enabling safe operation and ubiquitous autonomy. Unless the context otherwise requires, references in this subsection to “the Company” refer to the business and operations of OTI (formerly known as Ouster, Inc.) and its consolidated subsidiaries prior to the Merger (as defined below) and to Ouster, Inc. (formerly known as CLA) and its consolidated subsidiaries following the consummation of the Merger.</w:t>
      </w:r>
    </w:p>
    <w:p>
      <w:pPr>
        <w:spacing w:after="0" w:line="3"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CLA, the Company’s legal predecessor, was originally a blank check company incorporated as a Cayman Islands exempted company on June 4, 2020. CLA was formed for the purpose of effecting a merger, share exchange, asset acquisition, share purchase, reorganization or similar business combination with one or more businesses. On March 11, 2021, CLA consummated a merger (the “Merger”) with OTI pursuant to an Agreement and Plan of Merger (the “Merger Agreement”) dated as of December 21, 2020. As a result of the Merger, among a number of other things, (1) each of the then issued and outstanding 10,000,000 redeemable warrants of CLA (the “CLA warrants”) converted automatically into a redeemable warrant to purchase one share of Ouster common stock (the “Public warrants”) pursuant to the Warrant Agreement, dated August 20, 2020 (the “Warrant Agreement”), between CLA and Continental Stock Transfer &amp; Trust Company (“Continental”), as warrant agent and (2) each of the then issued and outstanding 6,000,000 private placement warrants of CLA (the “Private Placement warrants”) converted automatically into a Public warrant pursuant to the Warrant Agreement. No fractional Public warrants were issued upon separation of the CLA units.</w:t>
      </w:r>
    </w:p>
    <w:p>
      <w:pPr>
        <w:spacing w:after="0" w:line="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February 10, 2023, the Company completed the merger with Velodyne Lidar, Inc., a Delaware corporation (“Velodyne”) pursuant to the terms of the Agreement and Plan of Merger (the “Velodyne Merger Agreement”) with Velodyne, Oban Merger Sub, Inc. (“Merger Sub I”) and Oban Merger Sub II LLC (“Merger Sub II”) (the “Velodyne Merger”) dated as of November 4, 2022, accounted for as a business combination with the Company being an accounting acquirer (Note 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its subsidiaries (all of which are wholly owned) and have been prepared in conformity with U.S. generally accepted accounting principles (“U.S. GAAP”) applicable to interim periods. All intercompany balances and transactions have been eliminated in consolidation.</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all adjustments (consisting of only normal recurring adjustments) necessary for a fair statement of the results of operations for the periods shown. The unaudited condensed consolidated financial statements should be read in conjunction with the Company’s audited consolidated financial statements as of and for the year ended December 31, 2023 and the notes related thereto, included in the Company’s Annual Report on Form 10-K filed with the Securities and Exchange Commission (“SEC”) on March 28, 2024. The year-end condensed balance sheet data was derived from audited financial statements, but does not include all disclosures required by U.S. GAAP. Certain information and note disclosures normally included in the audited financial statements prepared in accordance with U.S. GAAP have been condensed or omitted from this report, as is permitted by applicable rules and regulations. The results of operations for any interim period are not necessarily indicative of the results to be expected for the year ending December 31, 2024 or for any other future years or interim periods.</w:t>
      </w:r>
    </w:p>
    <w:p>
      <w:pPr>
        <w:spacing w:after="0" w:line="8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On April 6, 2023, the Board of Directors approved a one-for-10 reverse stock split and a corresponding reduction in authorized shares of common stock (the “Reverse Stock Split”). On April 20, 2023, the Company filed with the Secretary of State of the State of Delaware a Certificate of Amendment to its Certificate of Incorporation to effect the one-for-10 Reverse Stock Split of the Company’s common stock and a corresponding reduction in authorized shares of common stock. The par value of the Company’s common stock was not adjusted as a result of the Reverse Stock Split. All share and per share amounts and related stockholders’ equity balances presented herein have been retroactively adjusted to reflect the Reverse Stock Split.</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Company’s principal sources of liquidity are its cash and cash equivalents, short-term investments, cash generated from sales of the Company’s products, sales of common stock under its at-the-market equity offering program and debt financing.</w:t>
      </w:r>
    </w:p>
    <w:p>
      <w:pPr>
        <w:spacing w:after="0" w:line="5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on a going concern basis. The Company has experienced recurring losses from operations, and negative cash flows from operations. As of June 30, 2024, the Company’s existing sources of liquidity included cash, cash equivalents, restricted cash and short-term investments of $185.8 million. The Company has incurred losses and negative cash flows from operations for several years. If the Company continues to incur losses in the future, it may need to improve liquidity and raise additional capital through the issuance of equity and/or debt. There can be no assurance that the Company would be able to raise such capital. However, management believes that the Company’s existing sources of liquidity are adequate to fund its operations for at least twelve months from the date the unaudited condensed consolidated financial statements were available for issuance.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75"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there were no significant changes to the Company’s significant accounting policies as disclosed in the Company’s Annual Report on Form 10-K filed with the SEC on March 28, 2024. The Company has consistently applied the accounting policies to all periods presented in these unaudited condensed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20" w:lineRule="exact"/>
        <w:rPr>
          <w:sz w:val="20"/>
          <w:szCs w:val="20"/>
          <w:color w:val="auto"/>
        </w:rPr>
      </w:pPr>
    </w:p>
    <w:p>
      <w:pPr>
        <w:jc w:val="both"/>
        <w:ind w:right="600"/>
        <w:spacing w:after="0" w:line="239"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Accounting Standards Update (“ASUs”). ASUs not referenced herein were assessed and determined to be either not applicable or are not expected to have a material impact on the Company’s unaudited condensed consolidated financial statements.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0"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consist primarily of cash, cash equivalents, restricted cash, short-term investments and accounts receivable. Although the Company deposits its cash, cash equivalents, restricted cash and short-term investments with financial institutions that Company believes are of high credit quality, its deposits, at times, may exceed federally insured limits. As of June 30, 2024 and December 31, 2023, the Company had cash, cash equivalents, short-term investments and restricted cash with financial institutions in the U.S. of $172.1 million and</w:t>
      </w:r>
    </w:p>
    <w:p>
      <w:pPr>
        <w:spacing w:after="0" w:line="3"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$184.8 million, respectively. As of June 30, 2024 and December 31, 2023, the Company also had cash with financial institutions in countries other than the U.S. of approximately $13.6 million and $7.0 million, respectively.</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generally does not require collateral or other security deposits for accounts receivable.</w:t>
      </w:r>
    </w:p>
    <w:p>
      <w:pPr>
        <w:spacing w:after="0" w:line="1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To reduce credit risk, the Company considers customer creditworthiness, past transaction history with the customer, current economic industry trends, and changes in customer payment terms when determining the collectability of specific customer accounts. Past due balances over 90 days and other higher risk amounts are reviewed individually for collectability. Based on management’s assessment, the Company provides for estimated uncollectible amounts through a charge to earnings and a credit to valuation allowance. Balances that remain outstanding after the Company has used reasonable collection efforts are written off through a charge to the valuation allowance and a credit to accounts receivable.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from the Company’s major customers representing 10% or more of total accounts receivable and unbilled receivable was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3"/>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59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13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34"/>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468"/>
        </w:trPr>
        <w:tc>
          <w:tcPr>
            <w:tcW w:w="7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Revenue from the Company’s major customers representing 10% or more of total revenue was as follows:</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14"/>
        </w:trPr>
        <w:tc>
          <w:tcPr>
            <w:tcW w:w="5980" w:type="dxa"/>
            <w:vAlign w:val="bottom"/>
          </w:tcPr>
          <w:p>
            <w:pPr>
              <w:spacing w:after="0"/>
              <w:rPr>
                <w:sz w:val="24"/>
                <w:szCs w:val="24"/>
                <w:color w:val="auto"/>
              </w:rPr>
            </w:pPr>
          </w:p>
        </w:tc>
        <w:tc>
          <w:tcPr>
            <w:tcW w:w="3100" w:type="dxa"/>
            <w:vAlign w:val="bottom"/>
            <w:gridSpan w:val="7"/>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160" w:type="dxa"/>
            <w:vAlign w:val="bottom"/>
            <w:gridSpan w:val="5"/>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9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r>
      <w:tr>
        <w:trPr>
          <w:trHeight w:val="190"/>
        </w:trPr>
        <w:tc>
          <w:tcPr>
            <w:tcW w:w="5980" w:type="dxa"/>
            <w:vAlign w:val="bottom"/>
          </w:tcPr>
          <w:p>
            <w:pPr>
              <w:spacing w:after="0"/>
              <w:rPr>
                <w:sz w:val="16"/>
                <w:szCs w:val="16"/>
                <w:color w:val="auto"/>
              </w:rPr>
            </w:pPr>
          </w:p>
        </w:tc>
        <w:tc>
          <w:tcPr>
            <w:tcW w:w="130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gridSpan w:val="2"/>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E</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Customer accounted for less than 10% of total revenue in the period.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Supplier Risk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Purchases from the Company’s major suppliers representing 10% or more of total purchases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00" w:type="dxa"/>
            <w:vAlign w:val="bottom"/>
          </w:tcPr>
          <w:p>
            <w:pPr>
              <w:spacing w:after="0"/>
              <w:rPr>
                <w:sz w:val="16"/>
                <w:szCs w:val="16"/>
                <w:color w:val="auto"/>
              </w:rPr>
            </w:pPr>
          </w:p>
        </w:tc>
        <w:tc>
          <w:tcPr>
            <w:tcW w:w="22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6640" w:type="dxa"/>
            <w:vAlign w:val="bottom"/>
            <w:gridSpan w:val="2"/>
          </w:tcPr>
          <w:p>
            <w:pPr>
              <w:spacing w:after="0"/>
              <w:rPr>
                <w:sz w:val="2"/>
                <w:szCs w:val="2"/>
                <w:color w:val="auto"/>
              </w:rPr>
            </w:pPr>
          </w:p>
        </w:tc>
        <w:tc>
          <w:tcPr>
            <w:tcW w:w="1420" w:type="dxa"/>
            <w:vAlign w:val="bottom"/>
            <w:gridSpan w:val="3"/>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90"/>
        </w:trPr>
        <w:tc>
          <w:tcPr>
            <w:tcW w:w="5800" w:type="dxa"/>
            <w:vAlign w:val="bottom"/>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2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Supplier A</w:t>
            </w:r>
          </w:p>
        </w:tc>
        <w:tc>
          <w:tcPr>
            <w:tcW w:w="84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12 %</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34"/>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Supplier B</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28 %</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to the Company’s major suppliers and professional services vendors representing 10% or more of total accounts payable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14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8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Supplier A</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Supplier B</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*Accounted for less than 10% of total accounts payable.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Business Combination and Related Transactions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 February 10, 2023, the Company completed the Velodyne Merger. Velodyne shares ceased trading on the Nasdaq Stock Market LLC after market close on February 10, 2023, and each Velodyne share was exchanged for 0.8204 shares of the Company’s common stock. Velodyne is treated as the acquired company for financial reporting purposes. This determination is primarily based on the Company’s senior management prior to the Velodyne Merger comprising a majority of the senior management of the Company following the Velodyne Merger, the Company being the initiator of acquiring Velodyne and the Company being the party issuing shares in the Velodyne Merger. The acquisition price for the Velodyne Merger was $306.6 million, primarily consisting of fair value of the Company’s common stock issued in exchange for Velodyne shares and fair value of the Amazon Warrant (Note 7) of $8.6 million.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18"/>
          <w:szCs w:val="18"/>
          <w:color w:val="auto"/>
        </w:rPr>
        <w:t>Under the acquisition method of accounting in accordance with ASC 805, the total purchase price was allocated to identifiable tangible and intangible assets acquired and liabilities assumed based on their respective estimated fair values using management’s best estimates and assumptions to assign fair value as of the acquisition date. The purchase accounting, including the identification and allocation of consideration to assets acquired was completed as of the fourth quarter of 2023. The following table provides the assets acquired and liabilities assumed as of the date of acquisition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23"/>
        </w:trPr>
        <w:tc>
          <w:tcPr>
            <w:tcW w:w="584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consideration</w:t>
            </w:r>
          </w:p>
        </w:tc>
        <w:tc>
          <w:tcPr>
            <w:tcW w:w="3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306,602</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Amounts of identifiable assets and liabilities assumed</w:t>
            </w:r>
          </w:p>
        </w:tc>
        <w:tc>
          <w:tcPr>
            <w:tcW w:w="3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840" w:type="dxa"/>
            <w:vAlign w:val="bottom"/>
            <w:vMerge w:val="continue"/>
          </w:tcPr>
          <w:p>
            <w:pPr>
              <w:spacing w:after="0"/>
              <w:rPr>
                <w:sz w:val="15"/>
                <w:szCs w:val="15"/>
                <w:color w:val="auto"/>
              </w:rPr>
            </w:pPr>
          </w:p>
        </w:tc>
        <w:tc>
          <w:tcPr>
            <w:tcW w:w="3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7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32,137</w:t>
            </w:r>
          </w:p>
        </w:tc>
        <w:tc>
          <w:tcPr>
            <w:tcW w:w="0" w:type="dxa"/>
            <w:vAlign w:val="bottom"/>
          </w:tcPr>
          <w:p>
            <w:pPr>
              <w:spacing w:after="0"/>
              <w:rPr>
                <w:sz w:val="1"/>
                <w:szCs w:val="1"/>
                <w:color w:val="auto"/>
              </w:rPr>
            </w:pPr>
          </w:p>
        </w:tc>
      </w:tr>
      <w:tr>
        <w:trPr>
          <w:trHeight w:val="229"/>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3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155,031</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8,611</w:t>
            </w:r>
          </w:p>
        </w:tc>
        <w:tc>
          <w:tcPr>
            <w:tcW w:w="0" w:type="dxa"/>
            <w:vAlign w:val="bottom"/>
          </w:tcPr>
          <w:p>
            <w:pPr>
              <w:spacing w:after="0"/>
              <w:rPr>
                <w:sz w:val="1"/>
                <w:szCs w:val="1"/>
                <w:color w:val="auto"/>
              </w:rPr>
            </w:pPr>
          </w:p>
        </w:tc>
      </w:tr>
      <w:tr>
        <w:trPr>
          <w:trHeight w:val="230"/>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3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0" w:type="dxa"/>
            <w:vAlign w:val="bottom"/>
          </w:tcPr>
          <w:p>
            <w:pPr>
              <w:spacing w:after="0"/>
              <w:rPr>
                <w:sz w:val="1"/>
                <w:szCs w:val="1"/>
                <w:color w:val="auto"/>
              </w:rPr>
            </w:pPr>
          </w:p>
        </w:tc>
      </w:tr>
      <w:tr>
        <w:trPr>
          <w:trHeight w:val="229"/>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Unbilled receivable, non-current portion</w:t>
            </w:r>
          </w:p>
        </w:tc>
        <w:tc>
          <w:tcPr>
            <w:tcW w:w="3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0" w:type="dxa"/>
            <w:vAlign w:val="bottom"/>
          </w:tcPr>
          <w:p>
            <w:pPr>
              <w:spacing w:after="0"/>
              <w:rPr>
                <w:sz w:val="1"/>
                <w:szCs w:val="1"/>
                <w:color w:val="auto"/>
              </w:rPr>
            </w:pPr>
          </w:p>
        </w:tc>
      </w:tr>
      <w:tr>
        <w:trPr>
          <w:trHeight w:val="229"/>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10,887</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3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0" w:type="dxa"/>
            <w:vAlign w:val="bottom"/>
          </w:tcPr>
          <w:p>
            <w:pPr>
              <w:spacing w:after="0"/>
              <w:rPr>
                <w:sz w:val="1"/>
                <w:szCs w:val="1"/>
                <w:color w:val="auto"/>
              </w:rPr>
            </w:pPr>
          </w:p>
        </w:tc>
      </w:tr>
      <w:tr>
        <w:trPr>
          <w:trHeight w:val="229"/>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3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0" w:type="dxa"/>
            <w:vAlign w:val="bottom"/>
          </w:tcPr>
          <w:p>
            <w:pPr>
              <w:spacing w:after="0"/>
              <w:rPr>
                <w:sz w:val="1"/>
                <w:szCs w:val="1"/>
                <w:color w:val="auto"/>
              </w:rPr>
            </w:pPr>
          </w:p>
        </w:tc>
      </w:tr>
      <w:tr>
        <w:trPr>
          <w:trHeight w:val="230"/>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(32,821)</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Contract liabilities, current</w:t>
            </w:r>
          </w:p>
        </w:tc>
        <w:tc>
          <w:tcPr>
            <w:tcW w:w="3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0" w:type="dxa"/>
            <w:vAlign w:val="bottom"/>
          </w:tcPr>
          <w:p>
            <w:pPr>
              <w:spacing w:after="0"/>
              <w:rPr>
                <w:sz w:val="1"/>
                <w:szCs w:val="1"/>
                <w:color w:val="auto"/>
              </w:rPr>
            </w:pPr>
          </w:p>
        </w:tc>
      </w:tr>
      <w:tr>
        <w:trPr>
          <w:trHeight w:val="229"/>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3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liability, non-current portion</w:t>
            </w:r>
          </w:p>
        </w:tc>
        <w:tc>
          <w:tcPr>
            <w:tcW w:w="3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(11,940)</w:t>
            </w:r>
          </w:p>
        </w:tc>
        <w:tc>
          <w:tcPr>
            <w:tcW w:w="0" w:type="dxa"/>
            <w:vAlign w:val="bottom"/>
          </w:tcPr>
          <w:p>
            <w:pPr>
              <w:spacing w:after="0"/>
              <w:rPr>
                <w:sz w:val="1"/>
                <w:szCs w:val="1"/>
                <w:color w:val="auto"/>
              </w:rPr>
            </w:pPr>
          </w:p>
        </w:tc>
      </w:tr>
      <w:tr>
        <w:trPr>
          <w:trHeight w:val="229"/>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 liabilities, non-current portion</w:t>
            </w:r>
          </w:p>
        </w:tc>
        <w:tc>
          <w:tcPr>
            <w:tcW w:w="3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5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2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35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191,079</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5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115,523</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306,602</w:t>
            </w:r>
          </w:p>
        </w:tc>
        <w:tc>
          <w:tcPr>
            <w:tcW w:w="0" w:type="dxa"/>
            <w:vAlign w:val="bottom"/>
          </w:tcPr>
          <w:p>
            <w:pPr>
              <w:spacing w:after="0"/>
              <w:rPr>
                <w:sz w:val="1"/>
                <w:szCs w:val="1"/>
                <w:color w:val="auto"/>
              </w:rPr>
            </w:pPr>
          </w:p>
        </w:tc>
      </w:tr>
      <w:tr>
        <w:trPr>
          <w:trHeight w:val="20"/>
        </w:trPr>
        <w:tc>
          <w:tcPr>
            <w:tcW w:w="938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9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Identified intangible assets acquired and their estimated useful lives as of February 10, 2023, were (in thousands, except years):</w:t>
            </w: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840" w:type="dxa"/>
            <w:vAlign w:val="bottom"/>
          </w:tcPr>
          <w:p>
            <w:pPr>
              <w:spacing w:after="0"/>
              <w:rPr>
                <w:sz w:val="24"/>
                <w:szCs w:val="24"/>
                <w:color w:val="auto"/>
              </w:rPr>
            </w:pPr>
          </w:p>
        </w:tc>
        <w:tc>
          <w:tcPr>
            <w:tcW w:w="37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Estimated Useful Life</w:t>
            </w:r>
          </w:p>
        </w:tc>
        <w:tc>
          <w:tcPr>
            <w:tcW w:w="180" w:type="dxa"/>
            <w:vAlign w:val="bottom"/>
          </w:tcPr>
          <w:p>
            <w:pPr>
              <w:spacing w:after="0"/>
              <w:rPr>
                <w:sz w:val="24"/>
                <w:szCs w:val="24"/>
                <w:color w:val="auto"/>
              </w:rPr>
            </w:pP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3"/>
        </w:trPr>
        <w:tc>
          <w:tcPr>
            <w:tcW w:w="5840" w:type="dxa"/>
            <w:vAlign w:val="bottom"/>
            <w:tcBorders>
              <w:bottom w:val="single" w:sz="8" w:color="CCEEFF"/>
            </w:tcBorders>
          </w:tcPr>
          <w:p>
            <w:pPr>
              <w:spacing w:after="0"/>
              <w:rPr>
                <w:sz w:val="21"/>
                <w:szCs w:val="21"/>
                <w:color w:val="auto"/>
              </w:rPr>
            </w:pPr>
          </w:p>
        </w:tc>
        <w:tc>
          <w:tcPr>
            <w:tcW w:w="3760" w:type="dxa"/>
            <w:vAlign w:val="bottom"/>
            <w:tcBorders>
              <w:bottom w:val="single" w:sz="8" w:color="CCEEFF"/>
            </w:tcBorders>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 – Hardware</w:t>
            </w:r>
          </w:p>
        </w:tc>
        <w:tc>
          <w:tcPr>
            <w:tcW w:w="3540" w:type="dxa"/>
            <w:vAlign w:val="bottom"/>
            <w:shd w:val="clear" w:color="auto" w:fill="CCEEFF"/>
          </w:tcPr>
          <w:p>
            <w:pPr>
              <w:jc w:val="center"/>
              <w:ind w:left="1930"/>
              <w:spacing w:after="0"/>
              <w:rPr>
                <w:sz w:val="20"/>
                <w:szCs w:val="20"/>
                <w:color w:val="auto"/>
              </w:rPr>
            </w:pPr>
            <w:r>
              <w:rPr>
                <w:rFonts w:ascii="Times New Roman" w:cs="Times New Roman" w:eastAsia="Times New Roman" w:hAnsi="Times New Roman"/>
                <w:sz w:val="18"/>
                <w:szCs w:val="18"/>
                <w:color w:val="auto"/>
                <w:w w:val="88"/>
              </w:rPr>
              <w:t>3</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3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 – Software</w:t>
            </w:r>
          </w:p>
        </w:tc>
        <w:tc>
          <w:tcPr>
            <w:tcW w:w="3540" w:type="dxa"/>
            <w:vAlign w:val="bottom"/>
          </w:tcPr>
          <w:p>
            <w:pPr>
              <w:jc w:val="center"/>
              <w:ind w:left="1930"/>
              <w:spacing w:after="0"/>
              <w:rPr>
                <w:sz w:val="20"/>
                <w:szCs w:val="20"/>
                <w:color w:val="auto"/>
              </w:rPr>
            </w:pPr>
            <w:r>
              <w:rPr>
                <w:rFonts w:ascii="Times New Roman" w:cs="Times New Roman" w:eastAsia="Times New Roman" w:hAnsi="Times New Roman"/>
                <w:sz w:val="18"/>
                <w:szCs w:val="18"/>
                <w:color w:val="auto"/>
                <w:w w:val="88"/>
              </w:rPr>
              <w:t>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540" w:type="dxa"/>
            <w:vAlign w:val="bottom"/>
            <w:shd w:val="clear" w:color="auto" w:fill="CCEEFF"/>
          </w:tcPr>
          <w:p>
            <w:pPr>
              <w:jc w:val="center"/>
              <w:ind w:left="1930"/>
              <w:spacing w:after="0"/>
              <w:rPr>
                <w:sz w:val="20"/>
                <w:szCs w:val="20"/>
                <w:color w:val="auto"/>
              </w:rPr>
            </w:pPr>
            <w:r>
              <w:rPr>
                <w:rFonts w:ascii="Times New Roman" w:cs="Times New Roman" w:eastAsia="Times New Roman" w:hAnsi="Times New Roman"/>
                <w:sz w:val="18"/>
                <w:szCs w:val="18"/>
                <w:color w:val="auto"/>
                <w:w w:val="88"/>
              </w:rPr>
              <w:t>8</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0" w:type="dxa"/>
            <w:vAlign w:val="bottom"/>
          </w:tcPr>
          <w:p>
            <w:pPr>
              <w:spacing w:after="0"/>
              <w:rPr>
                <w:sz w:val="1"/>
                <w:szCs w:val="1"/>
                <w:color w:val="auto"/>
              </w:rPr>
            </w:pPr>
          </w:p>
        </w:tc>
      </w:tr>
      <w:tr>
        <w:trPr>
          <w:trHeight w:val="223"/>
        </w:trPr>
        <w:tc>
          <w:tcPr>
            <w:tcW w:w="5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3540" w:type="dxa"/>
            <w:vAlign w:val="bottom"/>
          </w:tcPr>
          <w:p>
            <w:pPr>
              <w:jc w:val="center"/>
              <w:ind w:left="1930"/>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0" w:type="dxa"/>
            <w:vAlign w:val="bottom"/>
          </w:tcPr>
          <w:p>
            <w:pPr>
              <w:spacing w:after="0"/>
              <w:rPr>
                <w:sz w:val="1"/>
                <w:szCs w:val="1"/>
                <w:color w:val="auto"/>
              </w:rPr>
            </w:pPr>
          </w:p>
        </w:tc>
      </w:tr>
      <w:tr>
        <w:trPr>
          <w:trHeight w:val="21"/>
        </w:trPr>
        <w:tc>
          <w:tcPr>
            <w:tcW w:w="58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Developed technology relates to Velodyne’s lidar sensors and BlueCity AI software used to monitor traffic networks and public spaces. The Company applied significant judgment in estimating the fair value of the developed technology, which involved significant assumptions related to the relief-from-royalty rate, the migration curve, the discount rate, and the economic life. The Company valued the hardware developed technology using the relief-from-royalty method under the income approach. Software developed technology was valued using the excess earnings method. The economic useful life was determined based on the technology cycle related to each developed technology, as well as the cash flows over the forecasted period.</w:t>
      </w:r>
    </w:p>
    <w:p>
      <w:pPr>
        <w:spacing w:after="0" w:line="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estimated fair value of the customer relationships was determined using the distributor method, which involved significant assumptions related to the distributions margin. The Company estimated customer relationships useful life of 8 years that approximates the pattern in which the economic benefits are expected to be realized.</w:t>
      </w:r>
    </w:p>
    <w:p>
      <w:pPr>
        <w:spacing w:after="0" w:line="6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estimated fair value of the inventory was determined using the comparative sales method, which estimated the expected sales price of the product, reduced by all costs expected to be incurred to complete or dispose of the inventory, as well as a profit on the sale.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 of property and equipment utilized a replacement cost method incorporating the age, quality and condition of the assets.</w:t>
      </w:r>
    </w:p>
    <w:p>
      <w:pPr>
        <w:spacing w:after="0" w:line="11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excess of the purchase consideration and the fair value of identifiable assets acquired and liabilities assumed at the acquisition date over the fair value of net tangible and identified intangible assets acquired was recorded as goodwill, which is not deductible for tax purposes. Goodwill is primarily attributable to the assembled workforce and the anticipated operational synergies at the time of the Velodyne Merger.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supplemental pro forma information below presents the combined historical results of operations of the Company and Velodyne as if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Velodyne had been acquired as of January 1, 2022 (in thousands):</w:t>
      </w:r>
    </w:p>
    <w:p>
      <w:pPr>
        <w:sectPr>
          <w:pgSz w:w="11900" w:h="16838" w:orient="portrait"/>
          <w:cols w:equalWidth="0" w:num="1">
            <w:col w:w="11240"/>
          </w:cols>
          <w:pgMar w:left="320" w:top="229" w:right="339" w:bottom="1440" w:gutter="0" w:footer="0" w:header="0"/>
        </w:sectPr>
      </w:pPr>
    </w:p>
    <w:p>
      <w:pPr>
        <w:spacing w:after="0" w:line="27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21590</wp:posOffset>
            </wp:positionV>
            <wp:extent cx="18002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6"/>
          <w:szCs w:val="16"/>
          <w:b w:val="1"/>
          <w:bCs w:val="1"/>
          <w:color w:val="auto"/>
        </w:rPr>
        <w:t>2023</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21590</wp:posOffset>
            </wp:positionV>
            <wp:extent cx="17659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6"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2023</w:t>
      </w:r>
    </w:p>
    <w:p>
      <w:pPr>
        <w:spacing w:after="0" w:line="28" w:lineRule="exact"/>
        <w:rPr>
          <w:sz w:val="20"/>
          <w:szCs w:val="20"/>
          <w:color w:val="auto"/>
        </w:rPr>
      </w:pPr>
    </w:p>
    <w:p>
      <w:pPr>
        <w:sectPr>
          <w:pgSz w:w="11900" w:h="16838" w:orient="portrait"/>
          <w:cols w:equalWidth="0" w:num="2">
            <w:col w:w="8220" w:space="600"/>
            <w:col w:w="2420"/>
          </w:cols>
          <w:pgMar w:left="320" w:top="229"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6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19,396</w:t>
            </w:r>
          </w:p>
        </w:tc>
        <w:tc>
          <w:tcPr>
            <w:tcW w:w="100" w:type="dxa"/>
            <w:vAlign w:val="bottom"/>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36,626</w:t>
            </w:r>
          </w:p>
        </w:tc>
      </w:tr>
      <w:tr>
        <w:trPr>
          <w:trHeight w:val="234"/>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(122,733)</w:t>
            </w:r>
          </w:p>
        </w:tc>
        <w:tc>
          <w:tcPr>
            <w:tcW w:w="100" w:type="dxa"/>
            <w:vAlign w:val="bottom"/>
          </w:tcPr>
          <w:p>
            <w:pPr>
              <w:spacing w:after="0"/>
              <w:rPr>
                <w:sz w:val="20"/>
                <w:szCs w:val="20"/>
                <w:color w:val="auto"/>
              </w:rPr>
            </w:pPr>
          </w:p>
        </w:tc>
        <w:tc>
          <w:tcPr>
            <w:tcW w:w="112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(300,013)</w:t>
            </w:r>
          </w:p>
        </w:tc>
      </w:tr>
    </w:tbl>
    <w:p>
      <w:pPr>
        <w:spacing w:after="0" w:line="179"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The unaudited supplemental pro forma information above includes the following adjustments to net loss in the appropriate pro forma periods (in thousands):</w:t>
      </w:r>
    </w:p>
    <w:p>
      <w:pPr>
        <w:sectPr>
          <w:pgSz w:w="11900" w:h="16838" w:orient="portrait"/>
          <w:cols w:equalWidth="0" w:num="1">
            <w:col w:w="11240"/>
          </w:cols>
          <w:pgMar w:left="320" w:top="229" w:right="339" w:bottom="1440" w:gutter="0" w:footer="0" w:header="0"/>
          <w:type w:val="continuous"/>
        </w:sectPr>
      </w:pPr>
    </w:p>
    <w:p>
      <w:pPr>
        <w:spacing w:after="0" w:line="232"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21590</wp:posOffset>
            </wp:positionV>
            <wp:extent cx="17659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6"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6"/>
          <w:szCs w:val="16"/>
          <w:b w:val="1"/>
          <w:bCs w:val="1"/>
          <w:color w:val="auto"/>
        </w:rPr>
        <w:t>2023</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21590</wp:posOffset>
            </wp:positionV>
            <wp:extent cx="16719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71955" cy="8255"/>
                    </a:xfrm>
                    <a:prstGeom prst="rect">
                      <a:avLst/>
                    </a:prstGeom>
                    <a:noFill/>
                  </pic:spPr>
                </pic:pic>
              </a:graphicData>
            </a:graphic>
          </wp:anchor>
        </w:drawing>
      </w:r>
    </w:p>
    <w:p>
      <w:pPr>
        <w:spacing w:after="0" w:line="2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2023</w:t>
      </w:r>
    </w:p>
    <w:p>
      <w:pPr>
        <w:spacing w:after="0" w:line="28" w:lineRule="exact"/>
        <w:rPr>
          <w:sz w:val="20"/>
          <w:szCs w:val="20"/>
          <w:color w:val="auto"/>
        </w:rPr>
      </w:pPr>
    </w:p>
    <w:p>
      <w:pPr>
        <w:sectPr>
          <w:pgSz w:w="11900" w:h="16838" w:orient="portrait"/>
          <w:cols w:equalWidth="0" w:num="2">
            <w:col w:w="8500" w:space="520"/>
            <w:col w:w="2220"/>
          </w:cols>
          <w:pgMar w:left="320" w:top="229" w:right="339" w:bottom="1440" w:gutter="0" w:footer="0" w:header="0"/>
          <w:type w:val="continuous"/>
        </w:sectPr>
      </w:pPr>
    </w:p>
    <w:tbl>
      <w:tblPr>
        <w:tblLayout w:type="fixed"/>
        <w:tblInd w:w="0" w:type="dxa"/>
        <w:tblCellMar>
          <w:top w:w="0" w:type="dxa"/>
          <w:left w:w="0" w:type="dxa"/>
          <w:bottom w:w="0" w:type="dxa"/>
          <w:right w:w="0" w:type="dxa"/>
        </w:tblCellMar>
      </w:tblPr>
      <w:tr>
        <w:trPr>
          <w:trHeight w:val="148"/>
        </w:trPr>
        <w:tc>
          <w:tcPr>
            <w:tcW w:w="5820" w:type="dxa"/>
            <w:vAlign w:val="bottom"/>
            <w:tcBorders>
              <w:top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color w:val="auto"/>
              </w:rPr>
              <w:t>An increase in amortization expense related to the fair value of acquired identifiable</w:t>
            </w:r>
          </w:p>
        </w:tc>
        <w:tc>
          <w:tcPr>
            <w:tcW w:w="128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vMerge w:val="restart"/>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0" w:type="dxa"/>
            <w:vAlign w:val="bottom"/>
          </w:tcPr>
          <w:p>
            <w:pPr>
              <w:spacing w:after="0"/>
              <w:rPr>
                <w:sz w:val="1"/>
                <w:szCs w:val="1"/>
                <w:color w:val="auto"/>
              </w:rPr>
            </w:pPr>
          </w:p>
        </w:tc>
      </w:tr>
      <w:tr>
        <w:trPr>
          <w:trHeight w:val="162"/>
        </w:trPr>
        <w:tc>
          <w:tcPr>
            <w:tcW w:w="58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intangible assets, net of the amortization expense already reflected in actual historical</w:t>
            </w:r>
          </w:p>
        </w:tc>
        <w:tc>
          <w:tcPr>
            <w:tcW w:w="1280" w:type="dxa"/>
            <w:vAlign w:val="bottom"/>
            <w:vMerge w:val="restart"/>
            <w:shd w:val="clear" w:color="auto" w:fill="CCEEFF"/>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gridSpan w:val="2"/>
            <w:vMerge w:val="restart"/>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vMerge w:val="continue"/>
            <w:shd w:val="clear" w:color="auto" w:fill="CCEEFF"/>
          </w:tcPr>
          <w:p>
            <w:pPr>
              <w:spacing w:after="0"/>
              <w:rPr>
                <w:sz w:val="14"/>
                <w:szCs w:val="14"/>
                <w:color w:val="auto"/>
              </w:rPr>
            </w:pPr>
          </w:p>
        </w:tc>
        <w:tc>
          <w:tcPr>
            <w:tcW w:w="14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results</w:t>
            </w:r>
          </w:p>
        </w:tc>
        <w:tc>
          <w:tcPr>
            <w:tcW w:w="1280" w:type="dxa"/>
            <w:vAlign w:val="bottom"/>
            <w:vMerge w:val="continue"/>
            <w:shd w:val="clear" w:color="auto" w:fill="CCEEFF"/>
          </w:tcPr>
          <w:p>
            <w:pPr>
              <w:spacing w:after="0"/>
              <w:rPr>
                <w:sz w:val="18"/>
                <w:szCs w:val="18"/>
                <w:color w:val="auto"/>
              </w:rPr>
            </w:pPr>
          </w:p>
        </w:tc>
        <w:tc>
          <w:tcPr>
            <w:tcW w:w="1600" w:type="dxa"/>
            <w:vAlign w:val="bottom"/>
            <w:gridSpan w:val="2"/>
            <w:vMerge w:val="continue"/>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 decrease in expenses related to the transaction expenses</w:t>
            </w:r>
          </w:p>
        </w:tc>
        <w:tc>
          <w:tcPr>
            <w:tcW w:w="1280" w:type="dxa"/>
            <w:vAlign w:val="bottom"/>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6,058</w:t>
            </w:r>
          </w:p>
        </w:tc>
        <w:tc>
          <w:tcPr>
            <w:tcW w:w="0" w:type="dxa"/>
            <w:vAlign w:val="bottom"/>
          </w:tcPr>
          <w:p>
            <w:pPr>
              <w:spacing w:after="0"/>
              <w:rPr>
                <w:sz w:val="1"/>
                <w:szCs w:val="1"/>
                <w:color w:val="auto"/>
              </w:rPr>
            </w:pPr>
          </w:p>
        </w:tc>
      </w:tr>
      <w:tr>
        <w:trPr>
          <w:trHeight w:val="165"/>
        </w:trPr>
        <w:tc>
          <w:tcPr>
            <w:tcW w:w="58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A net increase in revenue related to the impact of the acceleration of the Amazon</w:t>
            </w:r>
          </w:p>
        </w:tc>
        <w:tc>
          <w:tcPr>
            <w:tcW w:w="12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Warrant vesting recognized by Velodyne at the close of the Velodyne Merger</w:t>
            </w:r>
          </w:p>
        </w:tc>
        <w:tc>
          <w:tcPr>
            <w:tcW w:w="1280" w:type="dxa"/>
            <w:vAlign w:val="bottom"/>
            <w:vMerge w:val="restart"/>
            <w:shd w:val="clear" w:color="auto" w:fill="CCEEFF"/>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gridSpan w:val="2"/>
            <w:vMerge w:val="restart"/>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vMerge w:val="restart"/>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3,656</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w:t>
            </w:r>
          </w:p>
        </w:tc>
        <w:tc>
          <w:tcPr>
            <w:tcW w:w="1280" w:type="dxa"/>
            <w:vAlign w:val="bottom"/>
            <w:vMerge w:val="continue"/>
            <w:shd w:val="clear" w:color="auto" w:fill="CCEEFF"/>
          </w:tcPr>
          <w:p>
            <w:pPr>
              <w:spacing w:after="0"/>
              <w:rPr>
                <w:sz w:val="18"/>
                <w:szCs w:val="18"/>
                <w:color w:val="auto"/>
              </w:rPr>
            </w:pPr>
          </w:p>
        </w:tc>
        <w:tc>
          <w:tcPr>
            <w:tcW w:w="1600" w:type="dxa"/>
            <w:vAlign w:val="bottom"/>
            <w:gridSpan w:val="2"/>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8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 decrease in expenses related to the impact of the acceleration of the Amazon Warrant</w:t>
            </w:r>
          </w:p>
        </w:tc>
        <w:tc>
          <w:tcPr>
            <w:tcW w:w="1280" w:type="dxa"/>
            <w:vAlign w:val="bottom"/>
            <w:vMerge w:val="restart"/>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gridSpan w:val="2"/>
            <w:vMerge w:val="restart"/>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vMerge w:val="restart"/>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26,704</w:t>
            </w:r>
          </w:p>
        </w:tc>
        <w:tc>
          <w:tcPr>
            <w:tcW w:w="0" w:type="dxa"/>
            <w:vAlign w:val="bottom"/>
          </w:tcPr>
          <w:p>
            <w:pPr>
              <w:spacing w:after="0"/>
              <w:rPr>
                <w:sz w:val="1"/>
                <w:szCs w:val="1"/>
                <w:color w:val="auto"/>
              </w:rPr>
            </w:pPr>
          </w:p>
        </w:tc>
      </w:tr>
      <w:tr>
        <w:trPr>
          <w:trHeight w:val="21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vesting recognized by Velodyne at the close of the Velodyne Merger transaction</w:t>
            </w:r>
          </w:p>
        </w:tc>
        <w:tc>
          <w:tcPr>
            <w:tcW w:w="1280" w:type="dxa"/>
            <w:vAlign w:val="bottom"/>
            <w:vMerge w:val="continue"/>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58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Represents decrease in additional stock-based compensation expense related to Ouster</w:t>
            </w:r>
          </w:p>
        </w:tc>
        <w:tc>
          <w:tcPr>
            <w:tcW w:w="1280" w:type="dxa"/>
            <w:vAlign w:val="bottom"/>
            <w:vMerge w:val="restart"/>
            <w:shd w:val="clear" w:color="auto" w:fill="CCEEFF"/>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gridSpan w:val="2"/>
            <w:vMerge w:val="restart"/>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vMerge w:val="restart"/>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6,383</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terminations due to change in control.</w:t>
            </w:r>
          </w:p>
        </w:tc>
        <w:tc>
          <w:tcPr>
            <w:tcW w:w="1280" w:type="dxa"/>
            <w:vAlign w:val="bottom"/>
            <w:vMerge w:val="continue"/>
            <w:shd w:val="clear" w:color="auto" w:fill="CCEEFF"/>
          </w:tcPr>
          <w:p>
            <w:pPr>
              <w:spacing w:after="0"/>
              <w:rPr>
                <w:sz w:val="18"/>
                <w:szCs w:val="18"/>
                <w:color w:val="auto"/>
              </w:rPr>
            </w:pPr>
          </w:p>
        </w:tc>
        <w:tc>
          <w:tcPr>
            <w:tcW w:w="1600" w:type="dxa"/>
            <w:vAlign w:val="bottom"/>
            <w:gridSpan w:val="2"/>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8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Represents a decrease in severance expense in connection with the Velodyne Merger</w:t>
            </w:r>
          </w:p>
        </w:tc>
        <w:tc>
          <w:tcPr>
            <w:tcW w:w="1280" w:type="dxa"/>
            <w:vAlign w:val="bottom"/>
            <w:vMerge w:val="restart"/>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gridSpan w:val="2"/>
            <w:vMerge w:val="restart"/>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10,586</w:t>
            </w:r>
          </w:p>
        </w:tc>
        <w:tc>
          <w:tcPr>
            <w:tcW w:w="0" w:type="dxa"/>
            <w:vAlign w:val="bottom"/>
          </w:tcPr>
          <w:p>
            <w:pPr>
              <w:spacing w:after="0"/>
              <w:rPr>
                <w:sz w:val="1"/>
                <w:szCs w:val="1"/>
                <w:color w:val="auto"/>
              </w:rPr>
            </w:pPr>
          </w:p>
        </w:tc>
      </w:tr>
      <w:tr>
        <w:trPr>
          <w:trHeight w:val="210"/>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transaction</w:t>
            </w:r>
          </w:p>
        </w:tc>
        <w:tc>
          <w:tcPr>
            <w:tcW w:w="1280" w:type="dxa"/>
            <w:vAlign w:val="bottom"/>
            <w:vMerge w:val="continue"/>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106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unaudited supplemental pro forma information has been presented for illustrative purposes only and is not necessarily indicative of results of operations that would have been achieved had the Velodyne Merger taken place on the date indicated, or of the Company’s future consolidated results of operations. The supplemental pro forma information presented above has been derived from the Company’s historical consolidated financial statements and from historical consolidated financial statements and the historical accounting records of Velodyne.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of Financial Instruments</w:t>
      </w:r>
    </w:p>
    <w:p>
      <w:pPr>
        <w:spacing w:after="0" w:line="121"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following tables provide information by level for the Company’s assets and liabilities that were measured at fair value on a recurring basis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5"/>
          </w:tcPr>
          <w:p>
            <w:pPr>
              <w:jc w:val="center"/>
              <w:ind w:left="574"/>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6"/>
                <w:szCs w:val="16"/>
                <w:color w:val="auto"/>
              </w:rPr>
            </w:pPr>
          </w:p>
        </w:tc>
        <w:tc>
          <w:tcPr>
            <w:tcW w:w="10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57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18,364</w:t>
            </w:r>
          </w:p>
        </w:tc>
        <w:tc>
          <w:tcPr>
            <w:tcW w:w="0" w:type="dxa"/>
            <w:vAlign w:val="bottom"/>
          </w:tcPr>
          <w:p>
            <w:pPr>
              <w:spacing w:after="0"/>
              <w:rPr>
                <w:sz w:val="1"/>
                <w:szCs w:val="1"/>
                <w:color w:val="auto"/>
              </w:rPr>
            </w:pPr>
          </w:p>
        </w:tc>
      </w:tr>
      <w:tr>
        <w:trPr>
          <w:trHeight w:val="229"/>
        </w:trPr>
        <w:tc>
          <w:tcPr>
            <w:tcW w:w="5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72,690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72,690</w:t>
            </w:r>
          </w:p>
        </w:tc>
        <w:tc>
          <w:tcPr>
            <w:tcW w:w="0" w:type="dxa"/>
            <w:vAlign w:val="bottom"/>
          </w:tcPr>
          <w:p>
            <w:pPr>
              <w:spacing w:after="0"/>
              <w:rPr>
                <w:sz w:val="1"/>
                <w:szCs w:val="1"/>
                <w:color w:val="auto"/>
              </w:rPr>
            </w:pPr>
          </w:p>
        </w:tc>
      </w:tr>
      <w:tr>
        <w:trPr>
          <w:trHeight w:val="229"/>
        </w:trPr>
        <w:tc>
          <w:tcPr>
            <w:tcW w:w="57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Corporate debt and U.S. government agency securities</w:t>
            </w:r>
          </w:p>
        </w:tc>
        <w:tc>
          <w:tcPr>
            <w:tcW w:w="260" w:type="dxa"/>
            <w:vAlign w:val="bottom"/>
          </w:tcPr>
          <w:p>
            <w:pPr>
              <w:spacing w:after="0"/>
              <w:rPr>
                <w:sz w:val="19"/>
                <w:szCs w:val="19"/>
                <w:color w:val="auto"/>
              </w:rPr>
            </w:pPr>
          </w:p>
        </w:tc>
        <w:tc>
          <w:tcPr>
            <w:tcW w:w="11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58,867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58,867</w:t>
            </w:r>
          </w:p>
        </w:tc>
        <w:tc>
          <w:tcPr>
            <w:tcW w:w="0" w:type="dxa"/>
            <w:vAlign w:val="bottom"/>
          </w:tcPr>
          <w:p>
            <w:pPr>
              <w:spacing w:after="0"/>
              <w:rPr>
                <w:sz w:val="1"/>
                <w:szCs w:val="1"/>
                <w:color w:val="auto"/>
              </w:rPr>
            </w:pPr>
          </w:p>
        </w:tc>
      </w:tr>
      <w:tr>
        <w:trPr>
          <w:trHeight w:val="223"/>
        </w:trPr>
        <w:tc>
          <w:tcPr>
            <w:tcW w:w="5700" w:type="dxa"/>
            <w:vAlign w:val="bottom"/>
            <w:tcBorders>
              <w:top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131,557</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131,557</w:t>
            </w:r>
          </w:p>
        </w:tc>
        <w:tc>
          <w:tcPr>
            <w:tcW w:w="0" w:type="dxa"/>
            <w:vAlign w:val="bottom"/>
          </w:tcPr>
          <w:p>
            <w:pPr>
              <w:spacing w:after="0"/>
              <w:rPr>
                <w:sz w:val="1"/>
                <w:szCs w:val="1"/>
                <w:color w:val="auto"/>
              </w:rPr>
            </w:pPr>
          </w:p>
        </w:tc>
      </w:tr>
      <w:tr>
        <w:trPr>
          <w:trHeight w:val="223"/>
        </w:trPr>
        <w:tc>
          <w:tcPr>
            <w:tcW w:w="5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financial assets</w:t>
            </w: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131,557</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149,921</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0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Warrant liabilities</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48"/>
        </w:trPr>
        <w:tc>
          <w:tcPr>
            <w:tcW w:w="570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5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60" w:type="dxa"/>
            <w:vAlign w:val="bottom"/>
            <w:gridSpan w:val="8"/>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6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4"/>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6"/>
                <w:szCs w:val="16"/>
                <w:color w:val="auto"/>
              </w:rPr>
            </w:pPr>
          </w:p>
        </w:tc>
        <w:tc>
          <w:tcPr>
            <w:tcW w:w="10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7,354</w:t>
            </w:r>
          </w:p>
        </w:tc>
        <w:tc>
          <w:tcPr>
            <w:tcW w:w="0" w:type="dxa"/>
            <w:vAlign w:val="bottom"/>
          </w:tcPr>
          <w:p>
            <w:pPr>
              <w:spacing w:after="0"/>
              <w:rPr>
                <w:sz w:val="1"/>
                <w:szCs w:val="1"/>
                <w:color w:val="auto"/>
              </w:rPr>
            </w:pPr>
          </w:p>
        </w:tc>
      </w:tr>
      <w:tr>
        <w:trPr>
          <w:trHeight w:val="229"/>
        </w:trPr>
        <w:tc>
          <w:tcPr>
            <w:tcW w:w="5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Pr>
          <w:p>
            <w:pPr>
              <w:spacing w:after="0"/>
              <w:rPr>
                <w:sz w:val="19"/>
                <w:szCs w:val="19"/>
                <w:color w:val="auto"/>
              </w:rPr>
            </w:pPr>
          </w:p>
        </w:tc>
        <w:tc>
          <w:tcPr>
            <w:tcW w:w="11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0" w:type="dxa"/>
            <w:vAlign w:val="bottom"/>
          </w:tcPr>
          <w:p>
            <w:pPr>
              <w:spacing w:after="0"/>
              <w:rPr>
                <w:sz w:val="1"/>
                <w:szCs w:val="1"/>
                <w:color w:val="auto"/>
              </w:rPr>
            </w:pPr>
          </w:p>
        </w:tc>
      </w:tr>
      <w:tr>
        <w:trPr>
          <w:trHeight w:val="230"/>
        </w:trPr>
        <w:tc>
          <w:tcPr>
            <w:tcW w:w="5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Pr>
          <w:p>
            <w:pPr>
              <w:spacing w:after="0"/>
              <w:rPr>
                <w:sz w:val="19"/>
                <w:szCs w:val="19"/>
                <w:color w:val="auto"/>
              </w:rPr>
            </w:pPr>
          </w:p>
        </w:tc>
        <w:tc>
          <w:tcPr>
            <w:tcW w:w="11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80,620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80,620</w:t>
            </w:r>
          </w:p>
        </w:tc>
        <w:tc>
          <w:tcPr>
            <w:tcW w:w="0" w:type="dxa"/>
            <w:vAlign w:val="bottom"/>
          </w:tcPr>
          <w:p>
            <w:pPr>
              <w:spacing w:after="0"/>
              <w:rPr>
                <w:sz w:val="1"/>
                <w:szCs w:val="1"/>
                <w:color w:val="auto"/>
              </w:rPr>
            </w:pPr>
          </w:p>
        </w:tc>
      </w:tr>
      <w:tr>
        <w:trPr>
          <w:trHeight w:val="230"/>
        </w:trPr>
        <w:tc>
          <w:tcPr>
            <w:tcW w:w="5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debt and U.S. government agency securities</w:t>
            </w:r>
          </w:p>
        </w:tc>
        <w:tc>
          <w:tcPr>
            <w:tcW w:w="26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58,538</w:t>
            </w:r>
          </w:p>
        </w:tc>
        <w:tc>
          <w:tcPr>
            <w:tcW w:w="0" w:type="dxa"/>
            <w:vAlign w:val="bottom"/>
          </w:tcPr>
          <w:p>
            <w:pPr>
              <w:spacing w:after="0"/>
              <w:rPr>
                <w:sz w:val="1"/>
                <w:szCs w:val="1"/>
                <w:color w:val="auto"/>
              </w:rPr>
            </w:pPr>
          </w:p>
        </w:tc>
      </w:tr>
      <w:tr>
        <w:trPr>
          <w:trHeight w:val="223"/>
        </w:trPr>
        <w:tc>
          <w:tcPr>
            <w:tcW w:w="5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139,158</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gridSpan w:val="2"/>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139,158</w:t>
            </w:r>
          </w:p>
        </w:tc>
        <w:tc>
          <w:tcPr>
            <w:tcW w:w="0" w:type="dxa"/>
            <w:vAlign w:val="bottom"/>
          </w:tcPr>
          <w:p>
            <w:pPr>
              <w:spacing w:after="0"/>
              <w:rPr>
                <w:sz w:val="1"/>
                <w:szCs w:val="1"/>
                <w:color w:val="auto"/>
              </w:rPr>
            </w:pPr>
          </w:p>
        </w:tc>
      </w:tr>
      <w:tr>
        <w:trPr>
          <w:trHeight w:val="248"/>
        </w:trPr>
        <w:tc>
          <w:tcPr>
            <w:tcW w:w="5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financial assets</w:t>
            </w: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142,147</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149,501</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 liabilities</w:t>
            </w:r>
          </w:p>
        </w:tc>
        <w:tc>
          <w:tcPr>
            <w:tcW w:w="2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23"/>
        </w:trPr>
        <w:tc>
          <w:tcPr>
            <w:tcW w:w="5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Money market funds are included within Level 1 of the fair value hierarchy because they are valued using quoted market prices in active markets. Market valuations of our investments which are classified as Level 2 are provided by an independent third party. In accordance with the fair value hierarchy, the market valuation sources include observable market inputs and are therefore considered Level 2 inputs for purposes of determining the fair values.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 Private Placement warrant liabilities is based on significant unobservable inputs, which represent Level 3 measurements within the fair value hierarchy. In determining the fair value of the warrant liabilities, the Company used the Black-Scholes option pricing model to estimate the fair value using unobservable inputs including the expected term, expected volatility, risk-free interest rate and dividend yield (see Note 7).</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the changes in the fair value of the Company’s Level 3 financial instruments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Private Placement</w:t>
            </w:r>
          </w:p>
        </w:tc>
      </w:tr>
      <w:tr>
        <w:trPr>
          <w:trHeight w:val="241"/>
        </w:trPr>
        <w:tc>
          <w:tcPr>
            <w:tcW w:w="9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Warrant Liability</w:t>
            </w:r>
          </w:p>
        </w:tc>
      </w:tr>
      <w:tr>
        <w:trPr>
          <w:trHeight w:val="225"/>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December 31, 2023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30"/>
        </w:trPr>
        <w:tc>
          <w:tcPr>
            <w:tcW w:w="9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Change in the fair value included in other income, net</w:t>
            </w: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48"/>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June 30, 2024</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30"/>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December 31, 2022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29"/>
        </w:trPr>
        <w:tc>
          <w:tcPr>
            <w:tcW w:w="9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Change in the fair value included in other income, net</w:t>
            </w: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48"/>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June 30, 2023</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Non-Recurring Fair Value Measurements</w:t>
      </w: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has certain assets, including intangible assets, which are measured at fair value on a non-recurring basis and are adjusted to fair value only if an impairment charge is recognized. The categorization of the framework used to measure fair value of the assets is considered to be within the Level 3 valuation hierarchy due to the subjective nature of the unobservable inputs used.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of Fair Values</w:t>
      </w:r>
    </w:p>
    <w:p>
      <w:pPr>
        <w:spacing w:after="0" w:line="11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that are not re-measured at fair value include accounts receivable, accounts payable, accrued and other current liabilities and debt. The carrying values of these financial instruments approximate their fair values. The Company acquired short-term investments consisting of commercial paper, corporate debt and U.S. government agency securities as a result of the merger with Velodyne that closed on February 10, 2023 (see Note 3). Unrealized gains and losses on the Company’s short-term investments were not significant as of June 30, 2024 and therefore, the amortized cost of the Company’s short-term investments approximated its fair value.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Balance Sheet Components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cash and cash equivalents consist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2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40,648</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28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7,354</w:t>
            </w: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w:t>
            </w:r>
          </w:p>
        </w:tc>
      </w:tr>
      <w:tr>
        <w:trPr>
          <w:trHeight w:val="248"/>
        </w:trPr>
        <w:tc>
          <w:tcPr>
            <w:tcW w:w="8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52,687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50,991</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right="20"/>
        <w:spacing w:after="0" w:line="229" w:lineRule="auto"/>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The Company maintains a cash sweep account, which is included in money market funds as of June 30, 2024 and December 31, 2023. Cash is invested in short-term money market funds that earn interest.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Restricted cash consists of collateral to merchant credit card and certificates of deposit held by a bank as security for outstanding letters of credit. The Company had a restricted cash balance of $1.5 million and $1.6 million as of June 30, 2024 and December 31, 2023, respectively, which has been excluded from the Company’s cash and cash equivalents balances. The Company presented $0.4 million and $0.6 million of the total amount of restricted cash within current assets on the unaudited condensed consolidated balance sheets as of June 30, 2024 and December 31, 2023, respectively. The remaining restricted cash balance of $1.1 million and $1.1 million is included in non-current assets on the condensed consolidated balance sheets as of June 30, 2024 and December 31, 2023, respectively.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in the unaudited condensed consolidated balance sheets to the amounts reported in the unaudited condensed consolidated statements of cash flows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00" w:type="dxa"/>
            <w:vAlign w:val="bottom"/>
          </w:tcPr>
          <w:p>
            <w:pPr>
              <w:spacing w:after="0"/>
              <w:rPr>
                <w:sz w:val="13"/>
                <w:szCs w:val="13"/>
                <w:color w:val="auto"/>
              </w:rPr>
            </w:pPr>
          </w:p>
        </w:tc>
        <w:tc>
          <w:tcPr>
            <w:tcW w:w="114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82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52,687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91,237</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current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r>
      <w:tr>
        <w:trPr>
          <w:trHeight w:val="223"/>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54,205</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92,855</w:t>
            </w:r>
          </w:p>
        </w:tc>
      </w:tr>
      <w:tr>
        <w:trPr>
          <w:trHeight w:val="21"/>
        </w:trPr>
        <w:tc>
          <w:tcPr>
            <w:tcW w:w="8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consisting of material, direct and indirect labor, and manufacturing overhead, consists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2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5020" w:type="dxa"/>
            <w:vAlign w:val="bottom"/>
            <w:tcBorders>
              <w:bottom w:val="single" w:sz="8" w:color="CCEEFF"/>
            </w:tcBorders>
          </w:tcPr>
          <w:p>
            <w:pPr>
              <w:spacing w:after="0"/>
              <w:rPr>
                <w:sz w:val="17"/>
                <w:szCs w:val="17"/>
                <w:color w:val="auto"/>
              </w:rPr>
            </w:pPr>
          </w:p>
        </w:tc>
        <w:tc>
          <w:tcPr>
            <w:tcW w:w="3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2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10,062</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3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2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13,095</w:t>
            </w:r>
          </w:p>
        </w:tc>
        <w:tc>
          <w:tcPr>
            <w:tcW w:w="0" w:type="dxa"/>
            <w:vAlign w:val="bottom"/>
          </w:tcPr>
          <w:p>
            <w:pPr>
              <w:spacing w:after="0"/>
              <w:rPr>
                <w:sz w:val="1"/>
                <w:szCs w:val="1"/>
                <w:color w:val="auto"/>
              </w:rPr>
            </w:pPr>
          </w:p>
        </w:tc>
      </w:tr>
      <w:tr>
        <w:trPr>
          <w:trHeight w:val="223"/>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inventory</w:t>
            </w:r>
          </w:p>
        </w:tc>
        <w:tc>
          <w:tcPr>
            <w:tcW w:w="326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19,453</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23,232</w:t>
            </w:r>
          </w:p>
        </w:tc>
        <w:tc>
          <w:tcPr>
            <w:tcW w:w="0" w:type="dxa"/>
            <w:vAlign w:val="bottom"/>
          </w:tcPr>
          <w:p>
            <w:pPr>
              <w:spacing w:after="0"/>
              <w:rPr>
                <w:sz w:val="1"/>
                <w:szCs w:val="1"/>
                <w:color w:val="auto"/>
              </w:rPr>
            </w:pPr>
          </w:p>
        </w:tc>
      </w:tr>
      <w:tr>
        <w:trPr>
          <w:trHeight w:val="21"/>
        </w:trPr>
        <w:tc>
          <w:tcPr>
            <w:tcW w:w="5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tc>
        <w:tc>
          <w:tcPr>
            <w:tcW w:w="3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5020" w:type="dxa"/>
            <w:vAlign w:val="bottom"/>
            <w:vMerge w:val="continue"/>
          </w:tcPr>
          <w:p>
            <w:pPr>
              <w:spacing w:after="0"/>
              <w:rPr>
                <w:sz w:val="24"/>
                <w:szCs w:val="24"/>
                <w:color w:val="auto"/>
              </w:rPr>
            </w:pPr>
          </w:p>
        </w:tc>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50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4"/>
                <w:szCs w:val="14"/>
                <w:color w:val="auto"/>
              </w:rPr>
            </w:pPr>
          </w:p>
        </w:tc>
        <w:tc>
          <w:tcPr>
            <w:tcW w:w="122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5020" w:type="dxa"/>
            <w:vAlign w:val="bottom"/>
            <w:tcBorders>
              <w:bottom w:val="single" w:sz="8" w:color="CCEEFF"/>
            </w:tcBorders>
          </w:tcPr>
          <w:p>
            <w:pPr>
              <w:spacing w:after="0"/>
              <w:rPr>
                <w:sz w:val="16"/>
                <w:szCs w:val="16"/>
                <w:color w:val="auto"/>
              </w:rPr>
            </w:pPr>
          </w:p>
        </w:tc>
        <w:tc>
          <w:tcPr>
            <w:tcW w:w="32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2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3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 from contract manufacturer</w:t>
            </w:r>
          </w:p>
        </w:tc>
        <w:tc>
          <w:tcPr>
            <w:tcW w:w="3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receivable</w:t>
            </w:r>
          </w:p>
        </w:tc>
        <w:tc>
          <w:tcPr>
            <w:tcW w:w="3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23,375</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2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0" w:type="dxa"/>
            <w:vAlign w:val="bottom"/>
          </w:tcPr>
          <w:p>
            <w:pPr>
              <w:spacing w:after="0"/>
              <w:rPr>
                <w:sz w:val="1"/>
                <w:szCs w:val="1"/>
                <w:color w:val="auto"/>
              </w:rPr>
            </w:pPr>
          </w:p>
        </w:tc>
      </w:tr>
      <w:tr>
        <w:trPr>
          <w:trHeight w:val="223"/>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326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33,530</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34,647</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3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5020" w:type="dxa"/>
            <w:vAlign w:val="bottom"/>
            <w:vMerge w:val="continue"/>
          </w:tcPr>
          <w:p>
            <w:pPr>
              <w:spacing w:after="0"/>
              <w:rPr>
                <w:sz w:val="24"/>
                <w:szCs w:val="24"/>
                <w:color w:val="auto"/>
              </w:rPr>
            </w:pPr>
          </w:p>
        </w:tc>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consists of the following (in thousands):</w:t>
            </w:r>
          </w:p>
        </w:tc>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502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280" w:type="dxa"/>
            <w:vAlign w:val="bottom"/>
          </w:tcPr>
          <w:p>
            <w:pPr>
              <w:spacing w:after="0"/>
              <w:rPr>
                <w:sz w:val="24"/>
                <w:szCs w:val="24"/>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24"/>
                <w:szCs w:val="24"/>
                <w:color w:val="auto"/>
              </w:rPr>
            </w:pPr>
          </w:p>
        </w:tc>
        <w:tc>
          <w:tcPr>
            <w:tcW w:w="122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5020" w:type="dxa"/>
            <w:vAlign w:val="bottom"/>
            <w:tcBorders>
              <w:bottom w:val="single" w:sz="8" w:color="CCEEFF"/>
            </w:tcBorders>
          </w:tcPr>
          <w:p>
            <w:pPr>
              <w:spacing w:after="0"/>
              <w:rPr>
                <w:sz w:val="16"/>
                <w:szCs w:val="16"/>
                <w:color w:val="auto"/>
              </w:rPr>
            </w:pPr>
          </w:p>
        </w:tc>
        <w:tc>
          <w:tcPr>
            <w:tcW w:w="32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16,535</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and vehicle hardware</w:t>
            </w: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Shorter of useful life or lease term</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10,879</w:t>
            </w:r>
          </w:p>
        </w:tc>
        <w:tc>
          <w:tcPr>
            <w:tcW w:w="0" w:type="dxa"/>
            <w:vAlign w:val="bottom"/>
          </w:tcPr>
          <w:p>
            <w:pPr>
              <w:spacing w:after="0"/>
              <w:rPr>
                <w:sz w:val="1"/>
                <w:szCs w:val="1"/>
                <w:color w:val="auto"/>
              </w:rPr>
            </w:pPr>
          </w:p>
        </w:tc>
      </w:tr>
      <w:tr>
        <w:trPr>
          <w:trHeight w:val="223"/>
        </w:trPr>
        <w:tc>
          <w:tcPr>
            <w:tcW w:w="50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34,464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33,651</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2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(23,423)</w:t>
            </w:r>
          </w:p>
        </w:tc>
        <w:tc>
          <w:tcPr>
            <w:tcW w:w="0" w:type="dxa"/>
            <w:vAlign w:val="bottom"/>
          </w:tcPr>
          <w:p>
            <w:pPr>
              <w:spacing w:after="0"/>
              <w:rPr>
                <w:sz w:val="1"/>
                <w:szCs w:val="1"/>
                <w:color w:val="auto"/>
              </w:rPr>
            </w:pPr>
          </w:p>
        </w:tc>
      </w:tr>
      <w:tr>
        <w:trPr>
          <w:trHeight w:val="223"/>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6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9,445</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10,228</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Depreciation expense associated with property and equipment was $5.4 million and $6.3 million during the six months ended June 30, 2024 and 2023,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acquired intangible assets, net as of June 30, 2024 and December 31, 2023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20" w:type="dxa"/>
            <w:vAlign w:val="bottom"/>
          </w:tcPr>
          <w:p>
            <w:pPr>
              <w:spacing w:after="0"/>
              <w:rPr>
                <w:sz w:val="2"/>
                <w:szCs w:val="2"/>
                <w:color w:val="auto"/>
              </w:rPr>
            </w:pPr>
          </w:p>
        </w:tc>
        <w:tc>
          <w:tcPr>
            <w:tcW w:w="3360" w:type="dxa"/>
            <w:vAlign w:val="bottom"/>
            <w:vMerge w:val="restart"/>
          </w:tcPr>
          <w:p>
            <w:pPr>
              <w:jc w:val="center"/>
              <w:ind w:left="997"/>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420" w:type="dxa"/>
            <w:vAlign w:val="bottom"/>
          </w:tcPr>
          <w:p>
            <w:pPr>
              <w:spacing w:after="0"/>
              <w:rPr>
                <w:sz w:val="11"/>
                <w:szCs w:val="11"/>
                <w:color w:val="auto"/>
              </w:rPr>
            </w:pPr>
          </w:p>
        </w:tc>
        <w:tc>
          <w:tcPr>
            <w:tcW w:w="33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20" w:type="dxa"/>
            <w:vAlign w:val="bottom"/>
          </w:tcPr>
          <w:p>
            <w:pPr>
              <w:spacing w:after="0"/>
              <w:rPr>
                <w:sz w:val="11"/>
                <w:szCs w:val="11"/>
                <w:color w:val="auto"/>
              </w:rPr>
            </w:pPr>
          </w:p>
        </w:tc>
        <w:tc>
          <w:tcPr>
            <w:tcW w:w="140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126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0" w:type="dxa"/>
            <w:vAlign w:val="bottom"/>
          </w:tcPr>
          <w:p>
            <w:pPr>
              <w:spacing w:after="0"/>
              <w:rPr>
                <w:sz w:val="1"/>
                <w:szCs w:val="1"/>
                <w:color w:val="auto"/>
              </w:rPr>
            </w:pPr>
          </w:p>
        </w:tc>
      </w:tr>
      <w:tr>
        <w:trPr>
          <w:trHeight w:val="195"/>
        </w:trPr>
        <w:tc>
          <w:tcPr>
            <w:tcW w:w="3420" w:type="dxa"/>
            <w:vAlign w:val="bottom"/>
          </w:tcPr>
          <w:p>
            <w:pPr>
              <w:spacing w:after="0"/>
              <w:rPr>
                <w:sz w:val="16"/>
                <w:szCs w:val="16"/>
                <w:color w:val="auto"/>
              </w:rPr>
            </w:pPr>
          </w:p>
        </w:tc>
        <w:tc>
          <w:tcPr>
            <w:tcW w:w="3360" w:type="dxa"/>
            <w:vAlign w:val="bottom"/>
          </w:tcPr>
          <w:p>
            <w:pPr>
              <w:jc w:val="center"/>
              <w:ind w:left="977"/>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6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360" w:type="dxa"/>
            <w:vAlign w:val="bottom"/>
            <w:tcBorders>
              <w:top w:val="single" w:sz="8" w:color="CCEEFF"/>
            </w:tcBorders>
            <w:shd w:val="clear" w:color="auto" w:fill="CCEEFF"/>
          </w:tcPr>
          <w:p>
            <w:pPr>
              <w:jc w:val="center"/>
              <w:ind w:left="997"/>
              <w:spacing w:after="0"/>
              <w:rPr>
                <w:sz w:val="20"/>
                <w:szCs w:val="20"/>
                <w:color w:val="auto"/>
              </w:rPr>
            </w:pPr>
            <w:r>
              <w:rPr>
                <w:rFonts w:ascii="Times New Roman" w:cs="Times New Roman" w:eastAsia="Times New Roman" w:hAnsi="Times New Roman"/>
                <w:sz w:val="18"/>
                <w:szCs w:val="18"/>
                <w:color w:val="auto"/>
                <w:w w:val="99"/>
              </w:rPr>
              <w:t>3-8</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15,632</w:t>
            </w: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Vendor relationship</w:t>
            </w:r>
          </w:p>
        </w:tc>
        <w:tc>
          <w:tcPr>
            <w:tcW w:w="3360" w:type="dxa"/>
            <w:vAlign w:val="bottom"/>
          </w:tcPr>
          <w:p>
            <w:pPr>
              <w:jc w:val="center"/>
              <w:ind w:left="997"/>
              <w:spacing w:after="0"/>
              <w:rPr>
                <w:sz w:val="20"/>
                <w:szCs w:val="20"/>
                <w:color w:val="auto"/>
              </w:rPr>
            </w:pPr>
            <w:r>
              <w:rPr>
                <w:rFonts w:ascii="Times New Roman" w:cs="Times New Roman" w:eastAsia="Times New Roman" w:hAnsi="Times New Roman"/>
                <w:sz w:val="18"/>
                <w:szCs w:val="18"/>
                <w:color w:val="auto"/>
                <w:w w:val="88"/>
              </w:rPr>
              <w:t>3</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360" w:type="dxa"/>
            <w:vAlign w:val="bottom"/>
            <w:shd w:val="clear" w:color="auto" w:fill="CCEEFF"/>
          </w:tcPr>
          <w:p>
            <w:pPr>
              <w:jc w:val="center"/>
              <w:ind w:left="997"/>
              <w:spacing w:after="0"/>
              <w:rPr>
                <w:sz w:val="20"/>
                <w:szCs w:val="20"/>
                <w:color w:val="auto"/>
              </w:rPr>
            </w:pPr>
            <w:r>
              <w:rPr>
                <w:rFonts w:ascii="Times New Roman" w:cs="Times New Roman" w:eastAsia="Times New Roman" w:hAnsi="Times New Roman"/>
                <w:sz w:val="18"/>
                <w:szCs w:val="18"/>
                <w:color w:val="auto"/>
                <w:w w:val="99"/>
              </w:rPr>
              <w:t>3-8</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w:t>
            </w:r>
          </w:p>
        </w:tc>
        <w:tc>
          <w:tcPr>
            <w:tcW w:w="0" w:type="dxa"/>
            <w:vAlign w:val="bottom"/>
          </w:tcPr>
          <w:p>
            <w:pPr>
              <w:spacing w:after="0"/>
              <w:rPr>
                <w:sz w:val="1"/>
                <w:szCs w:val="1"/>
                <w:color w:val="auto"/>
              </w:rPr>
            </w:pPr>
          </w:p>
        </w:tc>
      </w:tr>
      <w:tr>
        <w:trPr>
          <w:trHeight w:val="223"/>
        </w:trPr>
        <w:tc>
          <w:tcPr>
            <w:tcW w:w="3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33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36,400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(15,470)</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20,930</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2"/>
        </w:trPr>
        <w:tc>
          <w:tcPr>
            <w:tcW w:w="34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420" w:type="dxa"/>
            <w:vAlign w:val="bottom"/>
          </w:tcPr>
          <w:p>
            <w:pPr>
              <w:spacing w:after="0"/>
              <w:rPr>
                <w:sz w:val="2"/>
                <w:szCs w:val="2"/>
                <w:color w:val="auto"/>
              </w:rPr>
            </w:pPr>
          </w:p>
        </w:tc>
        <w:tc>
          <w:tcPr>
            <w:tcW w:w="3360" w:type="dxa"/>
            <w:vAlign w:val="bottom"/>
            <w:vMerge w:val="restart"/>
          </w:tcPr>
          <w:p>
            <w:pPr>
              <w:jc w:val="center"/>
              <w:ind w:left="997"/>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420" w:type="dxa"/>
            <w:vAlign w:val="bottom"/>
          </w:tcPr>
          <w:p>
            <w:pPr>
              <w:spacing w:after="0"/>
              <w:rPr>
                <w:sz w:val="11"/>
                <w:szCs w:val="11"/>
                <w:color w:val="auto"/>
              </w:rPr>
            </w:pPr>
          </w:p>
        </w:tc>
        <w:tc>
          <w:tcPr>
            <w:tcW w:w="33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20" w:type="dxa"/>
            <w:vAlign w:val="bottom"/>
          </w:tcPr>
          <w:p>
            <w:pPr>
              <w:spacing w:after="0"/>
              <w:rPr>
                <w:sz w:val="11"/>
                <w:szCs w:val="11"/>
                <w:color w:val="auto"/>
              </w:rPr>
            </w:pPr>
          </w:p>
        </w:tc>
        <w:tc>
          <w:tcPr>
            <w:tcW w:w="140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126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0" w:type="dxa"/>
            <w:vAlign w:val="bottom"/>
          </w:tcPr>
          <w:p>
            <w:pPr>
              <w:spacing w:after="0"/>
              <w:rPr>
                <w:sz w:val="1"/>
                <w:szCs w:val="1"/>
                <w:color w:val="auto"/>
              </w:rPr>
            </w:pPr>
          </w:p>
        </w:tc>
      </w:tr>
      <w:tr>
        <w:trPr>
          <w:trHeight w:val="196"/>
        </w:trPr>
        <w:tc>
          <w:tcPr>
            <w:tcW w:w="3420" w:type="dxa"/>
            <w:vAlign w:val="bottom"/>
          </w:tcPr>
          <w:p>
            <w:pPr>
              <w:spacing w:after="0"/>
              <w:rPr>
                <w:sz w:val="17"/>
                <w:szCs w:val="17"/>
                <w:color w:val="auto"/>
              </w:rPr>
            </w:pPr>
          </w:p>
        </w:tc>
        <w:tc>
          <w:tcPr>
            <w:tcW w:w="3360" w:type="dxa"/>
            <w:vAlign w:val="bottom"/>
          </w:tcPr>
          <w:p>
            <w:pPr>
              <w:jc w:val="center"/>
              <w:ind w:left="977"/>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6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360" w:type="dxa"/>
            <w:vAlign w:val="bottom"/>
            <w:tcBorders>
              <w:top w:val="single" w:sz="8" w:color="CCEEFF"/>
            </w:tcBorders>
            <w:shd w:val="clear" w:color="auto" w:fill="CCEEFF"/>
          </w:tcPr>
          <w:p>
            <w:pPr>
              <w:jc w:val="center"/>
              <w:ind w:left="997"/>
              <w:spacing w:after="0"/>
              <w:rPr>
                <w:sz w:val="20"/>
                <w:szCs w:val="20"/>
                <w:color w:val="auto"/>
              </w:rPr>
            </w:pPr>
            <w:r>
              <w:rPr>
                <w:rFonts w:ascii="Times New Roman" w:cs="Times New Roman" w:eastAsia="Times New Roman" w:hAnsi="Times New Roman"/>
                <w:sz w:val="18"/>
                <w:szCs w:val="18"/>
                <w:color w:val="auto"/>
                <w:w w:val="99"/>
              </w:rPr>
              <w:t>3-8</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17,552</w:t>
            </w:r>
          </w:p>
        </w:tc>
        <w:tc>
          <w:tcPr>
            <w:tcW w:w="0" w:type="dxa"/>
            <w:vAlign w:val="bottom"/>
          </w:tcPr>
          <w:p>
            <w:pPr>
              <w:spacing w:after="0"/>
              <w:rPr>
                <w:sz w:val="1"/>
                <w:szCs w:val="1"/>
                <w:color w:val="auto"/>
              </w:rPr>
            </w:pPr>
          </w:p>
        </w:tc>
      </w:tr>
      <w:tr>
        <w:trPr>
          <w:trHeight w:val="229"/>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Vendor relationship</w:t>
            </w:r>
          </w:p>
        </w:tc>
        <w:tc>
          <w:tcPr>
            <w:tcW w:w="3360" w:type="dxa"/>
            <w:vAlign w:val="bottom"/>
          </w:tcPr>
          <w:p>
            <w:pPr>
              <w:jc w:val="center"/>
              <w:ind w:left="997"/>
              <w:spacing w:after="0"/>
              <w:rPr>
                <w:sz w:val="20"/>
                <w:szCs w:val="20"/>
                <w:color w:val="auto"/>
              </w:rPr>
            </w:pPr>
            <w:r>
              <w:rPr>
                <w:rFonts w:ascii="Times New Roman" w:cs="Times New Roman" w:eastAsia="Times New Roman" w:hAnsi="Times New Roman"/>
                <w:sz w:val="18"/>
                <w:szCs w:val="18"/>
                <w:color w:val="auto"/>
                <w:w w:val="88"/>
              </w:rPr>
              <w:t>3</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360" w:type="dxa"/>
            <w:vAlign w:val="bottom"/>
            <w:shd w:val="clear" w:color="auto" w:fill="CCEEFF"/>
          </w:tcPr>
          <w:p>
            <w:pPr>
              <w:jc w:val="center"/>
              <w:ind w:left="997"/>
              <w:spacing w:after="0"/>
              <w:rPr>
                <w:sz w:val="20"/>
                <w:szCs w:val="20"/>
                <w:color w:val="auto"/>
              </w:rPr>
            </w:pPr>
            <w:r>
              <w:rPr>
                <w:rFonts w:ascii="Times New Roman" w:cs="Times New Roman" w:eastAsia="Times New Roman" w:hAnsi="Times New Roman"/>
                <w:sz w:val="18"/>
                <w:szCs w:val="18"/>
                <w:color w:val="auto"/>
                <w:w w:val="99"/>
              </w:rPr>
              <w:t>3-8</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w:t>
            </w:r>
          </w:p>
        </w:tc>
        <w:tc>
          <w:tcPr>
            <w:tcW w:w="0" w:type="dxa"/>
            <w:vAlign w:val="bottom"/>
          </w:tcPr>
          <w:p>
            <w:pPr>
              <w:spacing w:after="0"/>
              <w:rPr>
                <w:sz w:val="1"/>
                <w:szCs w:val="1"/>
                <w:color w:val="auto"/>
              </w:rPr>
            </w:pPr>
          </w:p>
        </w:tc>
      </w:tr>
      <w:tr>
        <w:trPr>
          <w:trHeight w:val="223"/>
        </w:trPr>
        <w:tc>
          <w:tcPr>
            <w:tcW w:w="3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33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36,400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(11,964)</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24,436</w:t>
            </w:r>
          </w:p>
        </w:tc>
        <w:tc>
          <w:tcPr>
            <w:tcW w:w="0" w:type="dxa"/>
            <w:vAlign w:val="bottom"/>
          </w:tcPr>
          <w:p>
            <w:pPr>
              <w:spacing w:after="0"/>
              <w:rPr>
                <w:sz w:val="1"/>
                <w:szCs w:val="1"/>
                <w:color w:val="auto"/>
              </w:rPr>
            </w:pPr>
          </w:p>
        </w:tc>
      </w:tr>
      <w:tr>
        <w:trPr>
          <w:trHeight w:val="21"/>
        </w:trPr>
        <w:tc>
          <w:tcPr>
            <w:tcW w:w="34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was $3.4 million and $3.2 million during the six months ended June 30, 2024 and 2023,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estimated future amortization expense of finite-lived intangible assets-net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28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2024 (the remainder of 2024)</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0" w:type="dxa"/>
            <w:vAlign w:val="bottom"/>
          </w:tcPr>
          <w:p>
            <w:pPr>
              <w:spacing w:after="0"/>
              <w:rPr>
                <w:sz w:val="1"/>
                <w:szCs w:val="1"/>
                <w:color w:val="auto"/>
              </w:rPr>
            </w:pPr>
          </w:p>
        </w:tc>
      </w:tr>
      <w:tr>
        <w:trPr>
          <w:trHeight w:val="230"/>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4,515</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0" w:type="dxa"/>
            <w:vAlign w:val="bottom"/>
          </w:tcPr>
          <w:p>
            <w:pPr>
              <w:spacing w:after="0"/>
              <w:rPr>
                <w:sz w:val="1"/>
                <w:szCs w:val="1"/>
                <w:color w:val="auto"/>
              </w:rPr>
            </w:pPr>
          </w:p>
        </w:tc>
      </w:tr>
      <w:tr>
        <w:trPr>
          <w:trHeight w:val="230"/>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20,930</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and Other Current Liabilities</w:t>
            </w: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2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Accrued and other current liabilities consist of the following (in thousands):</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8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23"/>
                <w:szCs w:val="23"/>
                <w:color w:val="auto"/>
              </w:rPr>
            </w:pPr>
          </w:p>
        </w:tc>
        <w:tc>
          <w:tcPr>
            <w:tcW w:w="122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2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legal contingencies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Uninvoiced receipts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12,980</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use tax</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8,632</w:t>
            </w:r>
          </w:p>
        </w:tc>
        <w:tc>
          <w:tcPr>
            <w:tcW w:w="0" w:type="dxa"/>
            <w:vAlign w:val="bottom"/>
          </w:tcPr>
          <w:p>
            <w:pPr>
              <w:spacing w:after="0"/>
              <w:rPr>
                <w:sz w:val="1"/>
                <w:szCs w:val="1"/>
                <w:color w:val="auto"/>
              </w:rPr>
            </w:pPr>
          </w:p>
        </w:tc>
      </w:tr>
      <w:tr>
        <w:trPr>
          <w:trHeight w:val="223"/>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48,506</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58,166</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Debt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and Security Agreement</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On April 29, 2022, the Company entered into the Loan Agreement with Hercules Capital, Inc. (“Hercules”) (as amended, the “Loan Agreement”). The Loan Agreement provided the Company with a term loan facility of up to $50.0 million, subject to certain terms and conditions. The Company borrowed the initial tranche of $20.0 million on April 29, 2022. On October 17, 2022, the Company borrowed an additional $20.0 million.</w:t>
      </w:r>
    </w:p>
    <w:p>
      <w:pPr>
        <w:spacing w:after="0" w:line="6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Loan Agreement included a minimum liquidity financial covenant whereby the Company was required to maintain at least $60.0 million of cash in deposit accounts that are subject to an account control agreement in favor of Hercules.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10, 2023, the Company entered into the Third Amendment, which amended the Loan Agreement to (i) increase the existing debt baskets for</w:t>
      </w:r>
    </w:p>
    <w:p>
      <w:pPr>
        <w:spacing w:after="0" w:line="27" w:lineRule="exact"/>
        <w:rPr>
          <w:sz w:val="20"/>
          <w:szCs w:val="20"/>
          <w:color w:val="auto"/>
        </w:rPr>
      </w:pPr>
    </w:p>
    <w:p>
      <w:pPr>
        <w:ind w:right="260" w:firstLine="8"/>
        <w:spacing w:after="0" w:line="260" w:lineRule="auto"/>
        <w:tabs>
          <w:tab w:leader="none" w:pos="24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money debt and capital leases, and (b) letter of credit obligations, (ii) provide for increased flexibility to maintain cash in non-US accounts, and (iii) provide for increased flexibility to relocate certain equipment.</w:t>
      </w:r>
    </w:p>
    <w:p>
      <w:pPr>
        <w:spacing w:after="0" w:line="73"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Advances under the Loan Agreement bore interest at the rate of interest equal to greater of either (i) (x) the prime rate as reported in The Wall Street Journal plus (y) 6.15%, and (ii) 9.40%, subject to compliance with financial covenants and other conditions. The Loan Agreement included covenants, limitations, and events of default customary for similar facilities.</w:t>
      </w:r>
    </w:p>
    <w:p>
      <w:pPr>
        <w:spacing w:after="0" w:line="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the Loan Agreement, the Company paid the lender a cash facility and legal fees of $0.6 million and incurred debt issuance costs to third parties that were directly related to issuing debt in the amount of $0.3 million. The effective interest rate on this debt was 17.90% after giving effect to the debt discount, debt issuance costs and the end of term charge. Amortization expense included in the interest expense related to debt discount and debt issuance costs of the Loan Agreement was not material for the year ended December 31, 2023.</w:t>
      </w:r>
    </w:p>
    <w:p>
      <w:pPr>
        <w:spacing w:after="0" w:line="72"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On October 25, 2023, the Loan Agreement was repaid with proceeds of the loans drawn under the Credit Agreement (as defined below) with UBS Bank USA and UBS Financial Services Inc. resulting in a loss on extinguishment of debt of $3.6 million and recorded it as interest expense in its consolidated statements of operations and comprehensive loss for the twelve months ended December 31,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October 25, 2023, the Company entered into the Credit Line Account Application and Agreement for Organizations and Businesses (the “Credit Agreement”) and the Addendum to Credit Line Account Application and Agreement (the “Addendum”; and the Credit Agreement as amended, modified, and/or supplemented by the Addendum, the “UBS Agreement”) by and among the Company, UBS Bank USA (the “Bank”), and UBS Financial Services Inc. The facility under the UBS Agreement matures and terminates on August 2, 2025 (the “Maturity Date”).</w:t>
      </w:r>
    </w:p>
    <w:p>
      <w:pPr>
        <w:spacing w:after="0" w:line="12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UBS Agreement provides the Company with a revolving credit line of up to $45.0 million, subject to certain terms and conditions. The Company borrowed $44.0 million on October 25, 2023, and all of the proceeds were used to prepay and terminate the Company’s Loan Agreement on October 25, 2023.</w:t>
      </w:r>
    </w:p>
    <w:p>
      <w:pPr>
        <w:spacing w:after="0" w:line="12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Pursuant to the terms of the UBS Agreement, the Company has agreed to maintain minimum liquidity, that can be comprised of unencumbered cash and cash equivalents, U.S. treasuries and other assets acceptable to the Bank, of $52.0 million in an account maintained with the Bank or its affiliates at all times.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under the UBS Agreement bear interest at a rate equal to (x) for variable rate loans, the sum of (i) the applicable SOFR average plus 0.110%, plus</w:t>
      </w:r>
    </w:p>
    <w:p>
      <w:pPr>
        <w:spacing w:after="0" w:line="27" w:lineRule="exact"/>
        <w:rPr>
          <w:sz w:val="20"/>
          <w:szCs w:val="20"/>
          <w:color w:val="auto"/>
        </w:rPr>
      </w:pPr>
    </w:p>
    <w:p>
      <w:pPr>
        <w:ind w:right="40" w:firstLine="8"/>
        <w:spacing w:after="0" w:line="252" w:lineRule="auto"/>
        <w:tabs>
          <w:tab w:leader="none" w:pos="26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 and (y) for fixed rate loans, the sum of either (1) CME Term Rate or (2) the U.S. Treasury Rate, as applicable and as defined in the UBS Agreement, as determined based on the duration of the advance, plus the applicable liquidity premium with a range of 0.15% to 0.50%, as set forth in the UBS Agreement. Interest payments are due (x) for variable rate loans, on the last day of each calendar month, and on each date that any portion of the principal amount is due, including on the Maturity Date, and (y) for fixed rate loans, on the last day of the applicable interest period, and on each date that any portion of the principal amount is due, including on the Maturity Date. The Company may repay any variable rate loans at any time in whole or in part, without penalty. The Company may repay any fixed rate loans in whole, but not in part, subject to certain breakage costs.</w:t>
      </w:r>
    </w:p>
    <w:p>
      <w:pPr>
        <w:spacing w:after="0" w:line="13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Company has agreed to pay an unused line fee in an amount equal to (i) the commitment amount of $45.0 million less the average daily balance of the sum of the principal amount of the obligations outstanding during the preceding calendar quarter, multiplied by (ii) 0.50% per annum, and such unused line fee is payable quarterly in arrears on the last day of each calendar quarter.</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UBS Agreement also contains affirmative and negative covenants customary for a credit line of this type, including requirements for maintenance of the collateral accounts and certain limitations on withdrawal of cash from such collateral accounts. The UBS Agreement also provides for customary events of default, including, among others, non-payment, failure to maintain an amount equal to the greater of (x) the outstanding loans and (y) the collateral value as determined by the Bank, in the securities accounts maintained with the Bank, bankruptcy, or breach of a covenant, representation and warranty.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the Company was in compliance with the covenants set forth in the UBS Agreement.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Simultaneously with the closing of the Company’s initial public offering (the “IPO”) in August 2020, the sponsor of CLA, Colonnade Sponsor LLC, purchased an aggregate of 600,000 Private Placement warrants at a price of $10.00 per warrant, for an aggregate purchase price of $6,000,000. The Private Placement warrants became exercisable 12 months following the closing of the Company’s IPO, and expire 5 years from the completion of the Colonnade Merger, or earlier upon redemption or liquidation. On March 11, 2021, as adjusted to reflect the Reverse Stock Split, each outstanding Private Placement warrant automatically converted into a warrant to purchase one-tenth of a share of Ouster common stock pursuant to the Warrant Agreement. Each 10 Private Placement warrants is exercisable for one share of Ouster common stock at an exercise price of $115.00 per share, with no fractional shares being issuable upon exercise of a warrant.</w:t>
      </w:r>
    </w:p>
    <w:p>
      <w:pPr>
        <w:spacing w:after="0" w:line="13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private placement warrant liability was initially recognized as a liability at a fair value of $19.4 million and the private placement warrant liability was remeasured to fair value as of June 30, 2024 and 2023, resulting in an immaterial charge for the three and six months ended June 30, 2024 and 2023, respectively, classified within other income, net in the unaudited condensed consolidated statements of operations and comprehensive loss.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Private Placement warrants were valued using the following assumptions under the Black-Scholes option-pricing model:</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Pr>
          <w:p>
            <w:pPr>
              <w:spacing w:after="0"/>
              <w:rPr>
                <w:sz w:val="16"/>
                <w:szCs w:val="16"/>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Pr>
          <w:p>
            <w:pPr>
              <w:spacing w:after="0"/>
              <w:rPr>
                <w:sz w:val="16"/>
                <w:szCs w:val="16"/>
                <w:color w:val="auto"/>
              </w:rPr>
            </w:pPr>
          </w:p>
        </w:tc>
        <w:tc>
          <w:tcPr>
            <w:tcW w:w="130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23"/>
        </w:trPr>
        <w:tc>
          <w:tcPr>
            <w:tcW w:w="6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7.67</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4.94</w:t>
            </w:r>
          </w:p>
        </w:tc>
      </w:tr>
      <w:tr>
        <w:trPr>
          <w:trHeight w:val="22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 of warrant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115.00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115.00</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115.00</w:t>
            </w:r>
          </w:p>
        </w:tc>
      </w:tr>
      <w:tr>
        <w:trPr>
          <w:trHeight w:val="23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94.00 %</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80.00 %</w:t>
            </w:r>
          </w:p>
        </w:tc>
      </w:tr>
      <w:tr>
        <w:trPr>
          <w:trHeight w:val="229"/>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4.19 %</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4.61 %</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08"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18"/>
          <w:szCs w:val="18"/>
          <w:color w:val="auto"/>
        </w:rPr>
        <w:t>CLA, in its IPO in August 2020, issued units that each consisted of one Class A ordinary share and one-half warrant to purchase a Class A ordinary share (the “Public warrants”). The warrants became exercisable 12 months following the closing of the Company’s IPO, and expire five years from the completion of the Merger, or earlier upon redemption or liquidation. On March 11, 2021, upon the closing of the Colonnade Merger, each of the 999,999 outstanding warrants, as adjusted for any fractional warrants that were not issued upon separation was converted automatically into a redeemable Public</w:t>
      </w:r>
    </w:p>
    <w:p>
      <w:pPr>
        <w:spacing w:after="0" w:line="9"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warrant to purchase one share of the Company’s common stock. As adjusted for the Reverse Stock Split, each 10 Public warrants is exercisable for one share of Ouster common stock at an exercise price of $115.00 per share, with no fractional shares issuable upon exercise of a warrant. The Public warrants were recognized as equity upon the Merger in the amount of $17.9 million.</w:t>
      </w:r>
    </w:p>
    <w:p>
      <w:pPr>
        <w:spacing w:after="0" w:line="8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Prior to their expiration, the Company may redeem the Public warrants at a price of $0.10 per warrant, provided that the closing price of the Company’s common stock equals or exceeds $180.00 per share for any 20 trading days within a 30 trading-day period ending on the third trading day prior to the date on which the Company gives proper notice of such redemption to the warrants holders.</w:t>
      </w:r>
    </w:p>
    <w:p>
      <w:pPr>
        <w:spacing w:after="0" w:line="54"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8"/>
          <w:szCs w:val="18"/>
          <w:color w:val="auto"/>
        </w:rPr>
        <w:t>The Company also assumed 5,973,170 outstanding public warrants upon closing the Velodyne Merger to purchase shares of the Company’s common stock (the “Velodyne Public warrants”). Each warrant entitles the holder to purchase 0.06153 shares of the Company’s common stock. Each 10 Velodyne Public warrants is exercisable for 0.6153 shares of the Company’s common stock at an exercise price of $140.20 per 0.6153 share of common stock, with no fractional shares being issuable upon exercise of a warrant. The warrants are exercisable at any time and expire in September 2025. The Company may redeem the outstanding warrants in whole and not in part at a price of $0.10 per warrant at any time after they become exercisable, provided that the last sale price of the Company’s common stock equals or exceeds $219.41 per share, subject to adjustments, for any 20-trading days within a 30-trading day period ending three business days prior to the date on which the Company sends the notice of redemption to the warrant holders. The Velodyne Public warrants were recognized as equity upon the Velodyne Merger.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Amazon Warrant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10, 2023, as part of the Velodyne Merger, the Company assumed a warrant agreement and a transaction agreement, pursuant to which</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Velodyne agreed to issue to Amazon.com NV Investment Holdings LLC, a wholly-owned subsidiary of Amazon.com Inc. (“Amazon”), a warrant to</w:t>
      </w:r>
    </w:p>
    <w:p>
      <w:pPr>
        <w:spacing w:after="0" w:line="234" w:lineRule="auto"/>
        <w:rPr>
          <w:sz w:val="20"/>
          <w:szCs w:val="20"/>
          <w:color w:val="auto"/>
        </w:rPr>
      </w:pPr>
      <w:r>
        <w:rPr>
          <w:rFonts w:ascii="Times New Roman" w:cs="Times New Roman" w:eastAsia="Times New Roman" w:hAnsi="Times New Roman"/>
          <w:sz w:val="18"/>
          <w:szCs w:val="18"/>
          <w:color w:val="auto"/>
        </w:rPr>
        <w:t>acquire, following customary antidilution adjustments, up to an aggregate of 3,263,898 shares of the Company’s common stock at an exercise price of</w:t>
      </w:r>
    </w:p>
    <w:p>
      <w:pPr>
        <w:spacing w:after="0" w:line="235" w:lineRule="auto"/>
        <w:rPr>
          <w:sz w:val="20"/>
          <w:szCs w:val="20"/>
          <w:color w:val="auto"/>
        </w:rPr>
      </w:pPr>
      <w:r>
        <w:rPr>
          <w:rFonts w:ascii="Times New Roman" w:cs="Times New Roman" w:eastAsia="Times New Roman" w:hAnsi="Times New Roman"/>
          <w:sz w:val="18"/>
          <w:szCs w:val="18"/>
          <w:color w:val="auto"/>
        </w:rPr>
        <w:t>$50.71 per share (the “Amazon Warrant”). The exercise price and the warrant shares issuable upon exercise of the Amazon Warrant are subject to further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antidilution adjustments, including in the event the Company makes certain sales of common stock (or securities exercisable or</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into or exchangeable for shares of the Company’s common stock) at a price less than the exercise price of the Amazon Warrant. As a result of</w:t>
      </w:r>
    </w:p>
    <w:p>
      <w:pPr>
        <w:spacing w:after="0" w:line="3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the issuance and sale by the Company of an additional 1,489,300 shares of common stock in the three months ended June 30, 2024 pursuant to the At-Market-Issuance Sales Agreement at prices below the exercise price of the Amazon Warrant, an antidilution adjustment to the terms of the Amazon Warrant occurred (see Note 9), resulting in the increase in the number of shares issuable under the Amazon Warrant by 2,218 shares of common stock and a reduction to the original strike price of the Amazon Warrant to $50.66 per share. As of June 30, 2024, there were 3,266,116 shares of common stock issuable under the Amazon Warrant.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Amazon Warrant is subject to vesting. As a result of the Velodyne Merger, 50% of the unvested Amazon Warrant as of the date of the Velodyne Merger have vested and the remainder will vest over time based on payments by Amazon or its affiliates to us in connection with Amazon’s purchase of goods and services from the Company. The vested portion of the Amazon Warrant, representing 1,848,694 shares of Ouster common stock with a fair value of $8.6 million, was included in the Velodyne Merger purchase price consideration on February 10, 2023.</w:t>
      </w:r>
    </w:p>
    <w:p>
      <w:pPr>
        <w:spacing w:after="0" w:line="9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Amazon Warrant shares vest in multiple tranches over time based on payments of up to $100.0 million by Amazon or its affiliates (directly or indirectly through third parties) to the Company in connection with Amazon’s purchase of goods and services. The fair value of the unvested Amazon Warrant, representing 1,219,235 unvested Ouster common stock shares will be recognized as a non-cash stock-based reduction to revenue when Amazon makes payments and vesting conditions become probable of being achieved.</w:t>
      </w:r>
    </w:p>
    <w:p>
      <w:pPr>
        <w:spacing w:after="0" w:line="7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fair value of the Amazon Warrant shares was estimated on February 10, 2023, the date of completion of the Velodyne Merger, using the Black-Scholes option pricing model on the remaining contractual term of 6.98 years, an expected volatility of 53.7%, a 3.86% risk-free interest rate and a 0% expected dividend yield. The Company estimated expected volatility by using historical volatility of the Company’s publicly traded stock and historical volatility of a group of publicly traded peer companies for the period commencing February 16, 2016 and ending on the date of the Merger.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right to exercise the Amazon Warrant and receive the warrant shares that have vested expires February 4, 2030.</w:t>
      </w:r>
    </w:p>
    <w:p>
      <w:pPr>
        <w:spacing w:after="0" w:line="11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 the three months ended June 30, 2024, 56,634 Amazon Warrant shares vested. As of June 30, 2024, there were 2,046,881 Amazon Warrant shares vested.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connection with certain office leasehold interests in real property located in San Francisco (350 Treat Ave and, 2741 16th Street) and in Paris, the Company obtained letters of credit from certain banks as required by the lease agreements. If the Company defaults under the terms of the applicable lease, the lessor will be entitled to draw upon the letters of credit in the amount necessary to cure the default. The amounts covered by the letters of credit are collateralized by certificates of deposit, which are included in restricted cash on the unaudited condensed consolidated balance sheets as of June 30, 2024 and December 31, 2023. The outstanding amount of the letters of credit was $1.4 million and $1.4 million as of June 30, 2024 and December 31, 2023, respectively.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From time to time, the Company may be involved in legal and administrative proceedings arising in the ordinary course of business. The Company records a liability in its consolidated financial statements for these matters when a loss is known or considered probable and the amount can be reasonably estimated. Management reviews these estimates in each accounting period as additional information becomes known and adjusts the loss provision when appropriate. If the loss is not probable or cannot be reasonably estimated, a liability is not recorded in the consolidated financial statements. If a loss is probable but the amount of loss cannot be reasonably estimated, the Company discloses the loss contingency and an estimate of possible loss or range of loss (unless such an estimate cannot be made). Legal costs incurred in connection with loss contingencies are expensed as incurred.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is involved in various legal proceedings arising in the ordinary course of business. Significant judgment is required in both the determination of probability and the determination as to whether any exposure is reasonably estimable. Actual outcomes of these legal and regulatory proceedings may materially differ from our current estimates.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Velodyne Legacy Litigation</w:t>
      </w:r>
    </w:p>
    <w:p>
      <w:pPr>
        <w:spacing w:after="0" w:line="119"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7"/>
          <w:szCs w:val="17"/>
          <w:color w:val="auto"/>
        </w:rPr>
        <w:t xml:space="preserve">On March 3, 2021, a purported shareholder of Velodyne filed a complaint for a putative class action against Velodyne, Anand Gopalan and Andrew Hamer in the United States District Court, Northern District of California, entitled </w:t>
      </w:r>
      <w:r>
        <w:rPr>
          <w:rFonts w:ascii="Times New Roman" w:cs="Times New Roman" w:eastAsia="Times New Roman" w:hAnsi="Times New Roman"/>
          <w:sz w:val="17"/>
          <w:szCs w:val="17"/>
          <w:i w:val="1"/>
          <w:iCs w:val="1"/>
          <w:color w:val="auto"/>
        </w:rPr>
        <w:t>Moradpour v. Velodyne Lidar, Inc., et al.</w:t>
      </w:r>
      <w:r>
        <w:rPr>
          <w:rFonts w:ascii="Times New Roman" w:cs="Times New Roman" w:eastAsia="Times New Roman" w:hAnsi="Times New Roman"/>
          <w:sz w:val="17"/>
          <w:szCs w:val="17"/>
          <w:color w:val="auto"/>
        </w:rPr>
        <w:t xml:space="preserve">, No. 3:21-cv01486-SI. The complaint alleged purported violations of the federal securities laws and that, among other things, the defendants made materially false and/or misleading statements and failed to disclose material facts about Velodyne’s business, operations and prospects, including with respect to David Hall’s role with Velodyne and removal as Chairman of Velodyne’s Board of Directors. The complaint alleged that purported class members have suffered losses and sought, among other things, an award of compensatory damages on behalf of a putative class of persons who purchased or otherwise acquired Velodyne’s securities between November 9, 2020 and February 19, 2021. On March 12, 2021, a putative class action entitled </w:t>
      </w:r>
      <w:r>
        <w:rPr>
          <w:rFonts w:ascii="Times New Roman" w:cs="Times New Roman" w:eastAsia="Times New Roman" w:hAnsi="Times New Roman"/>
          <w:sz w:val="17"/>
          <w:szCs w:val="17"/>
          <w:i w:val="1"/>
          <w:iCs w:val="1"/>
          <w:color w:val="auto"/>
        </w:rPr>
        <w:t>Reese v. Velodyne Lidar, Inc., et al.</w:t>
      </w:r>
      <w:r>
        <w:rPr>
          <w:rFonts w:ascii="Times New Roman" w:cs="Times New Roman" w:eastAsia="Times New Roman" w:hAnsi="Times New Roman"/>
          <w:sz w:val="17"/>
          <w:szCs w:val="17"/>
          <w:color w:val="auto"/>
        </w:rPr>
        <w:t xml:space="preserve">, No. 3:21-cv-01736-VC, was filed against Velodyne, Mr. Gopalan and Mr. Hamer in the United States District Court for the Northern District of California, based on allegations similar to those in the earlier class action and seeking recovery on behalf of the same putative class. On March 19, 2021, another putative class action entitled </w:t>
      </w:r>
      <w:r>
        <w:rPr>
          <w:rFonts w:ascii="Times New Roman" w:cs="Times New Roman" w:eastAsia="Times New Roman" w:hAnsi="Times New Roman"/>
          <w:sz w:val="17"/>
          <w:szCs w:val="17"/>
          <w:i w:val="1"/>
          <w:iCs w:val="1"/>
          <w:color w:val="auto"/>
        </w:rPr>
        <w:t>Nick v. Velodyne Lidar, Inc., et al.</w:t>
      </w:r>
      <w:r>
        <w:rPr>
          <w:rFonts w:ascii="Times New Roman" w:cs="Times New Roman" w:eastAsia="Times New Roman" w:hAnsi="Times New Roman"/>
          <w:sz w:val="17"/>
          <w:szCs w:val="17"/>
          <w:color w:val="auto"/>
        </w:rPr>
        <w:t>, No. 4:21-cv-01950-JST, was filed in the United States District Court for the Northern District of California, against Velodyne, Mr. Gopalan, Mr. Hamer, two current or former directors, and three other entities. The complaint was based on allegations similar to those in the earlier class actions and sought, among other things, an award of compensatory damages on behalf of a putative class of persons who purchased or otherwise acquired Velodyne’s securities between July 2, 2020 and March 17, 2021. The class actions have been consolidated, lead plaintiffs have been appointed and an amended consolidated complaint was filed on September 1, 2021, based on allegations similar to those in the earlier class actions. After multiple motions to dismiss, on July 1, 2022, the court denied the motion to dismiss as it relates to the claims related to David Hall’s role with Velodyne, but granted the motion to dismiss as to all other claims. On July 14, 2023, the Court granted Diane Smith’s motion for class certification.</w:t>
      </w:r>
    </w:p>
    <w:p>
      <w:pPr>
        <w:spacing w:after="0" w:line="7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March 13, 2024, the parties to the consolidated securities class action lawsuit filed a stipulation of settlement to settle this lawsuit, without any admission or concession of wrongdoing or liability by Velodyne or the individual defendants. On April 19, 2024, the court preliminarily approved the settlement that provides for a payment of $27.5 million, of which the Company expects approximately $23.4 million to be funded by insurance proceeds. A hearing on final settlement approval has been set for August 16, 2024. The Company accrued for and recorded the entire amount of this $27.5 million settlement liability and recorded the expense within general and administrative expenses in 2023 after concluding that such settlement amount is probable and reasonably estimable. As of December 31, 2023, the Company recorded an insurance receivable of $23.4 million in prepaid expenses and other current assets to be funded by insurance proceeds based on the terms of the settlement. The $23.4 million insurance receivable allows the Company to recover the majority of the settlement expense, resulting in a net charge of $4.1 million in its consolidated statement of operations. The settlement charge of</w:t>
      </w:r>
    </w:p>
    <w:p>
      <w:pPr>
        <w:spacing w:after="0" w:line="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$4.1 million was paid in the three months ended June 30, 2024. The Company will continue to assess the probable amount of insurance proceeds expected to be received in future reporting periods based on any additional facts that arise.</w:t>
      </w:r>
    </w:p>
    <w:p>
      <w:pPr>
        <w:spacing w:after="0" w:line="73"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On December 8, 2021, Velodyne received a subpoena for documents related to Wei Weng’s trading in stock of Graf Acquisition Corp. (Velodyne’s predecessor) stock during 2020, prior to the announcement that Velodyne was planning to merge into Graf Acquisition Corp. Velodyne has complied with the SEC’s requests to date; however, the SEC may request additional documents or information. No such follow up requests have been received to date.</w:t>
      </w:r>
    </w:p>
    <w:p>
      <w:pPr>
        <w:spacing w:after="0" w:line="5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January 18, 2022, David and Marta Hall filed a lawsuit in the Superior Court of California, County of Alameda, against current and former officers and directors of Velodyne, as well as Jeff Vetter, Velodyne’s outside counsel. The Halls sought to recover damages for financial and other injuries they allegedly sustained as a result of the merger between Graf and Velodyne. On May 3, 2022, certain defendants filed motions to compel arbitration and other defendants filed motions to quash service of process for lack of personal jurisdiction. The court conducted a hearing on the motions on July 20, 2022. On August 30, 2022, the court granted the motion to quash service with respect the out of state defendants. On October 3, 2022, the court granted the motion to compel Mr. Hall to arbitrate his claims, and stayed proceedings on Ms. Hall’s claims pending arbitration of Mr. Hall’s claims. On October 20, 2022, the Halls voluntarily dismissed the action without prejudice. On January 3, 2023, the Halls filed an arbitration demand with substantially the same allegations as the prior lawsuit. On or about August 22, 2023, the Halls filed an application in Texas District Court, Dallas County to compel arbitration of Messrs. Graf and Dee who had been dismissed from the prior court action for lack of personal jurisdiction. Messrs. Graf and Dee agreed to participate in the arbitration and thus the Texas action has been stayed. The arbitrator has set the arbitration hearing for February 3, 2025. The Company does not believe the claims are meritorious and intends to defend the action vigorously.</w:t>
      </w:r>
    </w:p>
    <w:p>
      <w:pPr>
        <w:spacing w:after="0" w:line="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On August 10, 2023, Plaintiffs David and Marta Hall filed a complaint against Velodyne in the Superior Court of California, County of San Francisco asserting claims for breach of contract and failure to reimburse expenses in violation of California Labor Code Section 2802 (the “2023 Hall Matter”). The 2023 Hall Matter seeks indemnification for legal fees incurred on the Halls’ behalf in connection with a prior derivative action against certain Velodyne officers and directors, and naming Velodyne as a nominal defendant, captioned </w:t>
      </w:r>
      <w:r>
        <w:rPr>
          <w:rFonts w:ascii="Times New Roman" w:cs="Times New Roman" w:eastAsia="Times New Roman" w:hAnsi="Times New Roman"/>
          <w:sz w:val="18"/>
          <w:szCs w:val="18"/>
          <w:i w:val="1"/>
          <w:iCs w:val="1"/>
          <w:color w:val="auto"/>
        </w:rPr>
        <w:t>In Re Velodyne Lidar, Inc. Derivative Action</w:t>
      </w:r>
      <w:r>
        <w:rPr>
          <w:rFonts w:ascii="Times New Roman" w:cs="Times New Roman" w:eastAsia="Times New Roman" w:hAnsi="Times New Roman"/>
          <w:sz w:val="18"/>
          <w:szCs w:val="18"/>
          <w:color w:val="auto"/>
        </w:rPr>
        <w:t>, Case No. 1:21-cv-00369-TMH (D. Del.)</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(dismissed on November 7, 2023). On November 21, 2023, Velodyne denied all allegations. The 2023 Hall Matter is now set for trial on April 8, 2025. The Company does not believe the claims are meritorious and intends to defend the action vigorously.</w:t>
      </w:r>
    </w:p>
    <w:p>
      <w:pPr>
        <w:spacing w:after="0" w:line="5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On August 25, 2023, a putative shareholder class action suit was filed in the Delaware Court of Chancery against six former officers and directors of Graf Industrial Corp. (“GIC”), the predecessor entity of Velodyne, as well as two other entities (one of which has since been dismissed without prejudice), entitled </w:t>
      </w:r>
      <w:r>
        <w:rPr>
          <w:rFonts w:ascii="Times New Roman" w:cs="Times New Roman" w:eastAsia="Times New Roman" w:hAnsi="Times New Roman"/>
          <w:sz w:val="18"/>
          <w:szCs w:val="18"/>
          <w:i w:val="1"/>
          <w:iCs w:val="1"/>
          <w:color w:val="auto"/>
        </w:rPr>
        <w:t>Berger v. Graf Acquisition, LLC,</w:t>
      </w:r>
      <w:r>
        <w:rPr>
          <w:rFonts w:ascii="Times New Roman" w:cs="Times New Roman" w:eastAsia="Times New Roman" w:hAnsi="Times New Roman"/>
          <w:sz w:val="18"/>
          <w:szCs w:val="18"/>
          <w:color w:val="auto"/>
        </w:rPr>
        <w:t xml:space="preserve"> et al., No. C.A. 2023 0873 LWW. The Company, GIC and Velodyne are not named as defendants. The plaintiff, who was allegedly a GIC shareholder, asserts claims for breach of fiduciary duty and unjust enrichment in connection with the merger of GIC and Velodyne on September 29, 2020, and seeks damages, disgorgement and other recovery on behalf of the putative class of GIC shareholders in an unspecified amount. The Company is obligated to indemnify such former officers and directors under certain circumstances. The court has set trial for July 14, 2025. The Company does not believe the claims are meritorious and intends to defend the action vigorously.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Ouster Litigation</w:t>
      </w:r>
    </w:p>
    <w:p>
      <w:pPr>
        <w:spacing w:after="0" w:line="11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June 10, 2021, the Company received a letter from the SEC notifying the Company of an investigation and document subpoena. The subpoena seeks documents regarding projected financial information in CLA’s Form S-4 registration statement filed on December 22, 2020. On August 15, 2023, the SEC informed the Company that they have concluded the investigation and that they do not intend to recommend any enforcement action.</w:t>
      </w:r>
    </w:p>
    <w:p>
      <w:pPr>
        <w:spacing w:after="0" w:line="6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On April 11, 2023, the Company filed a complaint with the United States International Trade Commission (the “Commission”) pursuant to 19 U.S.C. § 1337 (“Section 337”). The complaint requests that the Commission institute an investigation relating to the unlawful importation, sale for importation, and/or sale after importation into the United States by Hesai Group, Hesai Technology Co., Ltd., and Hesai Inc. (collectively “Hesai”) of certain LiDAR (Light Detection and Ranging) systems and/or components thereof. The complaint alleges that Hesai’s LiDAR products infringe certain claims of the Company’s U.S. Patent Nos. 11,175,405, 11,178,381, 11,190,750, 11,287,515 and/or 11,422,236. The complaint seeks the issuance of a permanent exclusion order and cease and desist order. On May 11, 2023, the Commission decided to institute an investigation based on the Company’s complaint as In the Matter of Certain LiDAR (Light Detection and Ranging) Systems and Components Thereof, 337-TA-1363. On May 25, 2023, the Administrative Law Judge (“ALJ”) issued a procedural schedule whereby the evidentiary hearing was to begin on January 4, 2024, with a target date for completion of the Investigation by the Commission on October 17, 2024. On June 7, 2023, Hesai responded to the complaint and denied all allegations. On June 22, 2023, Hesai filed a motion to terminate or alternatively stay the investigation in light of an alleged agreement to arbitrate based on the Settlement Agreement signed in 2020 between Hesai and Velodyne (the “Settlement Agreement”). Hesai alleged that the Company is bound to the 2020 Settlement Agreement as a result of the Company’s merger with Velodyne in 2023. The Company opposed the motion, including any allegation that the Company has any obligation to arbitrate or that its patents are subject to any terms of the 2020 Settlement Agreement, which the Company never signed. On August 24, 2023, the ALJ issued an initial determination granting the motion to terminate, holding that a valid arbitration agreement exists as part of the Settlement Agreement, and thus the arbitrators should decide whether the Company has obligation to arbitrate. On August 31, 2023, the Company filed a petition for review of the initial determination with the Commission. On September 14, 2023, Hesai responded. On October 11, 2023, the Commission issued a notice of its determination to review and, on review, to affirm with modification the ALJ’s initial determination granting the motion to terminate the investigation in its entirety based upon the arbitration agreement. As a result, the investigation was terminated.</w:t>
      </w:r>
    </w:p>
    <w:p>
      <w:pPr>
        <w:spacing w:after="0" w:line="8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April 11, 2023, the Company also filed a complaint in the District of Delaware alleging patent infringement of the same patents as in the aforementioned Section 337 proceeding against Hesai Group and Hesai Technology Co., Ltd. The complaint seeks monetary damages as well as the issuance of a permanent injunction. On May 30, 2023, the Court granted a stay of the case pending the resolution, including all appeals, of In the Matter of Certain LiDAR (Light Detection and Ranging) Systems and Components Thereof, 337-TA-1363.</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May 17, 2023, Hesai Photonics Technology Co. Ltd. and Hesai Group (collectively “Hesai Photonics”) filed a request for arbitration with JAMS against the Company, Velodyne Lidar, Inc., Velodyne, LLC, and Oban Merger Sub II LLC. Hesai Photonics alleges that the Company is bound by the terms and conditions, including an obligation to arbitrate disputes, of a Settlement Agreement signed in 2020 between Hesai Photonics and Velodyne Lidar, Inc. as a result of the Company’s 2023 merger with Velodyne Lidar, Inc. On June 13, 2023, the Company responded to the arbitration demand. The Company denied all allegations. The Company also disputed that there was an obligation to arbitrate, and thus, alleged that JAMS lacked jurisdiction. The arbitration hearing date is set for November 18, 2024.</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On September 14, September 25, and September 26, 2023, Hesai filed Petitions for Inter Partes Review with the Patent Trial and Appeal Board (“PTAB”) challenging the validity of the Company’s patents asserted in the ITC and Delaware patent actions. The Company provided preliminary responses to those petitions in late December 2023 and early January 2024. On March 19, 2024, March 28, 2024, and April 1, 2024, the PTAB issued decisions to institute inter partes review for four of the five patents and declined to institute review of the fifth patent. The case numbers and patents for the four matters in which review has been instituted, and the corresponding hearing dates, are: IPR2023-01421 (Patent No. 11,175,405), hearing date of December 17, 2024; IPR2023-01422 (Patent No. 11,287,515), hearing date of December 17, 2024; IPR2023-01456 (Patent No. 11,178,381), hearing date of January 13, 2025; and IPR2023-01457 (Patent No. 11,190,750), hearing date of January 13, 2025. The matter that was not instituted was IPR2023-01458, involving Patent No. 11,422,236, but on July 25, 2024, the Director of the United States Patent and Trademark Office remanded to the PTAB for further review of its decision not to institute.</w:t>
      </w:r>
    </w:p>
    <w:p>
      <w:pPr>
        <w:spacing w:after="0" w:line="80" w:lineRule="exact"/>
        <w:rPr>
          <w:sz w:val="20"/>
          <w:szCs w:val="20"/>
          <w:color w:val="auto"/>
        </w:rPr>
      </w:pPr>
    </w:p>
    <w:p>
      <w:pPr>
        <w:ind w:right="60"/>
        <w:spacing w:after="0" w:line="438" w:lineRule="auto"/>
        <w:rPr>
          <w:sz w:val="20"/>
          <w:szCs w:val="20"/>
          <w:color w:val="auto"/>
        </w:rPr>
      </w:pPr>
      <w:r>
        <w:rPr>
          <w:rFonts w:ascii="Times New Roman" w:cs="Times New Roman" w:eastAsia="Times New Roman" w:hAnsi="Times New Roman"/>
          <w:sz w:val="18"/>
          <w:szCs w:val="18"/>
          <w:color w:val="auto"/>
        </w:rPr>
        <w:t xml:space="preserve">Other than as set forth above, as of June 30, 2024 the Company is unable to estimate a possible loss or range of losses in respect to those disclosed matters. </w:t>
      </w:r>
      <w:r>
        <w:rPr>
          <w:rFonts w:ascii="Times New Roman" w:cs="Times New Roman" w:eastAsia="Times New Roman" w:hAnsi="Times New Roman"/>
          <w:sz w:val="18"/>
          <w:szCs w:val="18"/>
          <w:b w:val="1"/>
          <w:bCs w:val="1"/>
          <w:i w:val="1"/>
          <w:iCs w:val="1"/>
          <w:color w:val="auto"/>
        </w:rPr>
        <w:t>Indemnification</w:t>
      </w:r>
    </w:p>
    <w:p>
      <w:pPr>
        <w:spacing w:after="0" w:line="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From time to time, the Company enters into agreements in the ordinary course of business that include indemnification provisions. Generally, in these provisions the Company agrees to defend, indemnify, and hold harmless the indemnified parties for claims and losses suffered or incurred by such indemnified parties for which the Company is responsible under the applicable indemnification provisions. The terms of the indemnification provisions vary depending upon negotiations between the Company and its counterpart; however, typically, these indemnification obligations survive the term of the contract and the maximum potential amount of future payments the Company could be required to make pursuant to these provisions are uncapped.</w:t>
      </w:r>
    </w:p>
    <w:p>
      <w:pPr>
        <w:spacing w:after="0" w:line="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has also entered into indemnity agreements pursuant to which it has indemnified its directors and officers, to the extent legally permissible, against all liabilities reasonably incurred in connection with any action in which such individual may be involved by reason of such individual being or having been a director or executive officer, other than liabilities arising from willful misconduct of the individual. To date, the Company is indemnifying and has incurred costs to defend lawsuits or settle claims described above under the heading “Litigation” pursuant to the indemnity agreements of former directors and officers.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Common Stock</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terms of the Second Amended and Restated Certificate of Incorporation, the Company is authorized to issue the following shares and classes of capital stock, each with a par value of $0.0001 per share: (i) 100,000,000 shares of common stock; (ii) 100,000,000 shares of preferred stock. The holder of each share of common stock is entitled to one vote.</w:t>
      </w:r>
    </w:p>
    <w:p>
      <w:pPr>
        <w:spacing w:after="0" w:line="6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April 29, 2022, the Company entered into an At-Market-Issuance Sales Agreement (the “ATM Agreement”) pursuant to which the Company may, subject to the terms and conditions set forth in the agreement offer and sell, from time to time, through or to the agents, acting as agent or principal, shares of the Company’s common stock, par value $0.0001 per share, having an aggregate offering price of up to $150.0 million.</w:t>
      </w:r>
    </w:p>
    <w:p>
      <w:pPr>
        <w:spacing w:after="0" w:line="6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2024, the Company sold 1,489,300 shares of common stock under the ATM agreement at a weighted-average price of 10.68 per share, for net proceeds of $15.9 million which is net of sales commissions and other fees of approximately $0.5 million.</w:t>
      </w:r>
    </w:p>
    <w:p>
      <w:pPr>
        <w:spacing w:after="0" w:line="5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From the date of the ATM Agreement through June 30, 2024, the Company sold 5,495,117 shares at a weighted-average sales price of $9.17 per share, resulting in cumulative gross proceeds to the Company totaling approximately $52.0 million before deducting offering costs, sales commissions and fees. Cumulative net proceeds to the Company totaled approximately $50.4 million after deducting offering costs, sales commissions and fees. The Company plans to use the net proceeds from this offering for working capital and general corporate purposes.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availability under the ATM Agreement as of June 30, 2024 is approximately $98.0 million.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Stock-based Compensation</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of June 30, 2024, the Company has five equity incentive plans: its Amended and Restated 2015 Stock Plan (the “2015 Plan”), the Sense Photonics, Inc. 2017 Equity Incentive Plan (the “Sense Plan”), the Velodyne Lidar, Inc. 2020 Equity Incentive Plan (the “Velodyne Plan”), its 2021 Incentive Award Plan (the “2021 Plan”) and its Amended and Restated 2022 Employee Stock Purchase Plan (the “2022 ESPP” and, collectively with the 2015 Plan, the Sense Plan, the Velodyne Plan and the 2021 Plan, the “Plans”).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Plans, other than the 2022 ESPP, provide for the grant of stock options, stock appreciation rights, restricted stock awards (“RSAs”), restricted stock units (“RSUs”), performance stock unit awards and other forms of equity compensation (collectively, “equity awards”). In addition, the 2021 Plan provides for the grant of performance bonus awards. New equity awards may only be granted under the Velodyne Plan and the 2021 Plan. Awards under the 2021 Plan and Velodyne Plan can be granted to employees, including officers, directors and consultants of the Company and its subsidiaries, in each case, within the limits provided in the 2021 Plan and Velodyne Plan, respectively.</w:t>
      </w:r>
    </w:p>
    <w:p>
      <w:pPr>
        <w:spacing w:after="0" w:line="1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2022 ESPP has been offered to all eligible employees since August 2022 and generally permits certain employees to purchase shares of our common stock through payroll deductions of up to 15% of their compensation of each offering period, subject to certain limitations.</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2022 ESPP provides offering periods that have a duration of 24 months in length and are comprised of purchase periods of six months in length. The offering periods are scheduled to start on the first trading day on or after May 16 and November 16 of each year. Under the 2022 ESPP, the purchase price of a share under the ESPP equals 85% of the lesser of the fair market value of a share of common stock on either the first or last day of the applicable offering period or the last day of the applicable purchase period.</w:t>
      </w:r>
    </w:p>
    <w:p>
      <w:pPr>
        <w:spacing w:after="0" w:line="12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May 2023, the Company increased the share purchase limit under the 2022 ESPP to 3,000 shares of Company common stock per offering period and added Velodyne Lidar, Inc. as a participating employer in the 2022 ESPP.</w:t>
      </w:r>
    </w:p>
    <w:p>
      <w:pPr>
        <w:spacing w:after="0" w:line="10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June 30, 2024, 184,079 shares of common stock were issued under the 2022 ESPP, at a price of $4.24 per share, which represented 85% of the market price of the common stock on November 16, 2023, the first day of the offering period, which was lower than the closing trading price of the common stock on the exercise date. As of June 30, 2024, 0.7 million shares of the Company’s common stock were pending issuance under the 2022 ESPP. The stock-based compensation expense is calculated as of the beginning of the offering period as the fair value of the 2022 ESPP shares utilizing the Black-Scholes option valuation model and is recognized over the offering period.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for the six months ended June 30, 2024 is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240" w:type="dxa"/>
            <w:vAlign w:val="bottom"/>
          </w:tcPr>
          <w:p>
            <w:pPr>
              <w:spacing w:after="0"/>
              <w:rPr>
                <w:sz w:val="12"/>
                <w:szCs w:val="12"/>
                <w:color w:val="auto"/>
              </w:rPr>
            </w:pPr>
          </w:p>
        </w:tc>
        <w:tc>
          <w:tcPr>
            <w:tcW w:w="14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4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vMerge w:val="restart"/>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37"/>
        </w:trPr>
        <w:tc>
          <w:tcPr>
            <w:tcW w:w="5240" w:type="dxa"/>
            <w:vAlign w:val="bottom"/>
          </w:tcPr>
          <w:p>
            <w:pPr>
              <w:spacing w:after="0"/>
              <w:rPr>
                <w:sz w:val="11"/>
                <w:szCs w:val="11"/>
                <w:color w:val="auto"/>
              </w:rPr>
            </w:pPr>
          </w:p>
        </w:tc>
        <w:tc>
          <w:tcPr>
            <w:tcW w:w="14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4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240" w:type="dxa"/>
            <w:vAlign w:val="bottom"/>
          </w:tcPr>
          <w:p>
            <w:pPr>
              <w:spacing w:after="0"/>
              <w:rPr>
                <w:sz w:val="12"/>
                <w:szCs w:val="12"/>
                <w:color w:val="auto"/>
              </w:rPr>
            </w:pPr>
          </w:p>
        </w:tc>
        <w:tc>
          <w:tcPr>
            <w:tcW w:w="14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4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center"/>
              <w:ind w:right="178"/>
              <w:spacing w:after="0" w:line="146"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8"/>
        </w:trPr>
        <w:tc>
          <w:tcPr>
            <w:tcW w:w="524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8"/>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Outstanding—December 31, 2023</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1,871,649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6,191</w:t>
            </w:r>
          </w:p>
        </w:tc>
        <w:tc>
          <w:tcPr>
            <w:tcW w:w="0" w:type="dxa"/>
            <w:vAlign w:val="bottom"/>
          </w:tcPr>
          <w:p>
            <w:pPr>
              <w:spacing w:after="0"/>
              <w:rPr>
                <w:sz w:val="1"/>
                <w:szCs w:val="1"/>
                <w:color w:val="auto"/>
              </w:rPr>
            </w:pPr>
          </w:p>
        </w:tc>
      </w:tr>
      <w:tr>
        <w:trPr>
          <w:trHeight w:val="230"/>
        </w:trPr>
        <w:tc>
          <w:tcPr>
            <w:tcW w:w="5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Options exercised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Options cancelled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Outstanding—June 30, 2024</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1,788,084</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340" w:type="dxa"/>
            <w:vAlign w:val="bottom"/>
            <w:tcBorders>
              <w:bottom w:val="single" w:sz="8" w:color="CCEEFF"/>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7,930</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vest—June 30, 2024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1,788,084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7,930</w:t>
            </w:r>
          </w:p>
        </w:tc>
        <w:tc>
          <w:tcPr>
            <w:tcW w:w="0" w:type="dxa"/>
            <w:vAlign w:val="bottom"/>
          </w:tcPr>
          <w:p>
            <w:pPr>
              <w:spacing w:after="0"/>
              <w:rPr>
                <w:sz w:val="1"/>
                <w:szCs w:val="1"/>
                <w:color w:val="auto"/>
              </w:rPr>
            </w:pPr>
          </w:p>
        </w:tc>
      </w:tr>
      <w:tr>
        <w:trPr>
          <w:trHeight w:val="228"/>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Exercisable—June 30, 2024</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1,659,069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7,421</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and exercisable at June 30, 2024.</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00" w:type="dxa"/>
            <w:vAlign w:val="bottom"/>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center"/>
              <w:ind w:left="308"/>
              <w:spacing w:after="0" w:line="142"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jc w:val="center"/>
              <w:ind w:left="308"/>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62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620" w:type="dxa"/>
            <w:vAlign w:val="bottom"/>
            <w:vMerge w:val="restart"/>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2"/>
                <w:szCs w:val="12"/>
                <w:color w:val="auto"/>
              </w:rPr>
            </w:pPr>
          </w:p>
        </w:tc>
        <w:tc>
          <w:tcPr>
            <w:tcW w:w="120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146"/>
        </w:trPr>
        <w:tc>
          <w:tcPr>
            <w:tcW w:w="4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center"/>
              <w:ind w:left="308"/>
              <w:spacing w:after="0" w:line="146"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16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62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7"/>
                <w:szCs w:val="17"/>
                <w:color w:val="auto"/>
              </w:rPr>
            </w:pPr>
          </w:p>
        </w:tc>
        <w:tc>
          <w:tcPr>
            <w:tcW w:w="120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0" w:type="dxa"/>
            <w:vAlign w:val="bottom"/>
          </w:tcPr>
          <w:p>
            <w:pPr>
              <w:spacing w:after="0"/>
              <w:rPr>
                <w:sz w:val="1"/>
                <w:szCs w:val="1"/>
                <w:color w:val="auto"/>
              </w:rPr>
            </w:pPr>
          </w:p>
        </w:tc>
      </w:tr>
      <w:tr>
        <w:trPr>
          <w:trHeight w:val="229"/>
        </w:trPr>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212,684</w:t>
            </w:r>
          </w:p>
        </w:tc>
        <w:tc>
          <w:tcPr>
            <w:tcW w:w="8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210,786</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809,709</w:t>
            </w: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745,644</w:t>
            </w:r>
          </w:p>
        </w:tc>
        <w:tc>
          <w:tcPr>
            <w:tcW w:w="0" w:type="dxa"/>
            <w:vAlign w:val="bottom"/>
          </w:tcPr>
          <w:p>
            <w:pPr>
              <w:spacing w:after="0"/>
              <w:rPr>
                <w:sz w:val="1"/>
                <w:szCs w:val="1"/>
                <w:color w:val="auto"/>
              </w:rPr>
            </w:pPr>
          </w:p>
        </w:tc>
      </w:tr>
      <w:tr>
        <w:trPr>
          <w:trHeight w:val="230"/>
        </w:trPr>
        <w:tc>
          <w:tcPr>
            <w:tcW w:w="4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752,408</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689,706</w:t>
            </w:r>
          </w:p>
        </w:tc>
        <w:tc>
          <w:tcPr>
            <w:tcW w:w="0" w:type="dxa"/>
            <w:vAlign w:val="bottom"/>
          </w:tcPr>
          <w:p>
            <w:pPr>
              <w:spacing w:after="0"/>
              <w:rPr>
                <w:sz w:val="1"/>
                <w:szCs w:val="1"/>
                <w:color w:val="auto"/>
              </w:rPr>
            </w:pPr>
          </w:p>
        </w:tc>
      </w:tr>
      <w:tr>
        <w:trPr>
          <w:trHeight w:val="230"/>
        </w:trPr>
        <w:tc>
          <w:tcPr>
            <w:tcW w:w="42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8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13,238</w:t>
            </w:r>
          </w:p>
        </w:tc>
        <w:tc>
          <w:tcPr>
            <w:tcW w:w="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12,933</w:t>
            </w:r>
          </w:p>
        </w:tc>
        <w:tc>
          <w:tcPr>
            <w:tcW w:w="0" w:type="dxa"/>
            <w:vAlign w:val="bottom"/>
          </w:tcPr>
          <w:p>
            <w:pPr>
              <w:spacing w:after="0"/>
              <w:rPr>
                <w:sz w:val="1"/>
                <w:szCs w:val="1"/>
                <w:color w:val="auto"/>
              </w:rPr>
            </w:pPr>
          </w:p>
        </w:tc>
      </w:tr>
      <w:tr>
        <w:trPr>
          <w:trHeight w:val="248"/>
        </w:trPr>
        <w:tc>
          <w:tcPr>
            <w:tcW w:w="4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1,788,039</w:t>
            </w: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1,659,069</w:t>
            </w:r>
          </w:p>
        </w:tc>
        <w:tc>
          <w:tcPr>
            <w:tcW w:w="0" w:type="dxa"/>
            <w:vAlign w:val="bottom"/>
          </w:tcPr>
          <w:p>
            <w:pPr>
              <w:spacing w:after="0"/>
              <w:rPr>
                <w:sz w:val="1"/>
                <w:szCs w:val="1"/>
                <w:color w:val="auto"/>
              </w:rPr>
            </w:pP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As of June 30, 2024, there was approximately $1.4 million of unamortized stock-based compensation expense related to unvested stock options that is expected to be recognized over a weighted average period of 0.3 years.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RSU activity is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3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6"/>
        </w:trPr>
        <w:tc>
          <w:tcPr>
            <w:tcW w:w="81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77"/>
              <w:spacing w:after="0" w:line="146"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8"/>
        </w:trPr>
        <w:tc>
          <w:tcPr>
            <w:tcW w:w="8100" w:type="dxa"/>
            <w:vAlign w:val="bottom"/>
          </w:tcPr>
          <w:p>
            <w:pPr>
              <w:spacing w:after="0"/>
              <w:rPr>
                <w:sz w:val="17"/>
                <w:szCs w:val="17"/>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60" w:type="dxa"/>
            <w:vAlign w:val="bottom"/>
          </w:tcPr>
          <w:p>
            <w:pPr>
              <w:spacing w:after="0"/>
              <w:rPr>
                <w:sz w:val="17"/>
                <w:szCs w:val="17"/>
                <w:color w:val="auto"/>
              </w:rPr>
            </w:pPr>
          </w:p>
        </w:tc>
        <w:tc>
          <w:tcPr>
            <w:tcW w:w="136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28"/>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Unvested—December 31, 2023</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3,074,939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0" w:type="dxa"/>
            <w:vAlign w:val="bottom"/>
          </w:tcPr>
          <w:p>
            <w:pPr>
              <w:spacing w:after="0"/>
              <w:rPr>
                <w:sz w:val="1"/>
                <w:szCs w:val="1"/>
                <w:color w:val="auto"/>
              </w:rPr>
            </w:pPr>
          </w:p>
        </w:tc>
      </w:tr>
      <w:tr>
        <w:trPr>
          <w:trHeight w:val="229"/>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2,334,378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Canceled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(1,070,815)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Unvested—June 30,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4,210,545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Stock compensation expense is recognized on a straight-line basis over the vesting period of each award of RSUs. As of June 30, 2024, total compensation expense related to unvested RSUs granted to employees, but not yet recognized, was $43.4 million, with a weighted-average remaining vesting period of 1.6 years. RSUs settle into shares of common stock upon vesting.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RSA activity is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3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81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5"/>
        </w:trPr>
        <w:tc>
          <w:tcPr>
            <w:tcW w:w="810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60" w:type="dxa"/>
            <w:vAlign w:val="bottom"/>
          </w:tcPr>
          <w:p>
            <w:pPr>
              <w:spacing w:after="0"/>
              <w:rPr>
                <w:sz w:val="16"/>
                <w:szCs w:val="16"/>
                <w:color w:val="auto"/>
              </w:rPr>
            </w:pPr>
          </w:p>
        </w:tc>
        <w:tc>
          <w:tcPr>
            <w:tcW w:w="136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28"/>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Unvested—December 31, 2023</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380,383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0" w:type="dxa"/>
            <w:vAlign w:val="bottom"/>
          </w:tcPr>
          <w:p>
            <w:pPr>
              <w:spacing w:after="0"/>
              <w:rPr>
                <w:sz w:val="1"/>
                <w:szCs w:val="1"/>
                <w:color w:val="auto"/>
              </w:rPr>
            </w:pPr>
          </w:p>
        </w:tc>
      </w:tr>
      <w:tr>
        <w:trPr>
          <w:trHeight w:val="229"/>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533,601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Canceled</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(187,610)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Unvested—June 30,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726,374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Stock compensation expense is recognized on a straight-line basis over the vesting period of each award of RSAs. As of June 30, 2024, total compensation expense related to unvested RSAs granted to employees, but not yet recognized, was $5.5 million, with a weighted-average remaining vesting period of 1.2 years. The common stock comprising RSAs is issued at grant but, generally, is subject to a risk of forfeiture if the holder terminates service with the Company and its subsidiaries prior to vesting.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14"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The Company recognized stock-based compensation expense for all share-based awards in the condensed consolidated statements of operations and comprehensive loss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4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15,709</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6,381</w:t>
            </w:r>
          </w:p>
        </w:tc>
      </w:tr>
      <w:tr>
        <w:trPr>
          <w:trHeight w:val="230"/>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14,728</w:t>
            </w:r>
          </w:p>
        </w:tc>
      </w:tr>
      <w:tr>
        <w:trPr>
          <w:trHeight w:val="248"/>
        </w:trPr>
        <w:tc>
          <w:tcPr>
            <w:tcW w:w="5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10,695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38,246</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by award type (in thousands):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4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29,787</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4,012</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30"/>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RSAs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4,039</w:t>
            </w:r>
          </w:p>
        </w:tc>
      </w:tr>
      <w:tr>
        <w:trPr>
          <w:trHeight w:val="248"/>
        </w:trPr>
        <w:tc>
          <w:tcPr>
            <w:tcW w:w="5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10,695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38,246</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based compensation recognized upon completion of the Velodyne Merger</w:t>
      </w:r>
    </w:p>
    <w:p>
      <w:pPr>
        <w:spacing w:after="0" w:line="21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The Company recognized $6.1 million of stock-based compensation expense in the six months ended June 30, 2023 related to accelerated vesting of certain RSUs upon completion of the Velodyne Merger and termination of employment of some of its executives and members of the board, who had accelerated vesting provisions in the event of a change in control. Additionally, in the six months ended June 30, 2023, the Company recognized $2.4 million of stock-based compensation expense related to accelerated vesting of certain Velodyne restricted stock units, restricted stock awards and performance-based awards upon completion of the Velodyne Merger and termination of employment of some of Velodyne executives and members of the board.</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Net Loss Per Common Share</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common share attributable to common stockholders (in thousands, except share and per share data):</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Numerator:</w:t>
      </w:r>
    </w:p>
    <w:p>
      <w:pPr>
        <w:spacing w:after="0" w:line="27" w:lineRule="exact"/>
        <w:rPr>
          <w:sz w:val="20"/>
          <w:szCs w:val="20"/>
          <w:color w:val="auto"/>
        </w:rPr>
      </w:pPr>
    </w:p>
    <w:p>
      <w:pPr>
        <w:ind w:left="240"/>
        <w:spacing w:after="0"/>
        <w:tabs>
          <w:tab w:leader="none" w:pos="5140" w:val="left"/>
        </w:tabs>
        <w:rPr>
          <w:sz w:val="20"/>
          <w:szCs w:val="20"/>
          <w:color w:val="auto"/>
        </w:rPr>
      </w:pPr>
      <w:r>
        <w:rPr>
          <w:rFonts w:ascii="Times New Roman" w:cs="Times New Roman" w:eastAsia="Times New Roman" w:hAnsi="Times New Roman"/>
          <w:sz w:val="18"/>
          <w:szCs w:val="18"/>
          <w:color w:val="auto"/>
        </w:rPr>
        <w:t>Net loss</w:t>
      </w:r>
      <w:r>
        <w:rPr>
          <w:sz w:val="20"/>
          <w:szCs w:val="20"/>
          <w:color w:val="auto"/>
        </w:rPr>
        <w:tab/>
      </w:r>
      <w:r>
        <w:rPr>
          <w:rFonts w:ascii="Times New Roman" w:cs="Times New Roman" w:eastAsia="Times New Roman" w:hAnsi="Times New Roman"/>
          <w:sz w:val="16"/>
          <w:szCs w:val="16"/>
          <w:color w:val="auto"/>
        </w:rPr>
        <w:t>$</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Denominator:</w:t>
      </w:r>
    </w:p>
    <w:p>
      <w:pPr>
        <w:spacing w:after="0" w:line="27" w:lineRule="exact"/>
        <w:rPr>
          <w:sz w:val="20"/>
          <w:szCs w:val="20"/>
          <w:color w:val="auto"/>
        </w:rPr>
      </w:pPr>
    </w:p>
    <w:p>
      <w:pPr>
        <w:ind w:left="240" w:right="140"/>
        <w:spacing w:after="0" w:line="245" w:lineRule="auto"/>
        <w:rPr>
          <w:sz w:val="20"/>
          <w:szCs w:val="20"/>
          <w:color w:val="auto"/>
        </w:rPr>
      </w:pPr>
      <w:r>
        <w:rPr>
          <w:rFonts w:ascii="Times New Roman" w:cs="Times New Roman" w:eastAsia="Times New Roman" w:hAnsi="Times New Roman"/>
          <w:sz w:val="18"/>
          <w:szCs w:val="18"/>
          <w:color w:val="auto"/>
        </w:rPr>
        <w:t>Weighted average shares used to compute basic and diluted net loss per share</w:t>
      </w:r>
    </w:p>
    <w:p>
      <w:pPr>
        <w:spacing w:after="0" w:line="5" w:lineRule="exact"/>
        <w:rPr>
          <w:sz w:val="20"/>
          <w:szCs w:val="20"/>
          <w:color w:val="auto"/>
        </w:rPr>
      </w:pPr>
    </w:p>
    <w:p>
      <w:pPr>
        <w:ind w:left="240"/>
        <w:spacing w:after="0"/>
        <w:tabs>
          <w:tab w:leader="none" w:pos="5140" w:val="left"/>
        </w:tabs>
        <w:rPr>
          <w:sz w:val="20"/>
          <w:szCs w:val="20"/>
          <w:color w:val="auto"/>
        </w:rPr>
      </w:pPr>
      <w:r>
        <w:rPr>
          <w:rFonts w:ascii="Times New Roman" w:cs="Times New Roman" w:eastAsia="Times New Roman" w:hAnsi="Times New Roman"/>
          <w:sz w:val="18"/>
          <w:szCs w:val="18"/>
          <w:color w:val="auto"/>
        </w:rPr>
        <w:t>Net loss per common share—basic and diluted</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5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980" w:type="dxa"/>
            <w:vAlign w:val="bottom"/>
            <w:vMerge w:val="restart"/>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2"/>
                <w:szCs w:val="2"/>
                <w:color w:val="auto"/>
              </w:rPr>
            </w:pPr>
          </w:p>
        </w:tc>
        <w:tc>
          <w:tcPr>
            <w:tcW w:w="1100" w:type="dxa"/>
            <w:vAlign w:val="bottom"/>
            <w:vMerge w:val="restart"/>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98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445"/>
        </w:trPr>
        <w:tc>
          <w:tcPr>
            <w:tcW w:w="9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(23,869)</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(122,733)</w:t>
            </w:r>
          </w:p>
        </w:tc>
        <w:tc>
          <w:tcPr>
            <w:tcW w:w="80" w:type="dxa"/>
            <w:vAlign w:val="bottom"/>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(47,718)</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(300,013)</w:t>
            </w: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44,737,769</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38,448,241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44,077,383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33,937,505</w:t>
            </w:r>
          </w:p>
        </w:tc>
        <w:tc>
          <w:tcPr>
            <w:tcW w:w="0" w:type="dxa"/>
            <w:vAlign w:val="bottom"/>
          </w:tcPr>
          <w:p>
            <w:pPr>
              <w:spacing w:after="0"/>
              <w:rPr>
                <w:sz w:val="1"/>
                <w:szCs w:val="1"/>
                <w:color w:val="auto"/>
              </w:rPr>
            </w:pPr>
          </w:p>
        </w:tc>
      </w:tr>
      <w:tr>
        <w:trPr>
          <w:trHeight w:val="94"/>
        </w:trPr>
        <w:tc>
          <w:tcPr>
            <w:tcW w:w="980" w:type="dxa"/>
            <w:vAlign w:val="bottom"/>
            <w:vMerge w:val="restart"/>
          </w:tcPr>
          <w:p>
            <w:pPr>
              <w:jc w:val="right"/>
              <w:ind w:right="37"/>
              <w:spacing w:after="0"/>
              <w:rPr>
                <w:sz w:val="20"/>
                <w:szCs w:val="20"/>
                <w:color w:val="auto"/>
              </w:rPr>
            </w:pPr>
            <w:r>
              <w:rPr>
                <w:rFonts w:ascii="Times New Roman" w:cs="Times New Roman" w:eastAsia="Times New Roman" w:hAnsi="Times New Roman"/>
                <w:sz w:val="18"/>
                <w:szCs w:val="18"/>
                <w:color w:val="auto"/>
              </w:rPr>
              <w:t>(0.53)</w:t>
            </w:r>
          </w:p>
        </w:tc>
        <w:tc>
          <w:tcPr>
            <w:tcW w:w="3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980" w:type="dxa"/>
            <w:vAlign w:val="bottom"/>
            <w:vMerge w:val="continue"/>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-187960</wp:posOffset>
            </wp:positionV>
            <wp:extent cx="7071995"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71995" cy="18859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-616585</wp:posOffset>
            </wp:positionV>
            <wp:extent cx="7071995"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71995" cy="16319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-908050</wp:posOffset>
            </wp:positionV>
            <wp:extent cx="7071995"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71995" cy="145415"/>
                    </a:xfrm>
                    <a:prstGeom prst="rect">
                      <a:avLst/>
                    </a:prstGeom>
                    <a:noFill/>
                  </pic:spPr>
                </pic:pic>
              </a:graphicData>
            </a:graphic>
          </wp:anchor>
        </w:drawing>
        <w:drawing>
          <wp:anchor simplePos="0" relativeHeight="251657728" behindDoc="1" locked="0" layoutInCell="0" allowOverlap="1">
            <wp:simplePos x="0" y="0"/>
            <wp:positionH relativeFrom="column">
              <wp:posOffset>-343535</wp:posOffset>
            </wp:positionH>
            <wp:positionV relativeFrom="paragraph">
              <wp:posOffset>-1045210</wp:posOffset>
            </wp:positionV>
            <wp:extent cx="18770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440"/>
            <w:col w:w="5560"/>
          </w:cols>
          <w:pgMar w:left="320" w:top="229" w:right="339" w:bottom="1440" w:gutter="0" w:footer="0" w:header="0"/>
          <w:type w:val="continuous"/>
        </w:sectPr>
      </w:pPr>
    </w:p>
    <w:p>
      <w:pPr>
        <w:spacing w:after="0" w:line="3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weighted average number of shares used to compute basic and diluted net loss per share excludes unvested early exercised common stock options subject to repurchase.</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outstanding shares of potentially dilutive securities were excluded from the computation of diluted net loss per share attributable to common stockholders for the periods presented because including them would have been antidilutive: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00" w:type="dxa"/>
            <w:vAlign w:val="bottom"/>
          </w:tcPr>
          <w:p>
            <w:pPr>
              <w:spacing w:after="0"/>
              <w:rPr>
                <w:sz w:val="16"/>
                <w:szCs w:val="16"/>
                <w:color w:val="auto"/>
              </w:rPr>
            </w:pPr>
          </w:p>
        </w:tc>
        <w:tc>
          <w:tcPr>
            <w:tcW w:w="1740" w:type="dxa"/>
            <w:vAlign w:val="bottom"/>
            <w:gridSpan w:val="3"/>
          </w:tcPr>
          <w:p>
            <w:pPr>
              <w:ind w:left="1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Pr>
          <w:p>
            <w:pPr>
              <w:spacing w:after="0"/>
              <w:rPr>
                <w:sz w:val="16"/>
                <w:szCs w:val="16"/>
                <w:color w:val="auto"/>
              </w:rPr>
            </w:pPr>
          </w:p>
        </w:tc>
      </w:tr>
      <w:tr>
        <w:trPr>
          <w:trHeight w:val="23"/>
        </w:trPr>
        <w:tc>
          <w:tcPr>
            <w:tcW w:w="85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85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1,788,084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2,012,196</w:t>
            </w:r>
          </w:p>
        </w:tc>
      </w:tr>
      <w:tr>
        <w:trPr>
          <w:trHeight w:val="23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and private common stock warrants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5,233,635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5,231,417</w:t>
            </w:r>
          </w:p>
        </w:tc>
      </w:tr>
      <w:tr>
        <w:trPr>
          <w:trHeight w:val="23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4,210,545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2,691,493</w:t>
            </w:r>
          </w:p>
        </w:tc>
      </w:tr>
      <w:tr>
        <w:trPr>
          <w:trHeight w:val="23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early exercised common stock options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36,022</w:t>
            </w: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ESPP shares pending issuance</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711,423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375,260</w:t>
            </w:r>
          </w:p>
        </w:tc>
      </w:tr>
      <w:tr>
        <w:trPr>
          <w:trHeight w:val="230"/>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Stock Awards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726,374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379,797</w:t>
            </w:r>
          </w:p>
        </w:tc>
      </w:tr>
      <w:tr>
        <w:trPr>
          <w:trHeight w:val="248"/>
        </w:trPr>
        <w:tc>
          <w:tcPr>
            <w:tcW w:w="8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12,672,064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10,726,185</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Income Taxes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Company’s income tax provision for interim periods is determined using an estimate of the Company’s annual effective tax rate, adjusted for discrete items arising in the quarter. The Company’s effective tax rate differs from the U.S. statutory tax rate primarily due to valuation allowances on the deferred tax assets as it is more likely than not that some, or all, of the Company’s deferred tax assets will not be realized. The Company continues to maintain a full valuation allowance against its net deferred</w:t>
      </w:r>
    </w:p>
    <w:p>
      <w:pPr>
        <w:sectPr>
          <w:pgSz w:w="11900" w:h="16838" w:orient="portrait"/>
          <w:cols w:equalWidth="0" w:num="1">
            <w:col w:w="11240"/>
          </w:cols>
          <w:pgMar w:left="320" w:top="229" w:right="339" w:bottom="1440" w:gutter="0" w:footer="0" w:header="0"/>
          <w:type w:val="continuous"/>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tax assets. Due to tax losses and the offsetting valuation allowance, the income tax provision for the six months ended June 30, 2024 and 2023, respectively, was not material to the Company’s unaudited condensed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Revenue</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majority of the Company’s revenue is recognized at a point in time when the customer obtains control of the respective lidar sensor kits. Revenue from the sale of licenses and services was not material for any period presented and, therefore, is not presented separately.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total revenues by geographic area based on the location products were shipped to and services provided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4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13,570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20,585</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and Pacific</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10,576</w:t>
            </w:r>
          </w:p>
        </w:tc>
      </w:tr>
      <w:tr>
        <w:trPr>
          <w:trHeight w:val="223"/>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26,990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52,934</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36,626</w:t>
            </w:r>
          </w:p>
        </w:tc>
      </w:tr>
      <w:tr>
        <w:trPr>
          <w:trHeight w:val="21"/>
        </w:trPr>
        <w:tc>
          <w:tcPr>
            <w:tcW w:w="5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Country that accounted for more than 10% of revenue was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258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gridSpan w:val="3"/>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940" w:type="dxa"/>
            <w:vAlign w:val="bottom"/>
            <w:gridSpan w:val="2"/>
          </w:tcPr>
          <w:p>
            <w:pPr>
              <w:spacing w:after="0"/>
              <w:rPr>
                <w:sz w:val="2"/>
                <w:szCs w:val="2"/>
                <w:color w:val="auto"/>
              </w:rPr>
            </w:pPr>
          </w:p>
        </w:tc>
        <w:tc>
          <w:tcPr>
            <w:tcW w:w="1580" w:type="dxa"/>
            <w:vAlign w:val="bottom"/>
            <w:gridSpan w:val="3"/>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90"/>
        </w:trPr>
        <w:tc>
          <w:tcPr>
            <w:tcW w:w="4940" w:type="dxa"/>
            <w:vAlign w:val="bottom"/>
          </w:tcPr>
          <w:p>
            <w:pPr>
              <w:spacing w:after="0"/>
              <w:rPr>
                <w:sz w:val="16"/>
                <w:szCs w:val="16"/>
                <w:color w:val="auto"/>
              </w:rPr>
            </w:pPr>
          </w:p>
        </w:tc>
        <w:tc>
          <w:tcPr>
            <w:tcW w:w="100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8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Borders>
              <w:top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0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8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39"/>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Sweden</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contract balances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Timing of revenue recognition may differ from the timing of invoicing to customers. An unbilled receivable is recorded in instances when revenue is recognized prior to invoicing, and amounts collected in advance of services being provided are recorded as deferred revenue. Contract assets are generated when contractual billing schedules differ from revenue recognition timing.</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Unbilled receivables</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 receivable for multi-year licensing services is generally recorded upon invoicing. A receivable for multi-year license contracts is recorded upon delivery, whether or not invoiced, to the extent the Company has an unconditional right to receive payment in the future related to those licenses. As of June 30, 2024, the current portion of these unbilled receivables in the amount of $3.2 million, primarily consisting of unbilled receivables from multi-year license contracts, is included in “Accounts receivable, net” on the unaudited condensed consolidated balance sheet.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Contract assets primarily relate to the Company’s rights to consideration under license arrangements when the licenses have been transferred to the customers, but payment is contingent upon a future event, other than the passage of time (i.e. type of unbilled receivable) and for which the Company does not have an unconditional right at the reporting date.</w:t>
      </w:r>
    </w:p>
    <w:p>
      <w:pPr>
        <w:spacing w:after="0" w:line="6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Contract asset also arises when the timing of billing differs from the timing of revenue recognized, such as when revenue is recognized on guaranteed minimum payments at the inception of the contract when there is not yet a right to invoice in accordance with contract terms and payment is contingent upon future event.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11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Contract liabilities consist of deferred revenue, customer advanced payments and customer deposits. Deferred revenue includes billings in excess of revenue recognized related to product sales, licenses, extended warranty and other services revenue, and is recognized as revenue when the Company performs under the contract. The long-term portion of deferred revenue, mostly related to obligations under license arrangements and extended warranty, is classified as non-current contract liabilities. Customer advanced payments represent required customer payments in advance of product shipments according to customer’s payment term. Customer advance payments are recognized as revenue when control of the performance obligation is transferred to the customer. Customer deposits represent consideration received from a customer which can be applied to future product or service purchases, or refunded.</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Contract assets and liabilities are presented net at the individual contract level in the unaudited condensed consolidated balance sheet and are classified as current or non-current based on the nature of the underlying contractual rights and obligations.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30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2"/>
        </w:trPr>
        <w:tc>
          <w:tcPr>
            <w:tcW w:w="8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current</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revenues from licensing arrangements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w:t>
            </w:r>
          </w:p>
        </w:tc>
      </w:tr>
      <w:tr>
        <w:trPr>
          <w:trHeight w:val="229"/>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contract liabilities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8,162</w:t>
            </w:r>
          </w:p>
        </w:tc>
      </w:tr>
      <w:tr>
        <w:trPr>
          <w:trHeight w:val="257"/>
        </w:trPr>
        <w:tc>
          <w:tcPr>
            <w:tcW w:w="8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non-current portion</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revenues from licensing arrangements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w:t>
            </w:r>
          </w:p>
        </w:tc>
      </w:tr>
      <w:tr>
        <w:trPr>
          <w:trHeight w:val="229"/>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contract liabilities</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w:t>
            </w:r>
          </w:p>
        </w:tc>
      </w:tr>
      <w:tr>
        <w:trPr>
          <w:trHeight w:val="248"/>
        </w:trPr>
        <w:tc>
          <w:tcPr>
            <w:tcW w:w="8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17,852</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Deferred revenues from multi-year licensing contracts mainly represent minimum royalty payments received from licensees relating to long-term IP license contracts for which the Company has future obligations under the license agreements. Royalties from the IP licenses are recognized at the later of the period the sales occur or the satisfaction of the performance obligation to which some or all of the royalties have been allocated. The Company evaluated its performance obligations under multi-year licensing contracts and did not recognize any revenue under such licensing contracts in 2023 and 2024 because the Company concluded there is significant uncertainty associated with resolving the Company’s performance.</w:t>
      </w:r>
    </w:p>
    <w:p>
      <w:pPr>
        <w:spacing w:after="0" w:line="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Other contract liabilities mainly relate to one $6.6 million multi-year contract entered in 2023 with a customer to sell its products. During the three months and six month ended June 30, 2024, the Company partially satisfied the related performance obligation and recognized $0.2 million and $0.6 million, respectively, revenue that was included in the contract liabilities balance. As of June 30, 2024, $5.3 million remained deferred until a future product delivery date.</w:t>
      </w:r>
    </w:p>
    <w:p>
      <w:pPr>
        <w:spacing w:after="0" w:line="7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contract liabilities (remaining performance obligations) and the significant changes in the balances three months ended June 30, 2024 and 2023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4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Pr>
          <w:p>
            <w:pPr>
              <w:spacing w:after="0"/>
              <w:rPr>
                <w:sz w:val="16"/>
                <w:szCs w:val="16"/>
                <w:color w:val="auto"/>
              </w:rPr>
            </w:pPr>
          </w:p>
        </w:tc>
      </w:tr>
      <w:tr>
        <w:trPr>
          <w:trHeight w:val="23"/>
        </w:trPr>
        <w:tc>
          <w:tcPr>
            <w:tcW w:w="8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90"/>
        </w:trPr>
        <w:tc>
          <w:tcPr>
            <w:tcW w:w="82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17,852</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acquired in the Velodyne Merger</w:t>
            </w:r>
          </w:p>
        </w:tc>
        <w:tc>
          <w:tcPr>
            <w:tcW w:w="86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8,385</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 deferred in the period</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6,145</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Revenue recognized that was included in the contract liability balance at the beginning of the period</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(1,638)</w:t>
            </w:r>
          </w:p>
        </w:tc>
        <w:tc>
          <w:tcPr>
            <w:tcW w:w="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17,299</w:t>
            </w: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15,042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Subsequent Events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12, 2024, the Company repaid the $44.0 million principal amount outstanding under the UBS Agreement, along with accrued interest.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results of operations and financial condition of Ouster, Inc. (“we,” “us,” “our,” the “Company,” “Ouster”) should be read in conjunction with the information set forth in our unaudited condensed consolidated financial statements and the notes thereto included elsewhere in this Quarterly Report, as well as our audited consolidated financial statements and the “Management’s Discussion and Analysis of Financial Condition and Results of Operations” included in Ouster’s Annual Report on Form 10-K (the “2023 Annual Report”) filed with the Securities and Exchange Commission (“SEC”) on March 28, 2024. This discussion contains forward-looking statements based upon current plans, expectations and beliefs that involve risks and uncertainties. Ouster’s actual results may differ materially from those anticipated in these forward-looking statements as a result of various factors, including those set forth in the section titled “Risk Factors” in Ouster’s 2023 Annual Report as may be updated from time to time in the Company’s other filings with the SEC.</w:t>
      </w:r>
    </w:p>
    <w:p>
      <w:pPr>
        <w:spacing w:after="0" w:line="131"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subsection to “we”, “our”, “Ouster” and “the Company” refer to the business and operations of Ouster, Inc.</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We founded Ouster in 2015 with the invention of our high-performance digital lidar. To continue to grow our business in the coming years, we have expanded and plan to continue to maintain and opportunistically expand our sales and marketing efforts and our software development capabilities, and to accelerate sensor development efforts. We are headquartered in San Francisco, California.</w:t>
      </w:r>
    </w:p>
    <w:p>
      <w:pPr>
        <w:spacing w:after="0" w:line="68"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We are a leading global provider of autonomy solutions. We provide high-resolution digital lidar sensors that offer advanced 3D vision to machinery, vehicles, robots, and fixed infrastructure assets, which allows each to understand and visualize the surrounding world and enable safe operation and autonomy. We design and manufacture digital lidar sensors that we believe are one of the highest-performing, lowest-cost lidar solutions available today across each of our four target markets: automotive, industrial, robotics, and smart infrastructure.</w:t>
      </w:r>
    </w:p>
    <w:p>
      <w:pPr>
        <w:spacing w:after="0" w:line="72" w:lineRule="exact"/>
        <w:rPr>
          <w:sz w:val="20"/>
          <w:szCs w:val="20"/>
          <w:color w:val="auto"/>
        </w:rPr>
      </w:pPr>
    </w:p>
    <w:p>
      <w:pPr>
        <w:ind w:right="360" w:firstLine="405"/>
        <w:spacing w:after="0" w:line="266" w:lineRule="auto"/>
        <w:rPr>
          <w:sz w:val="20"/>
          <w:szCs w:val="20"/>
          <w:color w:val="auto"/>
        </w:rPr>
      </w:pPr>
      <w:r>
        <w:rPr>
          <w:rFonts w:ascii="Times New Roman" w:cs="Times New Roman" w:eastAsia="Times New Roman" w:hAnsi="Times New Roman"/>
          <w:sz w:val="18"/>
          <w:szCs w:val="18"/>
          <w:color w:val="auto"/>
        </w:rPr>
        <w:t>We also provide perception software platforms for smart infrastructure deployments. Our software enables real-time people and object detection, classification, and tracking for actionable, intuitive, and customizable insights while preserving personally identifiable information. Our digital lidar sensors leverage a simplified architecture based on two semiconductor chips and are backed by a suite of patent-protected technology.</w:t>
      </w:r>
    </w:p>
    <w:p>
      <w:pPr>
        <w:spacing w:after="0" w:line="68" w:lineRule="exact"/>
        <w:rPr>
          <w:sz w:val="20"/>
          <w:szCs w:val="20"/>
          <w:color w:val="auto"/>
        </w:rPr>
      </w:pPr>
    </w:p>
    <w:p>
      <w:pPr>
        <w:ind w:right="300" w:firstLine="405"/>
        <w:spacing w:after="0" w:line="266" w:lineRule="auto"/>
        <w:rPr>
          <w:sz w:val="20"/>
          <w:szCs w:val="20"/>
          <w:color w:val="auto"/>
        </w:rPr>
      </w:pPr>
      <w:r>
        <w:rPr>
          <w:rFonts w:ascii="Times New Roman" w:cs="Times New Roman" w:eastAsia="Times New Roman" w:hAnsi="Times New Roman"/>
          <w:sz w:val="18"/>
          <w:szCs w:val="18"/>
          <w:color w:val="auto"/>
        </w:rPr>
        <w:t>We have invested heavily in patents since our inception, pursuing comprehensive coverage of invention families and use cases, with broad international coverage. We believe that our extensive patent coverage creates material barriers to entry for anyone aiming to compete in the digital lidar space.</w:t>
      </w:r>
    </w:p>
    <w:p>
      <w:pPr>
        <w:spacing w:after="0" w:line="68"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Our hardware product offering currently includes four models of sensors in our OS product line: the hemispheric field of view OSDome, the ultra-wide field of view OS0, the mid-range OS1, and the long-range OS2. Within our OS sensor models, we offer numerous customization options, all enabled by embedded software. For each of our models in the OS product line, we offer resolution options of 128 lines vertically (“channels”), 64 channels, or 32 channels, as well as many beam spacing options. On October 19, 2022, we announced the launch of our newest OS series scanning sensors, REV7, powered by our next-generation L3 chip. REV7 features the all-new OSDome sensor, as well as upgraded OS0, OS1, and OS2 sensors that deliver double the range, enhanced object detection, increased precision and accuracy, and greater reliability. The new REV7 sensors offer performance upgrades that we believe will enhance Ouster’s market opportunity, driven by new opportunities for longer-range and mapping applications. We are currently developing our solid-state digital flash (“DF”) product line, which is a suite of short, mid, and long-range solid-state digital lidar sensors that provide uniform precision imaging without motion blur across an entire field of view.</w:t>
      </w:r>
    </w:p>
    <w:p>
      <w:pPr>
        <w:spacing w:after="0" w:line="80"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We also provide perception software platforms for smart infrastructure deployments. Our software enables real-time people and object detection, classification, and tracking for actionable, intuitive, and customizable insights while preserving personally identifiable information. For example, our Gemini perception software optimizes the high resolution and improved range of the Company’s OS sensors to enhance detection, classification and tracking accuracy. Users can mesh multiple lidar sensors together within the Gemini software interface allowing a seamless 3D view of object movement throughout the space, with each sensor providing up to ten times more coverage than a camera-based system.</w:t>
      </w:r>
    </w:p>
    <w:p>
      <w:pPr>
        <w:spacing w:after="0" w:line="75" w:lineRule="exact"/>
        <w:rPr>
          <w:sz w:val="20"/>
          <w:szCs w:val="20"/>
          <w:color w:val="auto"/>
        </w:rPr>
      </w:pPr>
    </w:p>
    <w:p>
      <w:pPr>
        <w:ind w:right="300" w:firstLine="405"/>
        <w:spacing w:after="0" w:line="266" w:lineRule="auto"/>
        <w:rPr>
          <w:sz w:val="20"/>
          <w:szCs w:val="20"/>
          <w:color w:val="auto"/>
        </w:rPr>
      </w:pPr>
      <w:r>
        <w:rPr>
          <w:rFonts w:ascii="Times New Roman" w:cs="Times New Roman" w:eastAsia="Times New Roman" w:hAnsi="Times New Roman"/>
          <w:sz w:val="18"/>
          <w:szCs w:val="18"/>
          <w:color w:val="auto"/>
        </w:rPr>
        <w:t>We have invested heavily in patents since our inception, pursuing comprehensive coverage of invention families and use cases, with broad international coverage. We believe that our extensive patent coverage creates material barriers to entry for anyone aiming to compete in the digital lidar space.</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We believe the simplicity of our digital lidar design gives us a meaningful advantage in costs related to manufacturing, supply chain and production yields. Within our OS sensor models, we offer numerous customization options, all enabled by embedded software which minimizes changes to manufacturing or inventory. Our main manufacturing partners are Benchmark and Fabrinet, manufacturing the majority of our products at their facilities in Thailand. With the majority of our products being manufactured at the facilities in Thailand, we expect this will continue to reduce our product costs and allow us to continue to rapidly scale production to meet our anticipated product demand. Based on cost quotes for our products in mass production, we anticipate our manufacturing costs per unit will decrease further with higher volumes.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with Velodyne Lidar, Inc.</w:t>
      </w:r>
    </w:p>
    <w:p>
      <w:pPr>
        <w:spacing w:after="0" w:line="121"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On November 4, 2022, we entered into an Agreement and Plan of Merger (the “Velodyne Merger Agreement”) with Velodyne Lidar, Inc., a Delaware corporation (“Velodyne”), Oban Merger Sub, Inc., a Delaware corporation and one of our direct, wholly owned subsidiaries (“Velodyne Merger Sub I”) and Oban Merger Sub II LLC, a Delaware limited liability company and one of our direct, wholly owned subsidiaries (“Velodyne Merger Sub II”).</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February 10, 2023, we completed our merger of equals with Velodyne pursuant to the terms of the Agreement and Plan of Merger with Velodyne, Merger Sub I and Merger Sub II (the “Velodyne Merger”). In connection with the closing of the Velodyne Merger, we and Velodyne now operate as a single combined company.</w:t>
      </w:r>
    </w:p>
    <w:p>
      <w:pPr>
        <w:spacing w:after="0" w:line="68"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Our product offerings acquired through the Velodyne Merger includes three models of sensors. The Alpha Prime (VLS-128) is a lidar sensor designed for autonomous driving and advanced vehicle safety, offering a 300-meter range with 128 lasers and real-time 3D data at 0.1-degree vertical and horizontal resolution. Recognized at the Pace Automotive Award in 2019, it provides a superior combination of range, resolution, and precision for Level 4 and Level 5 autonomous vehicles in both highway and low-speed urban environments. The Puck (VLP-16) is designed for mass production and affordability, featuring 16 lasers, a 100-meter range, and a design with lower power consumption, lighter weight, and a compact footprint, making it suitable for low-speed autonomy and driver assistance. The Puck Hi-Res (VLP-16 Hi-Res) is an enhanced version of the original Puck, designed for applications requiring high image resolution, maintaining a 100-meter range and introducing a tighter laser distribution for more details in the 3D image at longer ranges, enabling better object identification.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19"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Commercialization of Lidar Applications. </w:t>
      </w:r>
      <w:r>
        <w:rPr>
          <w:rFonts w:ascii="Times New Roman" w:cs="Times New Roman" w:eastAsia="Times New Roman" w:hAnsi="Times New Roman"/>
          <w:sz w:val="18"/>
          <w:szCs w:val="18"/>
          <w:color w:val="auto"/>
        </w:rPr>
        <w:t>We believe that lidar and system solutions, including our subscription-based software, are approaching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inflection point of adoption across our target end market applications, and that we are well-positioned to capitalize on this market adoption. However, as our customers continue research and development projects that rely on lidar technology, it is difficult to estimate the timing of ultimate end market and customer adoption. As a result, we expect that our results of operations, including revenue and gross margins, will continue to fluctuate on a quarterly and annual basis for the foreseeable future. As the market for lidar solutions matures and more customers reach a commercialization phase with solutions that rely on our technology, the fluctuations in our operating results may become less pronounced. In 2024, our strategic business objectives include expanding software solutions, advancing the development of hardware, and progressing on the long-term financial framework. Accordingly, we expect to make progress towards growing our revenue and expanding gross margins. Nonetheless, our revenue and gross margins may not increase as we expect unless and until more customers commercialize their products and lidar technology becomes more prevalent across our target end markets.</w:t>
      </w:r>
    </w:p>
    <w:p>
      <w:pPr>
        <w:spacing w:after="0" w:line="80"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Number of Customers in Production. </w:t>
      </w:r>
      <w:r>
        <w:rPr>
          <w:rFonts w:ascii="Times New Roman" w:cs="Times New Roman" w:eastAsia="Times New Roman" w:hAnsi="Times New Roman"/>
          <w:sz w:val="18"/>
          <w:szCs w:val="18"/>
          <w:color w:val="auto"/>
        </w:rPr>
        <w:t>For certain strategic customers and markets, our products must be integrated into a broader platform, which then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must be tested, validated, and achieve system-level performance and reliability thresholds that enable commercial production and sales. The time necessary to reach commercial production varies from six months to seven years based on the market and application. For example, the production cycle in the automotive market tends to be substantially longer than in our other target markets, including industrial, robotics, and smart infrastructure. It is critical to our future success in each of our target end markets that our customers reach commercial production and sales and select our products in their commercial production applications and that we avoid unexpected cancellations of major purchases of our products. Because the timelines to reach production vary significantly and the revenue generated by each customer in connection with commercial production and sales is unpredictable, it is difficult for us to reliably predict our financial performance.</w:t>
      </w:r>
    </w:p>
    <w:p>
      <w:pPr>
        <w:spacing w:after="0" w:line="77" w:lineRule="exact"/>
        <w:rPr>
          <w:sz w:val="20"/>
          <w:szCs w:val="20"/>
          <w:color w:val="auto"/>
        </w:rPr>
      </w:pPr>
    </w:p>
    <w:p>
      <w:pPr>
        <w:ind w:right="2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Customers’ Sales Volumes. </w:t>
      </w:r>
      <w:r>
        <w:rPr>
          <w:rFonts w:ascii="Times New Roman" w:cs="Times New Roman" w:eastAsia="Times New Roman" w:hAnsi="Times New Roman"/>
          <w:sz w:val="18"/>
          <w:szCs w:val="18"/>
          <w:color w:val="auto"/>
        </w:rPr>
        <w:t>Our customer base is diversified and we aim to continue to penetrate into diverse end markets to increase our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volumes. Ultimately widespread adoption of our customers’ products that incorporate our lidar solutions will depend on many factors, including the size of our customers’ end markets, end market penetration of our customer’s products that incorporate our digital lidar solutions, our end customers’ ability to sell their products, and the financial stability and reputation of the customers. In 2024, our strategic business objectives include growing our installed base of customers. We believe our sales volume by customer depends on the end market demand for our customers’ products that incorporate our digital lidar solutions as well as our ability to increase our sales force productivity.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40" w:firstLine="405"/>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Average Selling Prices (“ASPs”), Product Costs and Margins. </w:t>
      </w:r>
      <w:r>
        <w:rPr>
          <w:rFonts w:ascii="Times New Roman" w:cs="Times New Roman" w:eastAsia="Times New Roman" w:hAnsi="Times New Roman"/>
          <w:sz w:val="17"/>
          <w:szCs w:val="17"/>
          <w:color w:val="auto"/>
        </w:rPr>
        <w:t>Our product costs and gross margins depend largely on the volumes of sensors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shipped, the mix of existing and new products sold and the number and variety of solutions we provide to our customers. We expect that our selling prices will vary by target end market and application due to market-specific supply and demand dynamics. We expect to continue to experience some downward pressure on prices from signing anticipated large multi-year agreements in the near term with multi-year negotiated pricing. We expect that these customer-specific selling price fluctuations combined with our volume-driven product costs may drive fluctuations in revenue and gross margins on a quarterly basis. However, notwithstanding any short-term price surcharges on our products, we expect that over time our volume-driven product costs will decrease.</w:t>
      </w:r>
    </w:p>
    <w:p>
      <w:pPr>
        <w:spacing w:after="0" w:line="60"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Competition. </w:t>
      </w:r>
      <w:r>
        <w:rPr>
          <w:rFonts w:ascii="Times New Roman" w:cs="Times New Roman" w:eastAsia="Times New Roman" w:hAnsi="Times New Roman"/>
          <w:sz w:val="18"/>
          <w:szCs w:val="18"/>
          <w:color w:val="auto"/>
        </w:rPr>
        <w:t>Lidar is an emerging market, and there are many competitors for the growing market. This has created downward pressure on our ASPs.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expect this pressure to continue to push our ASPs lower in the coming years. However, we believe that because of our complementary metal-oxide-semiconductor digital lidar technology, we are well-positioned to scale more rapidly than our competitors and leverage our scale to deliver positive gross margins.</w:t>
      </w:r>
    </w:p>
    <w:p>
      <w:pPr>
        <w:spacing w:after="0" w:line="72"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Continued Investment and Innovation. </w:t>
      </w:r>
      <w:r>
        <w:rPr>
          <w:rFonts w:ascii="Times New Roman" w:cs="Times New Roman" w:eastAsia="Times New Roman" w:hAnsi="Times New Roman"/>
          <w:sz w:val="18"/>
          <w:szCs w:val="18"/>
          <w:color w:val="auto"/>
        </w:rPr>
        <w:t>We believe that we are a leading lidar provider. Our financial performance is significantly dependent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ability to maintain this leading position, which is further dependent on the investments we make in research and development. We believe it is essential that we continue to identify and respond to rapidly evolving customer requirements, including successfully progressing our digital lidar roadmap and developing technologies that will enhance the operating performance of our products. For example, our next generation custom silicon chip for OS, “L4”, is taped out and we believe it will bring significant improvements in range, field of view, and manufacturability, along with safety certifications to the OS sensor family. We currently plan to integrate our next-generation custom silicon chip for DF, “Chronos”, into our solid-state digital flash sensors in the next year. If we fail to continue our innovation, our market position and revenue may be adversely affected, and our investments in that area will not be recovered.</w:t>
      </w:r>
    </w:p>
    <w:p>
      <w:pPr>
        <w:spacing w:after="0" w:line="77" w:lineRule="exact"/>
        <w:rPr>
          <w:sz w:val="20"/>
          <w:szCs w:val="20"/>
          <w:color w:val="auto"/>
        </w:rPr>
      </w:pPr>
    </w:p>
    <w:p>
      <w:pPr>
        <w:ind w:right="220"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Supply Chain Continuity. </w:t>
      </w:r>
      <w:r>
        <w:rPr>
          <w:rFonts w:ascii="Times New Roman" w:cs="Times New Roman" w:eastAsia="Times New Roman" w:hAnsi="Times New Roman"/>
          <w:sz w:val="18"/>
          <w:szCs w:val="18"/>
          <w:color w:val="auto"/>
        </w:rPr>
        <w:t>Some of the key components in the products we have designed or are currently designing come from limited or single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source suppliers. If these third parties experience financial, operational, manufacturing capacity or other difficulties, or experience shortages in required components, or if they are otherwise unable or unwilling to continue to manufacture these components in required volumes or at all, our supply may be disrupted or be on less favorable terms. For example, we may be required to seek alternate manufacturers or suppliers for our products. It would be time-consuming, and could be costly and impracticable, to begin to use and qualify new manufacturers, components or designs, and such changes could cause significant interruptions in supply and could have an adverse effect on our ability to meet our scheduled product deliveries and may subsequently lead to the loss of sales.</w:t>
      </w:r>
    </w:p>
    <w:p>
      <w:pPr>
        <w:spacing w:after="0" w:line="75"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Market Trends and Uncertainties. </w:t>
      </w:r>
      <w:r>
        <w:rPr>
          <w:rFonts w:ascii="Times New Roman" w:cs="Times New Roman" w:eastAsia="Times New Roman" w:hAnsi="Times New Roman"/>
          <w:sz w:val="18"/>
          <w:szCs w:val="18"/>
          <w:color w:val="auto"/>
        </w:rPr>
        <w:t>We anticipate increasing demand for our digital lidar solution. We estimate a multibillion-dollar total addressable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(“TAM”) for our solutions in the future. We define our TAM as automation applications in the automotive, industrial, robotics, and smart infrastructure end markets where we actively engage and maintain customer relationships. Each of our target markets is potentially a significant global opportunity, and these markets have historically been underserved by limited or inferior technology or not served at all. We believe we are well-positioned in our market as a leading provider of high-resolution lidar sensors.</w:t>
      </w:r>
    </w:p>
    <w:p>
      <w:pPr>
        <w:spacing w:after="0" w:line="77"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Although increasing adoption of lidar technology may generate higher demand, we may not be able to take advantage of demand if we are unable to anticipate regulatory changes and adapt quickly enough to meet such new regulatory standards or requirements applicable to us or to our customers’ products in which our lidar sensors are used. Market acceptance of lidar technology and active safety technology depend upon many factors, including cost, performance, safety performance, regulatory requirements and international taxes or tariffs related to such technologies. These factors may impact the ultimate market acceptance of our lidar technology.</w:t>
      </w:r>
    </w:p>
    <w:p>
      <w:pPr>
        <w:spacing w:after="0" w:line="73" w:lineRule="exact"/>
        <w:rPr>
          <w:sz w:val="20"/>
          <w:szCs w:val="20"/>
          <w:color w:val="auto"/>
        </w:rPr>
      </w:pPr>
    </w:p>
    <w:p>
      <w:pPr>
        <w:ind w:right="18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International Expansion. </w:t>
      </w:r>
      <w:r>
        <w:rPr>
          <w:rFonts w:ascii="Times New Roman" w:cs="Times New Roman" w:eastAsia="Times New Roman" w:hAnsi="Times New Roman"/>
          <w:sz w:val="18"/>
          <w:szCs w:val="18"/>
          <w:color w:val="auto"/>
        </w:rPr>
        <w:t>We view international expansion as an important element of our strategy to increase revenue and achieve profitability.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 to position ourselves in geographic markets that we expect to serve as important sources of future growth. We have an existing presence in three regions: Americas; Asia Pacific; and Europe, Middle East and Africa. We intend to expand our presence in these regions over time including through distribution partnerships. Expanded global reach will require continued investment and may expose us to additional foreign currency risk, international taxes and tariffs, legal obligations and additional operational costs, risks and challenges that may impact our ability to meet our projected sales volumes, revenue and gross margins.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100" w:firstLine="405"/>
        <w:spacing w:after="0" w:line="254" w:lineRule="auto"/>
        <w:rPr>
          <w:sz w:val="20"/>
          <w:szCs w:val="20"/>
          <w:color w:val="auto"/>
        </w:rPr>
      </w:pPr>
      <w:r>
        <w:rPr>
          <w:rFonts w:ascii="Times New Roman" w:cs="Times New Roman" w:eastAsia="Times New Roman" w:hAnsi="Times New Roman"/>
          <w:sz w:val="18"/>
          <w:szCs w:val="18"/>
          <w:color w:val="auto"/>
        </w:rPr>
        <w:t>The majority of our revenue comes from the sale of our lidar sensors and accessories both directly to end users and through distributors both domestically and internationally. We recognize revenue from product sales when the performance obligation of transferring control of the product to the customer has been met, generally when the product is shipped. We also recognize revenue by performing services related to product development, validation, licenses, maintenance under our extended warranty contracts and shipping; however, we do not expect product development and validation and license and services to be material components of revenue, cost of revenue or gross margin in the foreseeable future. Performance obligations related to services are generally recognized over time, based on cost-to-cost input basis or straight-line over time. Amounts billed to customers related to shipping and handling are classified as revenue, and we have elected to recognize the cost of shipping activities that occur after control has transferred to the customer as a fulfillment cost rather than a separate performance obligation. All related costs are accrued and recognized within cost of revenue when the related revenue is recognized.</w:t>
      </w:r>
    </w:p>
    <w:p>
      <w:pPr>
        <w:spacing w:after="0" w:line="80"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Most of our customers are innovators and early technology adopters incorporating our products into their solutions. Currently, our product revenue consists of both customers ordering small volumes of our products that are in an evaluation phase and customers that order larger volumes of our products and have more predictable long-term production schedules. However, we believe we are still at the very beginning of the lidar adoption curve, and some customers are still learning their growth and demand rates which can impact the timing of purchase orders quarter to quarter. As we grow our business, we expect to continue to improve our own understanding of our customers’ needs and timelines, and expect the timing of orders will have a less notable impact on our quarterly results.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Cost of revenue consists of the manufacturing cost of our lidar sensors, which primarily consists of sensor components, personnel-related expenses, including salaries, benefits, and stock-based compensation directly associated with our manufacturing organization, and amounts paid to our third-party contract manufacturer and vendors. Our cost of revenue also includes depreciation of manufacturing equipment, amortization of intangible assets, an allocated portion of overhead, facility and IT costs, warranty expenses, excess and obsolete inventory and shipping costs.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75"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Our gross profit equals total revenues less our total cost of revenues, and our gross margin is our gross profit expressed as a percentage of total revenue. Our current gross margins are subject to quarterly product mix fluctuations including price and volume volatility.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Research and development (“R&amp;D”) activities are primarily conducted at our San Francisco based headquarters and our additional R&amp;D facilities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Scotland and Canada and consist of the following activities:</w:t>
      </w:r>
    </w:p>
    <w:p>
      <w:pPr>
        <w:spacing w:after="0" w:line="99" w:lineRule="exact"/>
        <w:rPr>
          <w:sz w:val="20"/>
          <w:szCs w:val="20"/>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prototyping, and testing of proprietary electrical, optical, and mechanical subsystems for our digital lidar products;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Robust testing for industrial and autonomous vehicle safety certifications;</w:t>
      </w:r>
    </w:p>
    <w:p>
      <w:pPr>
        <w:spacing w:after="0" w:line="117" w:lineRule="exact"/>
        <w:rPr>
          <w:rFonts w:ascii="Times New Roman" w:cs="Times New Roman" w:eastAsia="Times New Roman" w:hAnsi="Times New Roman"/>
          <w:sz w:val="18"/>
          <w:szCs w:val="18"/>
          <w:color w:val="auto"/>
        </w:rPr>
      </w:pPr>
    </w:p>
    <w:p>
      <w:pPr>
        <w:ind w:left="820" w:right="280" w:hanging="326"/>
        <w:spacing w:after="0" w:line="282"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products and enhancements to existing products in response to customer requirements including firmware development and software development of lidar integration products;</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 system-on-a-chip (“SoC”) design for Ouster’s digital lidar products; 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custom manufacturing equipment.</w:t>
      </w:r>
    </w:p>
    <w:p>
      <w:pPr>
        <w:spacing w:after="0" w:line="117"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R&amp;D expenses consist of personnel-related expenses, including salaries, benefits, and stock-based compensation, for all personnel directly involved in R&amp;D activities, third-party engineering and contractor costs, prototype expenses, amortization of intangible assets, and an allocated portion of overhead, facility and IT costs that support R&amp;D activities.</w:t>
      </w:r>
    </w:p>
    <w:p>
      <w:pPr>
        <w:spacing w:after="0" w:line="68"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R&amp;D costs are expensed as they are incurred. Our investment in R&amp;D will continue to grow as we invest in new lidar technology and related software. Our absolute amount of R&amp;D expenses is expected to grow over time; however, we expect R&amp;D as a percentage of revenue to decrease over time as our business grows.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Our business development, customer support and marketing teams are located in offices worldwide. Selling and marketing expenses consist of personnel-related expenses, including salaries, benefits, and stock-based compensation, for all personnel directly involved in business development, customer support, and marketing activities, and marketing expenses including trade shows, advertising, and demonstration equipment. Sales and marketing expenses also include amortization expense of intangible assets related to customer relationships associated with the acquisitions and an allocated portion of facility and IT costs that support sales and marketing activities. Over the past few years, we have experienced additional sales and marketing expenses as a result of our global expansion, and expect sales and marketing spend as a percentage of revenue to decrease over time as our business grows.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consist of personnel-related expenses, including salaries, benefits, and stock-based compensation, of our executives and members of the board of directors, finance, human resources, a portion of facility and IT costs that support general and administrative activities, as well as amortization of intangible assets, fees related to legal fees, patent prosecution, accounting, finance and professional services, as well as insurance and bank fees. Our absolute amount of general and administrative expenses will grow over time; however, we expect the general and administrative spend as a percentage of revenue to decrease over time as our business grows. We have experienced and may in the near-term experience additional increases in general and administrative expenses related to legal, accounting, finance and professional services costs associated with the Velodyne Merger, litigation activities, hiring more personnel and consultants to support our growing international expansion and compliance with the applicable provisions of the Sarbanes-Oxley Act (“SOX”) and other SEC rules and regulations as a result of being a public company.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Impairment Charges</w:t>
      </w:r>
    </w:p>
    <w:p>
      <w:pPr>
        <w:spacing w:after="0" w:line="119"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June 30, 2023, we recorded goodwill impairment charges of approximately $67.3 million and $166.7 million, respectively. These charges were primarily driven by the decrease in our market capitalization during the period. Our goodwill impairment analysis includes a comparison of the aggregate estimated fair value of our reporting unit to our total market capitalization. There was no addition to goodwill as of June 30, 2024, and as such our remaining goodwill balance was nil.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and Other Income (Expense), Net</w:t>
      </w:r>
    </w:p>
    <w:p>
      <w:pPr>
        <w:spacing w:after="0" w:line="121"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Interest income consists primarily of income earned on our cash and cash equivalents and short-term investments. These amounts will vary based on our respective balances and market rates. Interest expense consists primarily of interest on our debt, amortization of debt issuance costs and discounts. Other income (expense), net consists primarily of realized and unrealized gains and losses on foreign currency transactions and balances, realized gains and losses related to sales of our available-for-sale investments, the change in fair value of the private placement warrant liability.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Our income tax provision consists of federal, state and foreign current and deferred income taxes. Our income tax provision for interim periods is determined using an estimate of our annual effective tax rate, adjusted for discrete items arising in the quarter. Our effective tax rate differs from the U.S. statutory tax rate primarily due to valuation allowances on deferred tax assets as it is more likely than not that some, or all, of our deferred tax assets will not be realized. We continue to maintain a full valuation allowance against our U.S. Federal and state deferred tax assets, excluding specific balances due to the Velodyne Merger. Income tax provision for the three and six months ended June 30, 2024 and 2023, was not material to the Company’s unaudited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ind w:right="280" w:firstLine="405"/>
        <w:spacing w:after="0" w:line="266" w:lineRule="auto"/>
        <w:rPr>
          <w:sz w:val="20"/>
          <w:szCs w:val="20"/>
          <w:color w:val="auto"/>
        </w:rPr>
      </w:pPr>
      <w:r>
        <w:rPr>
          <w:rFonts w:ascii="Times New Roman" w:cs="Times New Roman" w:eastAsia="Times New Roman" w:hAnsi="Times New Roman"/>
          <w:sz w:val="18"/>
          <w:szCs w:val="18"/>
          <w:color w:val="auto"/>
        </w:rPr>
        <w:t>The results of operations presented below should be reviewed in conjunction with the unaudited condensed consolidated financial statements and notes included elsewhere in this Quarterly Report. The following table sets forth our unaudited condensed consolidated results of operations data for the periods presented:</w:t>
      </w:r>
    </w:p>
    <w:p>
      <w:pPr>
        <w:sectPr>
          <w:pgSz w:w="11900" w:h="16838" w:orient="portrait"/>
          <w:cols w:equalWidth="0" w:num="1">
            <w:col w:w="11240"/>
          </w:cols>
          <w:pgMar w:left="320" w:top="229" w:right="339" w:bottom="1440" w:gutter="0" w:footer="0" w:header="0"/>
        </w:sectPr>
      </w:pPr>
    </w:p>
    <w:p>
      <w:pPr>
        <w:spacing w:after="0" w:line="210"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33655</wp:posOffset>
            </wp:positionV>
            <wp:extent cx="18688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35" w:lineRule="exact"/>
        <w:rPr>
          <w:sz w:val="20"/>
          <w:szCs w:val="20"/>
          <w:color w:val="auto"/>
        </w:rPr>
      </w:pPr>
    </w:p>
    <w:p>
      <w:pPr>
        <w:ind w:left="5820"/>
        <w:spacing w:after="0"/>
        <w:tabs>
          <w:tab w:leader="none" w:pos="73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33655</wp:posOffset>
            </wp:positionV>
            <wp:extent cx="186880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3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33655</wp:posOffset>
            </wp:positionV>
            <wp:extent cx="18770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35"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33655</wp:posOffset>
            </wp:positionV>
            <wp:extent cx="18770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77060" cy="8890"/>
                    </a:xfrm>
                    <a:prstGeom prst="rect">
                      <a:avLst/>
                    </a:prstGeom>
                    <a:noFill/>
                  </pic:spPr>
                </pic:pic>
              </a:graphicData>
            </a:graphic>
          </wp:anchor>
        </w:drawing>
      </w:r>
    </w:p>
    <w:p>
      <w:pPr>
        <w:spacing w:after="0" w:line="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53" w:lineRule="exact"/>
        <w:rPr>
          <w:sz w:val="20"/>
          <w:szCs w:val="20"/>
          <w:color w:val="auto"/>
        </w:rPr>
      </w:pPr>
    </w:p>
    <w:p>
      <w:pPr>
        <w:sectPr>
          <w:pgSz w:w="11900" w:h="16838" w:orient="portrait"/>
          <w:cols w:equalWidth="0" w:num="2">
            <w:col w:w="8140" w:space="720"/>
            <w:col w:w="2380"/>
          </w:cols>
          <w:pgMar w:left="320" w:top="229"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36,626</w:t>
            </w:r>
          </w:p>
        </w:tc>
      </w:tr>
      <w:tr>
        <w:trPr>
          <w:trHeight w:val="229"/>
        </w:trPr>
        <w:tc>
          <w:tcPr>
            <w:tcW w:w="52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36,411</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36,816</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(loss)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7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58,906</w:t>
            </w:r>
          </w:p>
        </w:tc>
      </w:tr>
      <w:tr>
        <w:trPr>
          <w:trHeight w:val="230"/>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25,199</w:t>
            </w: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49,167</w:t>
            </w:r>
          </w:p>
        </w:tc>
      </w:tr>
      <w:tr>
        <w:trPr>
          <w:trHeight w:val="229"/>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 impairment charges</w:t>
            </w:r>
          </w:p>
        </w:tc>
        <w:tc>
          <w:tcPr>
            <w:tcW w:w="2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67,266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166,675</w:t>
            </w: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34,348</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123,221</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67,594</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299,947</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(123,035)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(51,071)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(300,137)</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w:t>
            </w: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w:t>
            </w:r>
          </w:p>
        </w:tc>
      </w:tr>
      <w:tr>
        <w:trPr>
          <w:trHeight w:val="229"/>
        </w:trPr>
        <w:tc>
          <w:tcPr>
            <w:tcW w:w="5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(122,683)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(47,464)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(299,681)</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 expense</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(23,869)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(122,733)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(47,718)</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(300,013)</w:t>
            </w:r>
          </w:p>
        </w:tc>
      </w:tr>
      <w:tr>
        <w:trPr>
          <w:trHeight w:val="20"/>
        </w:trPr>
        <w:tc>
          <w:tcPr>
            <w:tcW w:w="5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898"/>
        </w:trPr>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our unaudited condensed consolidated statements of operations and comprehensive loss data as a percentage of revenue for the periods presented: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254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840" w:type="dxa"/>
            <w:vAlign w:val="bottom"/>
            <w:gridSpan w:val="2"/>
          </w:tcPr>
          <w:p>
            <w:pPr>
              <w:spacing w:after="0"/>
              <w:rPr>
                <w:sz w:val="2"/>
                <w:szCs w:val="2"/>
                <w:color w:val="auto"/>
              </w:rPr>
            </w:pPr>
          </w:p>
        </w:tc>
        <w:tc>
          <w:tcPr>
            <w:tcW w:w="1600" w:type="dxa"/>
            <w:vAlign w:val="bottom"/>
            <w:gridSpan w:val="3"/>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0"/>
        </w:trPr>
        <w:tc>
          <w:tcPr>
            <w:tcW w:w="4900" w:type="dxa"/>
            <w:vAlign w:val="bottom"/>
          </w:tcPr>
          <w:p>
            <w:pPr>
              <w:spacing w:after="0"/>
              <w:rPr>
                <w:sz w:val="16"/>
                <w:szCs w:val="16"/>
                <w:color w:val="auto"/>
              </w:rPr>
            </w:pPr>
          </w:p>
        </w:tc>
        <w:tc>
          <w:tcPr>
            <w:tcW w:w="94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96"/>
        </w:trPr>
        <w:tc>
          <w:tcPr>
            <w:tcW w:w="4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 of total revenue)</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gridSpan w:val="3"/>
          </w:tcPr>
          <w:p>
            <w:pPr>
              <w:jc w:val="center"/>
              <w:ind w:left="833"/>
              <w:spacing w:after="0"/>
              <w:rPr>
                <w:sz w:val="20"/>
                <w:szCs w:val="20"/>
                <w:color w:val="auto"/>
              </w:rPr>
            </w:pPr>
            <w:r>
              <w:rPr>
                <w:rFonts w:ascii="Times New Roman" w:cs="Times New Roman" w:eastAsia="Times New Roman" w:hAnsi="Times New Roman"/>
                <w:sz w:val="14"/>
                <w:szCs w:val="14"/>
                <w:b w:val="1"/>
                <w:bCs w:val="1"/>
                <w:color w:val="auto"/>
              </w:rPr>
              <w:t>(% of total revenue)</w:t>
            </w:r>
          </w:p>
        </w:tc>
        <w:tc>
          <w:tcPr>
            <w:tcW w:w="920" w:type="dxa"/>
            <w:vAlign w:val="bottom"/>
          </w:tcPr>
          <w:p>
            <w:pPr>
              <w:spacing w:after="0"/>
              <w:rPr>
                <w:sz w:val="17"/>
                <w:szCs w:val="17"/>
                <w:color w:val="auto"/>
              </w:rPr>
            </w:pPr>
          </w:p>
        </w:tc>
      </w:tr>
      <w:tr>
        <w:trPr>
          <w:trHeight w:val="236"/>
        </w:trPr>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43"/>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9"/>
                <w:szCs w:val="9"/>
                <w:color w:val="auto"/>
              </w:rPr>
              <w:t>(1)</w:t>
            </w:r>
          </w:p>
        </w:tc>
        <w:tc>
          <w:tcPr>
            <w:tcW w:w="5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15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101</w:t>
            </w:r>
          </w:p>
        </w:tc>
      </w:tr>
      <w:tr>
        <w:trPr>
          <w:trHeight w:val="27"/>
        </w:trPr>
        <w:tc>
          <w:tcPr>
            <w:tcW w:w="49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(loss)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Operating expenses </w:t>
            </w:r>
            <w:r>
              <w:rPr>
                <w:rFonts w:ascii="Times New Roman" w:cs="Times New Roman" w:eastAsia="Times New Roman" w:hAnsi="Times New Roman"/>
                <w:sz w:val="9"/>
                <w:szCs w:val="9"/>
                <w:color w:val="auto"/>
              </w:rPr>
              <w:t>(1)</w:t>
            </w: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4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0"/>
        </w:trPr>
        <w:tc>
          <w:tcPr>
            <w:tcW w:w="58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161</w:t>
            </w:r>
          </w:p>
        </w:tc>
      </w:tr>
      <w:tr>
        <w:trPr>
          <w:trHeight w:val="229"/>
        </w:trPr>
        <w:tc>
          <w:tcPr>
            <w:tcW w:w="5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5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69</w:t>
            </w:r>
          </w:p>
        </w:tc>
      </w:tr>
      <w:tr>
        <w:trPr>
          <w:trHeight w:val="229"/>
        </w:trPr>
        <w:tc>
          <w:tcPr>
            <w:tcW w:w="58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134</w:t>
            </w:r>
          </w:p>
        </w:tc>
      </w:tr>
      <w:tr>
        <w:trPr>
          <w:trHeight w:val="230"/>
        </w:trPr>
        <w:tc>
          <w:tcPr>
            <w:tcW w:w="5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Goodwill impairment charges</w:t>
            </w:r>
          </w:p>
        </w:tc>
        <w:tc>
          <w:tcPr>
            <w:tcW w:w="1600" w:type="dxa"/>
            <w:vAlign w:val="bottom"/>
            <w:gridSpan w:val="3"/>
          </w:tcPr>
          <w:p>
            <w:pPr>
              <w:jc w:val="right"/>
              <w:ind w:right="12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19"/>
                <w:szCs w:val="19"/>
                <w:color w:val="auto"/>
              </w:rPr>
            </w:pPr>
          </w:p>
        </w:tc>
        <w:tc>
          <w:tcPr>
            <w:tcW w:w="220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455</w:t>
            </w:r>
          </w:p>
        </w:tc>
      </w:tr>
      <w:tr>
        <w:trPr>
          <w:trHeight w:val="223"/>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819</w:t>
            </w: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940" w:type="dxa"/>
            <w:vAlign w:val="bottom"/>
          </w:tcPr>
          <w:p>
            <w:pPr>
              <w:spacing w:after="0"/>
              <w:rPr>
                <w:sz w:val="19"/>
                <w:szCs w:val="19"/>
                <w:color w:val="auto"/>
              </w:rPr>
            </w:pP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Pr>
          <w:p>
            <w:pPr>
              <w:spacing w:after="0"/>
              <w:rPr>
                <w:sz w:val="19"/>
                <w:szCs w:val="19"/>
                <w:color w:val="auto"/>
              </w:rPr>
            </w:pPr>
          </w:p>
        </w:tc>
        <w:tc>
          <w:tcPr>
            <w:tcW w:w="15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(820)</w:t>
            </w:r>
          </w:p>
        </w:tc>
      </w:tr>
      <w:tr>
        <w:trPr>
          <w:trHeight w:val="229"/>
        </w:trPr>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5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5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5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5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1600" w:type="dxa"/>
            <w:vAlign w:val="bottom"/>
            <w:gridSpan w:val="3"/>
          </w:tcPr>
          <w:p>
            <w:pPr>
              <w:jc w:val="right"/>
              <w:ind w:right="12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20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w:t>
            </w:r>
          </w:p>
        </w:tc>
      </w:tr>
      <w:tr>
        <w:trPr>
          <w:trHeight w:val="223"/>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940" w:type="dxa"/>
            <w:vAlign w:val="bottom"/>
          </w:tcPr>
          <w:p>
            <w:pPr>
              <w:spacing w:after="0"/>
              <w:rPr>
                <w:sz w:val="19"/>
                <w:szCs w:val="19"/>
                <w:color w:val="auto"/>
              </w:rPr>
            </w:pP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19"/>
                <w:szCs w:val="19"/>
                <w:color w:val="auto"/>
              </w:rPr>
            </w:pPr>
          </w:p>
        </w:tc>
        <w:tc>
          <w:tcPr>
            <w:tcW w:w="15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(818)</w:t>
            </w:r>
          </w:p>
        </w:tc>
      </w:tr>
      <w:tr>
        <w:trPr>
          <w:trHeight w:val="229"/>
        </w:trPr>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 expense</w:t>
            </w:r>
          </w:p>
        </w:tc>
        <w:tc>
          <w:tcPr>
            <w:tcW w:w="1600" w:type="dxa"/>
            <w:vAlign w:val="bottom"/>
            <w:gridSpan w:val="3"/>
            <w:shd w:val="clear" w:color="auto" w:fill="CCEEFF"/>
          </w:tcPr>
          <w:p>
            <w:pPr>
              <w:jc w:val="right"/>
              <w:ind w:right="1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3"/>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(632)%</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w:t>
            </w:r>
          </w:p>
        </w:tc>
      </w:tr>
      <w:tr>
        <w:trPr>
          <w:trHeight w:val="20"/>
        </w:trPr>
        <w:tc>
          <w:tcPr>
            <w:tcW w:w="49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Includes stock-based compensation expense as follows:</w:t>
      </w:r>
    </w:p>
    <w:p>
      <w:pPr>
        <w:sectPr>
          <w:pgSz w:w="11900" w:h="16838" w:orient="portrait"/>
          <w:cols w:equalWidth="0" w:num="1">
            <w:col w:w="11240"/>
          </w:cols>
          <w:pgMar w:left="320" w:top="229" w:right="339" w:bottom="1440" w:gutter="0" w:footer="0" w:header="0"/>
        </w:sectPr>
      </w:pPr>
    </w:p>
    <w:p>
      <w:pPr>
        <w:spacing w:after="0" w:line="205"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33655</wp:posOffset>
            </wp:positionV>
            <wp:extent cx="186880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35" w:lineRule="exact"/>
        <w:rPr>
          <w:sz w:val="20"/>
          <w:szCs w:val="20"/>
          <w:color w:val="auto"/>
        </w:rPr>
      </w:pPr>
    </w:p>
    <w:p>
      <w:pPr>
        <w:ind w:left="5820"/>
        <w:spacing w:after="0"/>
        <w:tabs>
          <w:tab w:leader="none" w:pos="73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33655</wp:posOffset>
            </wp:positionV>
            <wp:extent cx="186880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3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33655</wp:posOffset>
            </wp:positionV>
            <wp:extent cx="18770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35"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33655</wp:posOffset>
            </wp:positionV>
            <wp:extent cx="18770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77060" cy="8890"/>
                    </a:xfrm>
                    <a:prstGeom prst="rect">
                      <a:avLst/>
                    </a:prstGeom>
                    <a:noFill/>
                  </pic:spPr>
                </pic:pic>
              </a:graphicData>
            </a:graphic>
          </wp:anchor>
        </w:drawing>
      </w:r>
    </w:p>
    <w:p>
      <w:pPr>
        <w:spacing w:after="0" w:line="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33" w:lineRule="exact"/>
        <w:rPr>
          <w:sz w:val="20"/>
          <w:szCs w:val="20"/>
          <w:color w:val="auto"/>
        </w:rPr>
      </w:pPr>
    </w:p>
    <w:p>
      <w:pPr>
        <w:sectPr>
          <w:pgSz w:w="11900" w:h="16838" w:orient="portrait"/>
          <w:cols w:equalWidth="0" w:num="2">
            <w:col w:w="8140" w:space="720"/>
            <w:col w:w="2380"/>
          </w:cols>
          <w:pgMar w:left="320" w:top="229"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tcBorders>
              <w:top w:val="single" w:sz="8" w:color="auto"/>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8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15,709</w:t>
            </w:r>
          </w:p>
        </w:tc>
      </w:tr>
      <w:tr>
        <w:trPr>
          <w:trHeight w:val="27"/>
        </w:trPr>
        <w:tc>
          <w:tcPr>
            <w:tcW w:w="5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6,381</w:t>
            </w:r>
          </w:p>
        </w:tc>
      </w:tr>
      <w:tr>
        <w:trPr>
          <w:trHeight w:val="230"/>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6,246</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14,728</w:t>
            </w:r>
          </w:p>
        </w:tc>
      </w:tr>
      <w:tr>
        <w:trPr>
          <w:trHeight w:val="248"/>
        </w:trPr>
        <w:tc>
          <w:tcPr>
            <w:tcW w:w="5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20,099</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38,246</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June 30, 2024 and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6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5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5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8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560" w:type="dxa"/>
            <w:vAlign w:val="bottom"/>
          </w:tcPr>
          <w:p>
            <w:pPr>
              <w:spacing w:after="0"/>
              <w:rPr>
                <w:sz w:val="17"/>
                <w:szCs w:val="17"/>
                <w:color w:val="auto"/>
              </w:rPr>
            </w:pPr>
          </w:p>
        </w:tc>
      </w:tr>
      <w:tr>
        <w:trPr>
          <w:trHeight w:val="23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by geographic location:</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29"/>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Americas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100" w:type="dxa"/>
            <w:vAlign w:val="bottom"/>
          </w:tcPr>
          <w:p>
            <w:pPr>
              <w:spacing w:after="0"/>
              <w:rPr>
                <w:sz w:val="19"/>
                <w:szCs w:val="19"/>
                <w:color w:val="auto"/>
              </w:rPr>
            </w:pPr>
          </w:p>
        </w:tc>
        <w:tc>
          <w:tcPr>
            <w:tcW w:w="15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24 %</w:t>
            </w:r>
          </w:p>
        </w:tc>
      </w:tr>
      <w:tr>
        <w:trPr>
          <w:trHeight w:val="229"/>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Asia and Pacific</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51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50</w:t>
            </w: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39 %</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73"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Revenue increased by $7.6 million, or 39%, to $27.0 million for the three months ended June 30, 2024 from $19.4 million for the comparable period in the prior year. The increase in revenue was primarily driven by increased sales of the REV7 sensors as customer increased their purchase levels.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Locations</w:t>
      </w:r>
    </w:p>
    <w:p>
      <w:pPr>
        <w:spacing w:after="0" w:line="173"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Revenue increased across the geographic regions of Americas; Asia and Pacific; and Europe, Middle East and Africa as compared to the comparable period in the prior year. The revenue increases in those geographic regions were primarily attributable to the higher sales levels from the launch of the REV7 sensor in certain geographies and our continued focus and investment in our global sales team.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5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5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70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560" w:type="dxa"/>
            <w:vAlign w:val="bottom"/>
          </w:tcPr>
          <w:p>
            <w:pPr>
              <w:spacing w:after="0"/>
              <w:rPr>
                <w:sz w:val="17"/>
                <w:szCs w:val="17"/>
                <w:color w:val="auto"/>
              </w:rPr>
            </w:pPr>
          </w:p>
        </w:tc>
      </w:tr>
      <w:tr>
        <w:trPr>
          <w:trHeight w:val="236"/>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17,892</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bl>
    <w:p>
      <w:pPr>
        <w:spacing w:after="0" w:line="225"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Cost of revenue decreased by $1.3 million, or 7%, to $17.9 million for the three months ended June 30, 2024 from $19.2 million for the comparable period in the prior year. The decrease in cost of revenue was primarily attributable to lower excess and obsolete inventory and compensation related expenses, partially offset by increased shipments over the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5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5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8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560" w:type="dxa"/>
            <w:vAlign w:val="bottom"/>
          </w:tcPr>
          <w:p>
            <w:pPr>
              <w:spacing w:after="0"/>
              <w:rPr>
                <w:sz w:val="17"/>
                <w:szCs w:val="17"/>
                <w:color w:val="auto"/>
              </w:rPr>
            </w:pPr>
          </w:p>
        </w:tc>
      </w:tr>
      <w:tr>
        <w:trPr>
          <w:trHeight w:val="23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29"/>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(12,015)</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80" w:type="dxa"/>
            <w:vAlign w:val="bottom"/>
          </w:tcPr>
          <w:p>
            <w:pPr>
              <w:spacing w:after="0"/>
              <w:rPr>
                <w:sz w:val="19"/>
                <w:szCs w:val="19"/>
                <w:color w:val="auto"/>
              </w:rPr>
            </w:pPr>
          </w:p>
        </w:tc>
        <w:tc>
          <w:tcPr>
            <w:tcW w:w="15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Goodwill impairment charges</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(67,266)</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34,348</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123,221</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(88,873)</w:t>
            </w:r>
          </w:p>
        </w:tc>
        <w:tc>
          <w:tcPr>
            <w:tcW w:w="8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meaningful.</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73"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by $12.0 million, or 45%, to $14.4 million for the three months ended June 30, 2024 from $26.4 million for the comparable period in the prior year. The decrease was primarily attributable to the reduction in compensation expenses and other costs from the restructuring and cost reduction initiatives implemented in 2023 after the closing of the Velodyne Merger.</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73"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Sales and marketing expenses decreased by $4.9 million, or 42%, to $6.8 million for the three months ended June 30, 2024 from $11.7 million for the comparable period in the prior year. The decrease was primarily attributable to the reduction in compensation expenses and other costs from the restructuring and cost reduction initiatives implemented in 2023 after the closing of the Velodyne Merger.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73"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by $4.7 million, or 26%, to $13.2 million for the three months ended June 30, 2024 from $17.8 million for the comparable period in the prior year. The decrease was primarily attributable to the reduction in compensation expenses and other costs from the restructuring and cost reduction initiatives implemented in 2023 after the closing of the Velodyne Merger.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Impairment Charges</w:t>
      </w:r>
    </w:p>
    <w:p>
      <w:pPr>
        <w:spacing w:after="0" w:line="173"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There was no addition to goodwill as of June 30, 2024 from December 31, 2023, and as such our remaining goodwill balance was nil. Goodwill impairment charges were $67.3 million for the three months ended June 30, 2023 primarily driven by the decrease in our market capitalization during the period.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and Other Expense, Net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300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6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5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516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5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8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560" w:type="dxa"/>
            <w:vAlign w:val="bottom"/>
          </w:tcPr>
          <w:p>
            <w:pPr>
              <w:spacing w:after="0"/>
              <w:rPr>
                <w:sz w:val="17"/>
                <w:szCs w:val="17"/>
                <w:color w:val="auto"/>
              </w:rPr>
            </w:pPr>
          </w:p>
        </w:tc>
      </w:tr>
      <w:tr>
        <w:trPr>
          <w:trHeight w:val="23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0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2,251</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Pr>
          <w:p>
            <w:pPr>
              <w:spacing w:after="0"/>
              <w:rPr>
                <w:sz w:val="19"/>
                <w:szCs w:val="19"/>
                <w:color w:val="auto"/>
              </w:rPr>
            </w:pPr>
          </w:p>
        </w:tc>
        <w:tc>
          <w:tcPr>
            <w:tcW w:w="156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(96)</w:t>
            </w:r>
          </w:p>
        </w:tc>
      </w:tr>
    </w:tbl>
    <w:p>
      <w:pPr>
        <w:spacing w:after="0" w:line="200" w:lineRule="exact"/>
        <w:rPr>
          <w:sz w:val="20"/>
          <w:szCs w:val="20"/>
          <w:color w:val="auto"/>
        </w:rPr>
      </w:pPr>
    </w:p>
    <w:p>
      <w:pPr>
        <w:spacing w:after="0" w:line="3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year-over-year increase in interest income was not material for the three months ended June 30, 2024.</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year-over-year decrease in interest expense was due to entering into the new UBS Agreement in October 2023, which had a lower interest rate.</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 expense, net was not material for the three months ended June 30, 2024 and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We were subject to income taxes in the United States and miscellaneous foreign jurisdictions for the three months ended June 30, 2024 and 2023. Our income tax expense for three months ended June 30, 2024 and 2023 was not material to our unaudited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six months ended June 30, 2024 and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0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6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8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560" w:type="dxa"/>
            <w:vAlign w:val="bottom"/>
          </w:tcPr>
          <w:p>
            <w:pPr>
              <w:spacing w:after="0"/>
              <w:rPr>
                <w:sz w:val="17"/>
                <w:szCs w:val="17"/>
                <w:color w:val="auto"/>
              </w:rPr>
            </w:pPr>
          </w:p>
        </w:tc>
      </w:tr>
      <w:tr>
        <w:trPr>
          <w:trHeight w:val="236"/>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16,308</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45 %</w:t>
            </w:r>
          </w:p>
        </w:tc>
      </w:tr>
      <w:tr>
        <w:trPr>
          <w:trHeight w:val="256"/>
        </w:trPr>
        <w:tc>
          <w:tcPr>
            <w:tcW w:w="5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by geographic location:</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3,609</w:t>
            </w:r>
          </w:p>
        </w:tc>
        <w:tc>
          <w:tcPr>
            <w:tcW w:w="100" w:type="dxa"/>
            <w:vAlign w:val="bottom"/>
          </w:tcPr>
          <w:p>
            <w:pPr>
              <w:spacing w:after="0"/>
              <w:rPr>
                <w:sz w:val="19"/>
                <w:szCs w:val="19"/>
                <w:color w:val="auto"/>
              </w:rPr>
            </w:pPr>
          </w:p>
        </w:tc>
        <w:tc>
          <w:tcPr>
            <w:tcW w:w="15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18 %</w:t>
            </w:r>
          </w:p>
        </w:tc>
      </w:tr>
      <w:tr>
        <w:trPr>
          <w:trHeight w:val="229"/>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Asia and Pacific</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96</w:t>
            </w:r>
          </w:p>
        </w:tc>
      </w:tr>
      <w:tr>
        <w:trPr>
          <w:trHeight w:val="230"/>
        </w:trPr>
        <w:tc>
          <w:tcPr>
            <w:tcW w:w="51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7,449</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70</w:t>
            </w: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45 %</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865"/>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15"/>
        </w:trPr>
        <w:tc>
          <w:tcPr>
            <w:tcW w:w="5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73"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Revenue increased by $16.3 million, or 45%, to $52.9 million for the six months ended June 30, 2024 from $36.6 million for the comparable period in the prior year. The increase in revenue was primarily driven by sales of the REV7 sensor as customers increased their purchase levels and the full period impact from the Velodyne Merger, which occurred on February 10, 2023.</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Locations</w:t>
      </w:r>
    </w:p>
    <w:p>
      <w:pPr>
        <w:spacing w:after="0" w:line="173" w:lineRule="exact"/>
        <w:rPr>
          <w:sz w:val="20"/>
          <w:szCs w:val="20"/>
          <w:color w:val="auto"/>
        </w:rPr>
      </w:pPr>
    </w:p>
    <w:p>
      <w:pPr>
        <w:ind w:right="120" w:firstLine="405"/>
        <w:spacing w:after="0" w:line="289" w:lineRule="auto"/>
        <w:rPr>
          <w:sz w:val="20"/>
          <w:szCs w:val="20"/>
          <w:color w:val="auto"/>
        </w:rPr>
      </w:pPr>
      <w:r>
        <w:rPr>
          <w:rFonts w:ascii="Times New Roman" w:cs="Times New Roman" w:eastAsia="Times New Roman" w:hAnsi="Times New Roman"/>
          <w:sz w:val="17"/>
          <w:szCs w:val="17"/>
          <w:color w:val="auto"/>
        </w:rPr>
        <w:t>Revenue increased across the geographic regions of Americas; Asia and Pacific; and Europe, Middle East and Africa as compared to the comparable period in the prior year. The increase in revenue in those geographic regions were primarily driven by increased sales of the REV7 sensors as customers increased their purchase levels in certain geographies and the full period impact from the Velodyne Merger, which occurred on February 10, 2023.</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ind w:left="36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51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516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5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36"/>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revenue</w:t>
            </w:r>
          </w:p>
        </w:tc>
        <w:tc>
          <w:tcPr>
            <w:tcW w:w="840" w:type="dxa"/>
            <w:vAlign w:val="bottom"/>
            <w:shd w:val="clear" w:color="auto" w:fill="CCEEFF"/>
          </w:tcPr>
          <w:p>
            <w:pPr>
              <w:jc w:val="right"/>
              <w:ind w:right="64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36,411</w:t>
            </w:r>
          </w:p>
        </w:tc>
        <w:tc>
          <w:tcPr>
            <w:tcW w:w="9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36,816</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238" w:lineRule="exact"/>
        <w:rPr>
          <w:sz w:val="20"/>
          <w:szCs w:val="20"/>
          <w:color w:val="auto"/>
        </w:rPr>
      </w:pPr>
    </w:p>
    <w:p>
      <w:pPr>
        <w:ind w:right="320" w:firstLine="405"/>
        <w:spacing w:after="0" w:line="266" w:lineRule="auto"/>
        <w:rPr>
          <w:sz w:val="20"/>
          <w:szCs w:val="20"/>
          <w:color w:val="auto"/>
        </w:rPr>
      </w:pPr>
      <w:r>
        <w:rPr>
          <w:rFonts w:ascii="Times New Roman" w:cs="Times New Roman" w:eastAsia="Times New Roman" w:hAnsi="Times New Roman"/>
          <w:sz w:val="18"/>
          <w:szCs w:val="18"/>
          <w:color w:val="auto"/>
        </w:rPr>
        <w:t>Cost of revenue decreased by $0.4 million, or 1%, to $36.4 million for the six months ended June 30, 2024 from $36.8 million for the comparable period in the prior year. The decrease in cost of revenue was primarily attributable to lower excess and obsolete inventory charges and compensation expenses.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8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5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8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560" w:type="dxa"/>
            <w:vAlign w:val="bottom"/>
          </w:tcPr>
          <w:p>
            <w:pPr>
              <w:spacing w:after="0"/>
              <w:rPr>
                <w:sz w:val="17"/>
                <w:szCs w:val="17"/>
                <w:color w:val="auto"/>
              </w:rPr>
            </w:pPr>
          </w:p>
        </w:tc>
      </w:tr>
      <w:tr>
        <w:trPr>
          <w:trHeight w:val="23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29"/>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58,906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(30,668)</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(11,589)</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(23,421)</w:t>
            </w:r>
          </w:p>
        </w:tc>
        <w:tc>
          <w:tcPr>
            <w:tcW w:w="80" w:type="dxa"/>
            <w:vAlign w:val="bottom"/>
          </w:tcPr>
          <w:p>
            <w:pPr>
              <w:spacing w:after="0"/>
              <w:rPr>
                <w:sz w:val="19"/>
                <w:szCs w:val="19"/>
                <w:color w:val="auto"/>
              </w:rPr>
            </w:pPr>
          </w:p>
        </w:tc>
        <w:tc>
          <w:tcPr>
            <w:tcW w:w="15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Goodwill impairment charges</w:t>
            </w: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(166,675)</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67,594</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299,947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(232,353)</w:t>
            </w:r>
          </w:p>
        </w:tc>
        <w:tc>
          <w:tcPr>
            <w:tcW w:w="8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meaningful.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73"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by $30.7 million, or 52%, to $28.2 million for the six months ended June 30, 2024 from $58.9 million for the comparable period in the prior year. The decrease was primarily attributable to the reduction in compensation expenses and other costs from the restructuring and cost reduction initiatives implemented in 2023 after the closing of the Velodyne Merger.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73"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Sales and marketing expenses decreased by $11.6 million, or 46%, to $13.6 million for the six months ended June 30, 2024 from $25.2 million for the comparable period in the prior year. The decrease was primarily attributable to the reduction in compensation expenses and other costs from the restructuring and cost reduction initiatives implemented in 2023 after the closing of the Velodyne Merger.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73"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by $23.4 million, or 48%, to $25.7 million for the six months ended June 30, 2024 from $49.2 million for the comparable period in the prior year. The decrease was primarily attributable to the reduction in compensation expenses and other costs from the restructuring and cost reduction initiatives implemented in 2023 after the closing of the Velodyne Merger.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Impairment Charges</w:t>
      </w:r>
    </w:p>
    <w:p>
      <w:pPr>
        <w:spacing w:after="0" w:line="173"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There was no addition to goodwill as of June 30, 2024 from December 31, 2023, and as such our remaining goodwill balance was nil. Goodwill impairment charges were $166.7 million for the six months ended June 30, 2023 primarily driven by the decrease in our market capitalization during the period.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and Other Income (Expense), Net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2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6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51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51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5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1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560" w:type="dxa"/>
            <w:vAlign w:val="bottom"/>
          </w:tcPr>
          <w:p>
            <w:pPr>
              <w:spacing w:after="0"/>
              <w:rPr>
                <w:sz w:val="17"/>
                <w:szCs w:val="17"/>
                <w:color w:val="auto"/>
              </w:rPr>
            </w:pPr>
          </w:p>
        </w:tc>
      </w:tr>
      <w:tr>
        <w:trPr>
          <w:trHeight w:val="23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840" w:type="dxa"/>
            <w:vAlign w:val="bottom"/>
            <w:shd w:val="clear" w:color="auto" w:fill="CCEEFF"/>
          </w:tcPr>
          <w:p>
            <w:pPr>
              <w:jc w:val="right"/>
              <w:ind w:right="66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4,902</w:t>
            </w:r>
          </w:p>
        </w:tc>
        <w:tc>
          <w:tcPr>
            <w:tcW w:w="90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(1,481)</w:t>
            </w: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(3,397)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80" w:type="dxa"/>
            <w:vAlign w:val="bottom"/>
          </w:tcPr>
          <w:p>
            <w:pPr>
              <w:spacing w:after="0"/>
              <w:rPr>
                <w:sz w:val="19"/>
                <w:szCs w:val="19"/>
                <w:color w:val="auto"/>
              </w:rPr>
            </w:pPr>
          </w:p>
        </w:tc>
        <w:tc>
          <w:tcPr>
            <w:tcW w:w="156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(268)</w:t>
            </w:r>
          </w:p>
        </w:tc>
      </w:tr>
    </w:tbl>
    <w:p>
      <w:pPr>
        <w:spacing w:after="0" w:line="238"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The year-over-year increase in interest income was primarily attributable to higher average cash and cash equivalent balances driven by additions through the Velodyne Merger transaction and higher interest rates earned on held balances.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year-over-year decrease in interest expense was due to entering into the new UBS Agreement in October 2023, which had a lower interest rate.</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 income (expense), net was not material for the six months ended June 30, 2024 and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We were subject to income taxes in the United States and miscellaneous foreign jurisdictions for the six months ended June 30, 2024 and 2023. Our income tax expense for the six months ended June 30, 2024 and 2023 was not material to the Company’s unaudited condensed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are our cash and cash equivalents and short-term investments, cash generated from sales of our products, sales of common stock under our at-the market equity offering program and proceeds from debt financing.</w:t>
      </w:r>
    </w:p>
    <w:p>
      <w:pPr>
        <w:spacing w:after="0" w:line="108" w:lineRule="exact"/>
        <w:rPr>
          <w:sz w:val="20"/>
          <w:szCs w:val="20"/>
          <w:color w:val="auto"/>
        </w:rPr>
      </w:pPr>
    </w:p>
    <w:p>
      <w:pPr>
        <w:ind w:right="540" w:firstLine="405"/>
        <w:spacing w:after="0" w:line="282" w:lineRule="auto"/>
        <w:rPr>
          <w:sz w:val="20"/>
          <w:szCs w:val="20"/>
          <w:color w:val="auto"/>
        </w:rPr>
      </w:pPr>
      <w:r>
        <w:rPr>
          <w:rFonts w:ascii="Times New Roman" w:cs="Times New Roman" w:eastAsia="Times New Roman" w:hAnsi="Times New Roman"/>
          <w:sz w:val="18"/>
          <w:szCs w:val="18"/>
          <w:color w:val="auto"/>
        </w:rPr>
        <w:t>Our primary requirements for liquidity and capital are working capital, inventory management, capital expenditures, public company costs and general corporate needs. We expect these needs to continue as we develop and grow our business.</w:t>
      </w:r>
    </w:p>
    <w:p>
      <w:pPr>
        <w:spacing w:after="0" w:line="108" w:lineRule="exact"/>
        <w:rPr>
          <w:sz w:val="20"/>
          <w:szCs w:val="20"/>
          <w:color w:val="auto"/>
        </w:rPr>
      </w:pPr>
    </w:p>
    <w:p>
      <w:pPr>
        <w:jc w:val="both"/>
        <w:ind w:right="40" w:firstLine="405"/>
        <w:spacing w:after="0" w:line="266" w:lineRule="auto"/>
        <w:rPr>
          <w:sz w:val="20"/>
          <w:szCs w:val="20"/>
          <w:color w:val="auto"/>
        </w:rPr>
      </w:pPr>
      <w:r>
        <w:rPr>
          <w:rFonts w:ascii="Times New Roman" w:cs="Times New Roman" w:eastAsia="Times New Roman" w:hAnsi="Times New Roman"/>
          <w:sz w:val="18"/>
          <w:szCs w:val="18"/>
          <w:color w:val="auto"/>
        </w:rPr>
        <w:t>As of June 30, 2024 we had an accumulated deficit of $863.7 million and cash, cash equivalents, restricted cash and short-term investments of $185.8 million. Management believes that our existing sources of liquidity will be adequate to fund our operations for at least twelve months from the date of this Quarterly Report. However, we may need to raise additional capital in the future to support our operations.</w:t>
      </w:r>
    </w:p>
    <w:p>
      <w:pPr>
        <w:spacing w:after="0" w:line="122"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We manage our cash and cash equivalents with financial institutions that we believe have high credit quality and, at times, such amounts exceed federally insured limits. The failure of any bank with which we maintain a commercial relationship could cause us to lose our deposits in excess of the federally insured or protected amounts. We have experienced recurring losses from operations, and negative cash flows from operations, and we expect to continue operating at a loss and to have negative cash flows from operations for the foreseeable future. Because we are in the growth stage of our business and operate in an emerging field of technology, we expect to continue to invest in research and development and expand our sales and marketing teams worldwide. We may require additional capital to respond to technological advancements, competitive dynamics or technologies, customer demands, business opportunities, challenges, acquisitions or unforeseen circumstances and in either the short-term or long-term may determine to engage in equity or debt financings or enter into credit facilities for other reasons. If we are unable to obtain adequate financing or financing on terms satisfactory to us, when we require it, our ability to continue to grow or support our business and to respond to business challenges could be significantly limited. In particular, current macroeconomic conditions, including elevated inflation rates and high interest rates, have resulted in, and may continue to result in, significant disruption of global financial markets, reducing our ability to access capital. If we are unable to raise additional funds when or on the terms desired, our business, financial condition and results of operations could be adversely affected.</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Agreement</w:t>
      </w:r>
    </w:p>
    <w:p>
      <w:pPr>
        <w:spacing w:after="0" w:line="121"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On April 29, 2022, we entered into an open market sale agreement with B. Riley Securities, Inc., Cantor Fitzgerald &amp; Co. and Oppenheimer &amp; Co. Inc. (the “ATM Agreement”), pursuant to which we may offer and sell shares of our common stock with an aggregate offering price of up to $150.0 million under an “at-the-market” offering program. Subject to the terms and conditions of the agreement, we may sell the shares in amounts and at times to be determined by us but we are under no obligation to sell any of the shares. Actual sales, if any, will depend on a variety of factors to be determined by us from time to time, including, among other things, market conditions, the trading price of our common stock, capital needs and determinations by us of the appropriate sources of funding. During the three and six months ended June 30, 2024, we sold 1,489,300 and 1,832,871 shares of common stock,</w:t>
      </w:r>
    </w:p>
    <w:p>
      <w:pPr>
        <w:spacing w:after="0" w:line="1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respectively, generating net proceeds of $15.9 million and $18.2 million, respectively, under the ATM Agreement. During the three and six months ended June 30, 2023, we did not sell any common stock under the ATM Agreement. The remaining availability under the ATM Agreement as of June 30, 2024 is approximately $98.0 million. We currently intend to use the net proceeds from the sale of shares pursuant to the ATM Agreement for working capital and general corporate purposes.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Arrangements</w:t>
      </w:r>
    </w:p>
    <w:p>
      <w:pPr>
        <w:spacing w:after="0" w:line="121" w:lineRule="exact"/>
        <w:rPr>
          <w:sz w:val="20"/>
          <w:szCs w:val="20"/>
          <w:color w:val="auto"/>
        </w:rPr>
      </w:pPr>
    </w:p>
    <w:p>
      <w:pPr>
        <w:jc w:val="both"/>
        <w:ind w:right="280" w:firstLine="405"/>
        <w:spacing w:after="0" w:line="266" w:lineRule="auto"/>
        <w:rPr>
          <w:sz w:val="20"/>
          <w:szCs w:val="20"/>
          <w:color w:val="auto"/>
        </w:rPr>
      </w:pPr>
      <w:r>
        <w:rPr>
          <w:rFonts w:ascii="Times New Roman" w:cs="Times New Roman" w:eastAsia="Times New Roman" w:hAnsi="Times New Roman"/>
          <w:sz w:val="18"/>
          <w:szCs w:val="18"/>
          <w:color w:val="auto"/>
        </w:rPr>
        <w:t>On April 29, 2022, we entered into the Loan Agreement with Hercules Capital, which provided us with a term loan facility of up to $50.0 million, subject to terms and conditions (the “Term Loan Facility”). As of December 31, 2022, $40.0 million had been drawn under the Term Loan Facility, and could be used for general working capital purposes subject to certain terms and conditions.</w:t>
      </w:r>
    </w:p>
    <w:p>
      <w:pPr>
        <w:spacing w:after="0" w:line="68"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On October 25, 2023, we entered into the Credit Line Account Application and Agreement for Organizations and Businesses (the “Credit Agreement”) and the Addendum to Credit Line Account Application and Agreement (the “Addendum”; and the Credit Agreement as amended, modified, and/or supplemented by the Addendum, the “UBS Agreement”) by and among the Company, UBS Bank USA (the “Bank”), and UBS Financial Services Inc. The UBS Agreement provided us with a revolving credit line of up to $45.0 million, subject to certain terms and conditions. We initially borrowed $44.0 million, and all of the proceeds were used to prepay and terminate our Term Loan Facility with Hercules on October 25, 2023.</w:t>
      </w:r>
    </w:p>
    <w:p>
      <w:pPr>
        <w:spacing w:after="0" w:line="75"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On August 12, 2024, we repaid the $44.0 million principal amount outstanding under the UBS Agreement, along with accrued interest, and terminated all commitments and obligations thereunder. We funded the repayment of the outstanding revolving loans under the UBS Agreement with cash on hand.</w:t>
      </w:r>
    </w:p>
    <w:p>
      <w:pPr>
        <w:spacing w:after="0" w:line="68"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During the term of the UBS Agreement, we agreed to maintain minimum liquidity, comprised of unencumbered cash and cash equivalents, U.S. treasuries and other assets acceptable to the Bank, of $52.0 million in an account maintained with the Bank or its affiliates at all times. The facility under the UBS Agreement was secured by our assets in securities accounts and any other accounts maintained with the Bank or its affiliates, and any supporting obligations, general intangibles and other rights ancillary or attributable to such assets, subject to customary exceptions.</w:t>
      </w:r>
    </w:p>
    <w:p>
      <w:pPr>
        <w:spacing w:after="0" w:line="72" w:lineRule="exact"/>
        <w:rPr>
          <w:sz w:val="20"/>
          <w:szCs w:val="20"/>
          <w:color w:val="auto"/>
        </w:rPr>
      </w:pPr>
    </w:p>
    <w:p>
      <w:pPr>
        <w:jc w:val="both"/>
        <w:ind w:right="140" w:firstLine="405"/>
        <w:spacing w:after="0" w:line="261" w:lineRule="auto"/>
        <w:rPr>
          <w:sz w:val="20"/>
          <w:szCs w:val="20"/>
          <w:color w:val="auto"/>
        </w:rPr>
      </w:pPr>
      <w:r>
        <w:rPr>
          <w:rFonts w:ascii="Times New Roman" w:cs="Times New Roman" w:eastAsia="Times New Roman" w:hAnsi="Times New Roman"/>
          <w:sz w:val="18"/>
          <w:szCs w:val="18"/>
          <w:color w:val="auto"/>
        </w:rPr>
        <w:t>Loans under the UBS Agreement bore interest at a rate equal to (x) for variable rate loans, the sum of (i) the applicable SOFR average plus 0.110%, plus (ii) 1.20%, and (y) for fixed rate loans, the sum of either (1) CME Term Rate or (2) the U.S. Treasury Rate, as applicable and as defined in the UBS Agreement, as determined based on the duration of the advance, plus the applicable liquidity premium with a range of 0.15% to 0.50%, as set forth in the UBS Agreement.</w:t>
      </w:r>
    </w:p>
    <w:p>
      <w:pPr>
        <w:spacing w:after="0" w:line="72" w:lineRule="exact"/>
        <w:rPr>
          <w:sz w:val="20"/>
          <w:szCs w:val="20"/>
          <w:color w:val="auto"/>
        </w:rPr>
      </w:pPr>
    </w:p>
    <w:p>
      <w:pPr>
        <w:jc w:val="both"/>
        <w:ind w:right="160" w:firstLine="405"/>
        <w:spacing w:after="0" w:line="266" w:lineRule="auto"/>
        <w:rPr>
          <w:sz w:val="20"/>
          <w:szCs w:val="20"/>
          <w:color w:val="auto"/>
        </w:rPr>
      </w:pPr>
      <w:r>
        <w:rPr>
          <w:rFonts w:ascii="Times New Roman" w:cs="Times New Roman" w:eastAsia="Times New Roman" w:hAnsi="Times New Roman"/>
          <w:sz w:val="18"/>
          <w:szCs w:val="18"/>
          <w:color w:val="auto"/>
        </w:rPr>
        <w:t>The UBS Agreement required us to pay an unused line fee in an amount equal to (i) the commitment amount of $45.0 million less the average daily balance of the sum of the principal amount of the obligations outstanding during the preceding calendar quarter, multiplied by (ii) 0.50% per annum, and such unused line fee is payable quarterly in arrears on the last day of each calendar quarter.</w:t>
      </w:r>
    </w:p>
    <w:p>
      <w:pPr>
        <w:spacing w:after="0" w:line="68" w:lineRule="exact"/>
        <w:rPr>
          <w:sz w:val="20"/>
          <w:szCs w:val="20"/>
          <w:color w:val="auto"/>
        </w:rPr>
      </w:pPr>
    </w:p>
    <w:p>
      <w:pPr>
        <w:ind w:right="660" w:firstLine="405"/>
        <w:spacing w:after="0" w:line="406" w:lineRule="auto"/>
        <w:rPr>
          <w:sz w:val="20"/>
          <w:szCs w:val="20"/>
          <w:color w:val="auto"/>
        </w:rPr>
      </w:pPr>
      <w:r>
        <w:rPr>
          <w:rFonts w:ascii="Times New Roman" w:cs="Times New Roman" w:eastAsia="Times New Roman" w:hAnsi="Times New Roman"/>
          <w:sz w:val="18"/>
          <w:szCs w:val="18"/>
          <w:color w:val="auto"/>
        </w:rPr>
        <w:t xml:space="preserve">For additional information, see Note 6, Debt to our unaudited condensed consolidated financial statements included in this Quarterly Report. </w:t>
      </w:r>
      <w:r>
        <w:rPr>
          <w:rFonts w:ascii="Times New Roman" w:cs="Times New Roman" w:eastAsia="Times New Roman" w:hAnsi="Times New Roman"/>
          <w:sz w:val="18"/>
          <w:szCs w:val="18"/>
          <w:b w:val="1"/>
          <w:bCs w:val="1"/>
          <w:i w:val="1"/>
          <w:iCs w:val="1"/>
          <w:color w:val="auto"/>
        </w:rPr>
        <w:t>Material Cash Requirements</w:t>
      </w:r>
    </w:p>
    <w:p>
      <w:pPr>
        <w:spacing w:after="0" w:line="2" w:lineRule="exact"/>
        <w:rPr>
          <w:sz w:val="20"/>
          <w:szCs w:val="20"/>
          <w:color w:val="auto"/>
        </w:rPr>
      </w:pPr>
    </w:p>
    <w:p>
      <w:pPr>
        <w:ind w:right="80" w:firstLine="405"/>
        <w:spacing w:after="0" w:line="277" w:lineRule="auto"/>
        <w:rPr>
          <w:sz w:val="20"/>
          <w:szCs w:val="20"/>
          <w:color w:val="auto"/>
        </w:rPr>
      </w:pPr>
      <w:r>
        <w:rPr>
          <w:rFonts w:ascii="Times New Roman" w:cs="Times New Roman" w:eastAsia="Times New Roman" w:hAnsi="Times New Roman"/>
          <w:sz w:val="17"/>
          <w:szCs w:val="17"/>
          <w:color w:val="auto"/>
        </w:rPr>
        <w:t>We are a party to many contractual obligations involving commitments to make payments to third parties. These obligations impact our short-term and long-term liquidity and capital resource needs. Certain contractual obligations are reflected on the unaudited condensed consolidated balance sheet as of June 30, 2024, while others are considered future commitments. Our contractual obligations primarily consist of non-cancelable purchase commitments with various parties to purchase goods or services, primarily inventory, entered into in the normal course of business and operating leases. For information regarding our other contractual obligations, refer to Note 8, Commitments and Contingencies and Part II, Item 7 of our 2023 Annual Report.</w:t>
      </w: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from continuing operations for the periods presented: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3"/>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8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9"/>
        </w:trPr>
        <w:tc>
          <w:tcPr>
            <w:tcW w:w="8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40" w:type="dxa"/>
            <w:vAlign w:val="bottom"/>
            <w:gridSpan w:val="3"/>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(dollars in thousands)</w:t>
            </w:r>
          </w:p>
        </w:tc>
      </w:tr>
      <w:tr>
        <w:trPr>
          <w:trHeight w:val="21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provided by:</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Operating activities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(27,366)</w:t>
            </w:r>
          </w:p>
        </w:tc>
        <w:tc>
          <w:tcPr>
            <w:tcW w:w="3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(86,478)</w:t>
            </w:r>
          </w:p>
        </w:tc>
      </w:tr>
      <w:tr>
        <w:trPr>
          <w:trHeight w:val="219"/>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Investing activities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9,069</w:t>
            </w:r>
          </w:p>
        </w:tc>
        <w:tc>
          <w:tcPr>
            <w:tcW w:w="3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54,651</w:t>
            </w:r>
          </w:p>
        </w:tc>
      </w:tr>
      <w:tr>
        <w:trPr>
          <w:trHeight w:val="210"/>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Financing activities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20,335</w:t>
            </w:r>
          </w:p>
        </w:tc>
        <w:tc>
          <w:tcPr>
            <w:tcW w:w="3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r>
    </w:tbl>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ind w:right="60" w:firstLine="405"/>
        <w:spacing w:after="0" w:line="277" w:lineRule="auto"/>
        <w:rPr>
          <w:sz w:val="20"/>
          <w:szCs w:val="20"/>
          <w:color w:val="auto"/>
        </w:rPr>
      </w:pPr>
      <w:r>
        <w:rPr>
          <w:rFonts w:ascii="Times New Roman" w:cs="Times New Roman" w:eastAsia="Times New Roman" w:hAnsi="Times New Roman"/>
          <w:sz w:val="17"/>
          <w:szCs w:val="17"/>
          <w:color w:val="auto"/>
        </w:rPr>
        <w:t>During the six months ended June 30, 2024, operating activities used $27.4 million in cash. The primary factors affecting our operating cash flows during this period were our net loss of $47.7 million, offset by our non-cash charges of $25.8 million, primarily consisting of depreciation and amortization of $5.4 million, stock-based compensation of $20.1 million, a change in right-of-use asset of $2.4 million and inventory write down of $0.7 million. The changes in our operating assets and liabilities of $5.4 million were primarily due to a decrease in accounts receivable of $3.9 million, decrease in inventory</w:t>
      </w:r>
    </w:p>
    <w:p>
      <w:pPr>
        <w:spacing w:after="0" w:line="2" w:lineRule="exact"/>
        <w:rPr>
          <w:sz w:val="20"/>
          <w:szCs w:val="20"/>
          <w:color w:val="auto"/>
        </w:rPr>
      </w:pPr>
    </w:p>
    <w:p>
      <w:pPr>
        <w:ind w:right="120"/>
        <w:spacing w:after="0" w:line="297" w:lineRule="auto"/>
        <w:rPr>
          <w:sz w:val="20"/>
          <w:szCs w:val="20"/>
          <w:color w:val="auto"/>
        </w:rPr>
      </w:pPr>
      <w:r>
        <w:rPr>
          <w:rFonts w:ascii="Times New Roman" w:cs="Times New Roman" w:eastAsia="Times New Roman" w:hAnsi="Times New Roman"/>
          <w:sz w:val="18"/>
          <w:szCs w:val="18"/>
          <w:color w:val="auto"/>
        </w:rPr>
        <w:t>of $3.0 million, an increase in prepaid expenses and other assets of $0.1 million, an increase in accounts payable of $1.0 million and a decrease in accrued and other liabilities of $9.8 million.</w:t>
      </w:r>
    </w:p>
    <w:p>
      <w:pPr>
        <w:spacing w:after="0" w:line="95"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2023, operating activities used $86.5 million in cash. The primary factors affecting our operating cash flows during this period were our net loss of $300.0 million, offset by our non-cash charges of $223.2 million, primarily consisting of goodwill impairment charges of $166.7 million, depreciation and amortization of $10.6 million, loss on write-off of construction in progress and right-of-use asset impairment of $1.4 million, stock-based compensation of $38.2 million, a change in right-of-use asset of $2.0 million and inventory write down of $5.1 million. The changes in our operating assets and liabilities of $9.6 million were primarily due to an increase in accounts receivable of $3.4 million, increase in inventory of $3.6 million, a decrease in accounts payable of $1.7 million and an increase in accrued and other liabilities of $4.8 million.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ind w:right="300" w:firstLine="405"/>
        <w:spacing w:after="0" w:line="329" w:lineRule="auto"/>
        <w:rPr>
          <w:sz w:val="20"/>
          <w:szCs w:val="20"/>
          <w:color w:val="auto"/>
        </w:rPr>
      </w:pPr>
      <w:r>
        <w:rPr>
          <w:rFonts w:ascii="Times New Roman" w:cs="Times New Roman" w:eastAsia="Times New Roman" w:hAnsi="Times New Roman"/>
          <w:sz w:val="18"/>
          <w:szCs w:val="18"/>
          <w:color w:val="auto"/>
        </w:rPr>
        <w:t>During the six months ended June 30, 2024, cash provided by investing activities was $9.1 million, consisting primarily of $60.0 million proceeds from short-term investments and purchases of short-term investments of $49.7 million.</w:t>
      </w:r>
    </w:p>
    <w:p>
      <w:pPr>
        <w:spacing w:after="0" w:line="67"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2023, cash provided by investing activities was $54.7 million, which was attributed primarily to the Velodyne Merger and proceeds from sales of short-term investments.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six months ended June 30, 2024, cash provided by financing activities was $20.3 million, consisting primarily of $19.5 million of</w:t>
      </w:r>
    </w:p>
    <w:p>
      <w:pPr>
        <w:spacing w:after="0" w:line="27" w:lineRule="exact"/>
        <w:rPr>
          <w:sz w:val="20"/>
          <w:szCs w:val="20"/>
          <w:color w:val="auto"/>
        </w:rPr>
      </w:pPr>
    </w:p>
    <w:p>
      <w:pPr>
        <w:ind w:right="260"/>
        <w:spacing w:after="0" w:line="427" w:lineRule="auto"/>
        <w:rPr>
          <w:sz w:val="20"/>
          <w:szCs w:val="20"/>
          <w:color w:val="auto"/>
        </w:rPr>
      </w:pPr>
      <w:r>
        <w:rPr>
          <w:rFonts w:ascii="Times New Roman" w:cs="Times New Roman" w:eastAsia="Times New Roman" w:hAnsi="Times New Roman"/>
          <w:sz w:val="18"/>
          <w:szCs w:val="18"/>
          <w:color w:val="auto"/>
        </w:rPr>
        <w:t xml:space="preserve">proceeds from the issuance of common stock under the ATM Agreement. Financing activities for the six months ended June 30, 2023 were not material. </w:t>
      </w:r>
      <w:r>
        <w:rPr>
          <w:rFonts w:ascii="Times New Roman" w:cs="Times New Roman" w:eastAsia="Times New Roman" w:hAnsi="Times New Roman"/>
          <w:sz w:val="18"/>
          <w:szCs w:val="18"/>
          <w:b w:val="1"/>
          <w:bCs w:val="1"/>
          <w:color w:val="auto"/>
        </w:rPr>
        <w:t>Critical Accounting Estimates</w:t>
      </w:r>
    </w:p>
    <w:p>
      <w:pPr>
        <w:spacing w:after="0" w:line="1"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Our critical accounting estimates are described in Management’s Discussion and Analysis of Financial Condition and Results of Operations in our Annual Report on Form 10-K for the fiscal year ended December 31, 2023. There have been no significant changes to our critical accounting policies since the filing of our Annual Report on Form 10-K for the fiscal year ended December 31, 2023 except for the revision in our revenue policies and addition of investments as a significant accounting policy, both in connection with Velodyne Merger, which is described in Note 2 - Summary of Significant Accounting Policies to our unaudited condensed consolidated financial statements included in this Quarterly Report.</w:t>
      </w:r>
    </w:p>
    <w:p>
      <w:pPr>
        <w:spacing w:after="0" w:line="129"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us to make estimates and assumptions. Certain of these policies require the application of subjective or complex judgments, often as a result of the need to make estimates about the effect of matters that are inherently uncertain. These estimates and assumptions are based on historical experience, changes in the business environment and other factors that we believe to be reasonable under the circumstances. Different estimates that could have been applied in the current period or changes in the accounting estimates that are reasonably likely can result in a material impact on our financial condition and operating results in the current and future periods.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foreign currency exchange rates and to a lesser extent, inflation risk. The following analysis provides quantitative and qualitative information regarding these risks.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75"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General inflation in the U.S., Europe and other geographies has risen to levels not experienced in recent decades. General inflation, including rising prices for inputs and rising wages, as well as rising interest rates negatively impact our business by increasing our operating costs. General inflation also negatively impacts our business by decreasing the capital for our customers to deploy to purchase our products. Inflation may cause our customers to reduce or delay orders for our products thereby causing a decrease in sales. Increased instability relating to this higher inflation as well as rising interest rates may enhance volatility in currency exchange rates, limit our suppliers’ and customers’ access to credit and limit our ability to access debt and equity financing. These uncertainties may make it difficult for us and our suppliers and customers to accurately plan future business activities and materially adversely impact our operating results and financial condition. While we adjust our prices to try to offset rising operating costs, we may not be able to fully offset such higher costs or demand may decline. Our inability to offset costs or consequential decline in demand could harm our business, results of operations or financial condition. We do not believe that inflation has had a material effect on our business, financial condition, or results of operations, other than its impact on the general economy. We cannot assure you, however, that our results of operations and financial condition will not be materially impacted by inflation in the future.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As of June 30, 2024, we had cash and cash equivalents, restricted cash and short-term investments of $185.8 million, out of which $18.4 million consisted of institutional money market funds, $72.7 million commercial paper, and $58.9 million consisted of corporate debt and U.S. government agency securities, all of which carries a degree of interest rate risk. The primary goals of our investment policy are liquidity and capital preservation. We do not enter into investments for trading or speculative purposes.</w:t>
      </w:r>
    </w:p>
    <w:p>
      <w:pPr>
        <w:spacing w:after="0" w:line="126"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These investments are subject to interest rate risk, as sharp increases in market interest rates could have an adverse impact on their fair value. Although the fair values of these instruments can fluctuate, we believe that the short-term, highly liquid nature of these investments, and our ability to hold these instruments to maturity, reduces our risk for potential material losses. A hypothetical 100 basis point change in interest rates would not have a material impact on our financial condition or results of operations due to the short-term nature of our investment portfolio.</w:t>
      </w:r>
    </w:p>
    <w:p>
      <w:pPr>
        <w:spacing w:after="0" w:line="126"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In addition, our operating results are subject to risk from interest rate fluctuations on borrowings under our debt financing agreements, which carry variable interest rates. Interest rate risk is the exposure to loss resulting from changes in the level of interest rates and the spread between different interest rates. Because our borrowings under our financing agreements bear interest at variable rates, we are exposed to market risks relating to changes in interest rates. Interest rate risk is highly sensitive due to many factors, including U.S. monetary and tax policies, U.S. and international economic factors and other factors beyond our control. As of June 30, 2024, we had $44.0 million of variable rate debt outstanding under our Loan Agreement. Based upon a sensitivity analysis of our debt levels on June 30, 2024, an increase or decrease of 1% point in the effective interest rate under our UBS Agreement would cause an increase or decrease in interest expense of approximately $0.4 million over the next 12 months.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75"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Our results of operations and cash flows are subject to fluctuations due to changes in foreign currency exchange rates. Substantially all of our revenue is generated in U.S. dollars. Our expenses are generally denominated in the currencies of the jurisdictions in which we conduct our operations, which are primarily in the U.S. and to a lesser extent in Asia and Europe. Our results of operations and cash flows are, therefore, subject to fluctuations due to changes in foreign currency exchange rates and may be adversely affected in the future due to changes in foreign exchange rates. The effect of a hypothetical 10% change in foreign currency exchange rates applicable to our business would not have a material impact on our historical consolidated financial statements. To date, we have not engaged in any hedging strategies. As our international operations grow, we will continue to reassess our approach to manage our risk relating to fluctuations in currency rates. No strategy can completely insulate us from risks associated with such fluctuations and our currency exchange rate risk management activities could expose us to substantial losses if such rates move materially differently from our expectations.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175"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Rules 13a-15(e) and 15d-15(e) under the Exchange Act) that are designed to ensure that information required to be disclosed in the reports filed or submitted under the Securities Exchange Act of 1934, as amended,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that term is defined in Rules 13a-15(e) and 15d-15(e) under the Exchange Act) as of June 30, 2024. Based on that evaluation, our Chief Executive Officer and Chief Financial Officer concluded that our disclosure controls and procedures were not effective as of June 30, 2024 due to the material weaknesses in our internal control over financial reporting described below.</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weaknesses and remediation measures</w:t>
      </w:r>
    </w:p>
    <w:p>
      <w:pPr>
        <w:spacing w:after="0" w:line="175"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Rules 13a-15(f) and 15d-15(f) under the Exchange Act).</w:t>
      </w:r>
    </w:p>
    <w:p>
      <w:pPr>
        <w:spacing w:after="0" w:line="108"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08"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We did not design and maintain an effective control environment commensurate with our financial reporting requirements. Specifically, we did not maintain a sufficient complement of personnel with an appropriate degree of internal controls and accounting knowledge, experience, and training commensurate with our accounting and reporting requirements.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This material weakness also contributed to the following additional material weaknesses.</w:t>
      </w:r>
    </w:p>
    <w:p>
      <w:pPr>
        <w:spacing w:after="0" w:line="171" w:lineRule="exact"/>
        <w:rPr>
          <w:sz w:val="20"/>
          <w:szCs w:val="20"/>
          <w:color w:val="auto"/>
        </w:rPr>
      </w:pPr>
    </w:p>
    <w:p>
      <w:pPr>
        <w:jc w:val="both"/>
        <w:ind w:right="120" w:firstLine="405"/>
        <w:spacing w:after="0" w:line="266" w:lineRule="auto"/>
        <w:rPr>
          <w:sz w:val="20"/>
          <w:szCs w:val="20"/>
          <w:color w:val="auto"/>
        </w:rPr>
      </w:pPr>
      <w:r>
        <w:rPr>
          <w:rFonts w:ascii="Times New Roman" w:cs="Times New Roman" w:eastAsia="Times New Roman" w:hAnsi="Times New Roman"/>
          <w:sz w:val="18"/>
          <w:szCs w:val="18"/>
          <w:color w:val="auto"/>
        </w:rPr>
        <w:t>We did not design and maintain effective controls over the period-end financial reporting process to achieve complete, accurate and timely financial accounting, reporting and disclosures, including segregation of duties and adequate controls related to journal entries and certain other business processes, and verifying transactions are properly classified in the financial statements.</w:t>
      </w:r>
    </w:p>
    <w:p>
      <w:pPr>
        <w:spacing w:after="0" w:line="122"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These material weaknesses resulted in adjustments to several account balances and disclosures in the consolidated financial statements for the years ended December 31, 2019 and 2018, and adjustments to the equity and warrant liabilities accounts and related disclosures in the unaudited condensed consolidated financial statements for the three months ended March 31, 2021. The material weakness related to the control environment also resulted in an immaterial adjustment, which was recorded prior to the issuance of the unaudited condensed consolidated financial statements as of June 30, 2024.</w:t>
      </w:r>
    </w:p>
    <w:p>
      <w:pPr>
        <w:spacing w:after="0" w:line="126" w:lineRule="exact"/>
        <w:rPr>
          <w:sz w:val="20"/>
          <w:szCs w:val="20"/>
          <w:color w:val="auto"/>
        </w:rPr>
      </w:pPr>
    </w:p>
    <w:p>
      <w:pPr>
        <w:ind w:right="480" w:firstLine="405"/>
        <w:spacing w:after="0" w:line="282" w:lineRule="auto"/>
        <w:rPr>
          <w:sz w:val="20"/>
          <w:szCs w:val="20"/>
          <w:color w:val="auto"/>
        </w:rPr>
      </w:pPr>
      <w:r>
        <w:rPr>
          <w:rFonts w:ascii="Times New Roman" w:cs="Times New Roman" w:eastAsia="Times New Roman" w:hAnsi="Times New Roman"/>
          <w:sz w:val="18"/>
          <w:szCs w:val="18"/>
          <w:color w:val="auto"/>
        </w:rPr>
        <w:t>Additionally, each of these material weaknesses could result in a misstatement of account balances or disclosures that would result in a material misstatement to the annual or interim consolidated financial statements that would not be prevented or detected.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Measures Taken</w:t>
      </w:r>
    </w:p>
    <w:p>
      <w:pPr>
        <w:spacing w:after="0" w:line="175" w:lineRule="exact"/>
        <w:rPr>
          <w:sz w:val="20"/>
          <w:szCs w:val="20"/>
          <w:color w:val="auto"/>
        </w:rPr>
      </w:pPr>
    </w:p>
    <w:p>
      <w:pPr>
        <w:ind w:right="680" w:firstLine="405"/>
        <w:spacing w:after="0" w:line="282" w:lineRule="auto"/>
        <w:rPr>
          <w:sz w:val="20"/>
          <w:szCs w:val="20"/>
          <w:color w:val="auto"/>
        </w:rPr>
      </w:pPr>
      <w:r>
        <w:rPr>
          <w:rFonts w:ascii="Times New Roman" w:cs="Times New Roman" w:eastAsia="Times New Roman" w:hAnsi="Times New Roman"/>
          <w:sz w:val="18"/>
          <w:szCs w:val="18"/>
          <w:color w:val="auto"/>
        </w:rPr>
        <w:t>We are continuing to execute a remediation plan to address the control deficiencies underlying these material weaknesses. These remediation measures are ongoing and include the following:</w:t>
      </w:r>
    </w:p>
    <w:p>
      <w:pPr>
        <w:spacing w:after="0" w:line="54" w:lineRule="exact"/>
        <w:rPr>
          <w:sz w:val="20"/>
          <w:szCs w:val="20"/>
          <w:color w:val="auto"/>
        </w:rPr>
      </w:pPr>
    </w:p>
    <w:p>
      <w:pPr>
        <w:ind w:left="660" w:right="1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recruit personnel with appropriate internal controls, accounting knowledge and experience commensurate with our accounting and reporting requirements, in addition to engaging and utilizing third party consultants and specialists. Our management also reallocated roles and responsibilities within the accounting team based on skills and experience of various personnel.</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right="24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operate entity level controls (ELCs) including Board and Audit Committee oversight, senior management review of financial and business performance and internal controls, and expansion of the internal audit team. We have designed and implemented these controls in the previous financial years.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provide internal control training for personnel responsible for implementing internal controls for the Company.</w:t>
      </w:r>
    </w:p>
    <w:p>
      <w:pPr>
        <w:spacing w:after="0" w:line="117" w:lineRule="exact"/>
        <w:rPr>
          <w:rFonts w:ascii="Times New Roman" w:cs="Times New Roman" w:eastAsia="Times New Roman" w:hAnsi="Times New Roman"/>
          <w:sz w:val="18"/>
          <w:szCs w:val="18"/>
          <w:color w:val="auto"/>
        </w:rPr>
      </w:pPr>
    </w:p>
    <w:p>
      <w:pPr>
        <w:ind w:left="660" w:hanging="328"/>
        <w:spacing w:after="0" w:line="258"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operate internal controls for financial close and reporting including review of accounting policies, journal entry review controls, period end close procedures, financial statement preparation, review, and reporting, and controls within various business processes as they relate to financial reporting, including controls to ensure segregation of duties. This included controls around classification of balances in our financial statements and strengthening processes for management oversight over financial reporting and disclosure controls. We have designed and implemented these controls in the previous financial years.</w:t>
      </w:r>
    </w:p>
    <w:p>
      <w:pPr>
        <w:spacing w:after="0" w:line="129"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These investments in resources have improved the stability of our accounting organization. While significant progress has been made in response to the material weaknesses, time is needed to demonstrate sustainability as it relates to our internal control over financial reporting and improvements made to our complement of resources, including demonstrating sustained operating effectiveness of our internal controls. We are committed to continuous improvement and will continue to diligently review our internal control over financial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ind w:right="120" w:firstLine="405"/>
        <w:spacing w:after="0" w:line="266" w:lineRule="auto"/>
        <w:rPr>
          <w:sz w:val="20"/>
          <w:szCs w:val="20"/>
          <w:color w:val="auto"/>
        </w:rPr>
      </w:pPr>
      <w:r>
        <w:rPr>
          <w:rFonts w:ascii="Times New Roman" w:cs="Times New Roman" w:eastAsia="Times New Roman" w:hAnsi="Times New Roman"/>
          <w:sz w:val="18"/>
          <w:szCs w:val="18"/>
          <w:color w:val="auto"/>
        </w:rPr>
        <w:t>Other than the remediation measures described above, there were no changes in our internal control over financial reporting (as such term is defined in Rules 13a-15(f) and 15d-15(f) under the Exchange Act) during the quarter ended June 30, 2024 that have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160" w:firstLine="405"/>
        <w:spacing w:after="0" w:line="312" w:lineRule="auto"/>
        <w:rPr>
          <w:sz w:val="20"/>
          <w:szCs w:val="20"/>
          <w:color w:val="auto"/>
        </w:rPr>
      </w:pPr>
      <w:r>
        <w:rPr>
          <w:rFonts w:ascii="Times New Roman" w:cs="Times New Roman" w:eastAsia="Times New Roman" w:hAnsi="Times New Roman"/>
          <w:sz w:val="17"/>
          <w:szCs w:val="17"/>
          <w:color w:val="auto"/>
        </w:rPr>
        <w:t>We are, from time to time, party to various claims and legal proceedings arising in the ordinary course of our business. See Part I, Item 1 “Financial Statements (Unaudited) - Note 8, Commitments and Contingencies,” incorporated herein by reference, for a discussion of material legal proceedings.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You should carefully consider the risks described under the heading “Risk Factors” in Part I, Item 1A. of our Annual Report on Form 10-K for the fiscal year ended December 31, 2023 (“2023 Form 10-K”), the other information in this Quarterly Report, including our unaudited condensed consolidated financial statements and the related notes, as well as our other public filings with the SEC, before deciding to invest in our securities. There have been no material changes to the Company’s risk factors previously disclosed in our 2023 Form 10-K. The occurrence of any of the events described therein could harm our business, financial condition, results of operations, liquidity or prospects. In such an event, the market price of our common stock could decline, and you may lose all or part of your investment.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 Sales of Unregistered Securities; Purchases of Equity Securities by the Issuer or Affiliated Purchaser</w:t>
      </w:r>
    </w:p>
    <w:p>
      <w:pPr>
        <w:spacing w:after="0" w:line="65"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In April and June 2024, certain shareholders of a subsidiary of Velodyne (the "BlueCity Holders") exercised their right to exchange an aggregate of 1,991,324 and 225,180 shares in such subsidiary into 163,367 and 18,473 shares of our common stock, respectively. The BlueCity Holders acquired the shares in the Velodyne subsidiary as consideration for Velodyne’s acquisition of BlueCity Technology, Inc. in October 2022, and the shares were exchangeable into Velodyne shares generally on a one-for-one basis, which ratio was adjusted to reflect the exchange ratio from the Velodyne Merger and our reverse stock split. The shares of our common stock were issued without registration under the Securities Act in reliance on Section 4(a)(2) and/or Regulation S of the Securities Act and the rules and regulations promulgated thereunder.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Disclosure in lieu of reporting on a Current Report on Form 8-K.</w:t>
      </w:r>
    </w:p>
    <w:p>
      <w:pPr>
        <w:spacing w:after="0" w:line="67"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On August 12, 2024, the Company repaid in full all outstanding indebtedness and terminated all commitments and obligations under the UBS Agreement. The UBS Agreement payoff amount included revolving loans in the principal amount of $44.0 million, plus accrued but unpaid interest. The Company funded the repayment of the outstanding loans under the UBS Agreement with cash on hand.</w:t>
      </w:r>
    </w:p>
    <w:p>
      <w:pPr>
        <w:spacing w:after="0" w:line="64" w:lineRule="exact"/>
        <w:rPr>
          <w:sz w:val="20"/>
          <w:szCs w:val="20"/>
          <w:color w:val="auto"/>
        </w:rPr>
      </w:pPr>
    </w:p>
    <w:p>
      <w:pPr>
        <w:ind w:left="420" w:right="2500" w:hanging="412"/>
        <w:spacing w:after="0" w:line="286" w:lineRule="auto"/>
        <w:tabs>
          <w:tab w:leader="none" w:pos="27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Material changes to the procedures by which security holders may recommend nominees to the board of directors. </w:t>
      </w:r>
      <w:r>
        <w:rPr>
          <w:rFonts w:ascii="Times New Roman" w:cs="Times New Roman" w:eastAsia="Times New Roman" w:hAnsi="Times New Roman"/>
          <w:sz w:val="18"/>
          <w:szCs w:val="18"/>
          <w:color w:val="auto"/>
        </w:rPr>
        <w:t>None.</w:t>
      </w:r>
    </w:p>
    <w:p>
      <w:pPr>
        <w:spacing w:after="0" w:line="46" w:lineRule="exact"/>
        <w:rPr>
          <w:rFonts w:ascii="Times New Roman" w:cs="Times New Roman" w:eastAsia="Times New Roman" w:hAnsi="Times New Roman"/>
          <w:sz w:val="18"/>
          <w:szCs w:val="18"/>
          <w:b w:val="1"/>
          <w:bCs w:val="1"/>
          <w:i w:val="1"/>
          <w:iCs w:val="1"/>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Insider trading arrangements and policies.</w:t>
      </w:r>
    </w:p>
    <w:p>
      <w:pPr>
        <w:spacing w:after="0" w:line="67"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On May 21, 2024, Mark Weinswig, the Company’s Chief Financial Officer, adopted a “Rule 10b5-1 trading arrangement” (the “Weinswig 10b5-1 Plan”) as defined in Item 408(a) of Regulation S-K. The Weinswig 10b5-1 Plan provides for the periodic sale between November 20, 2024 and January 20, 2025 of up to (i) 31,397 shares of common stock and (ii) the net number of shares of common stock underlying 7,000 restricted stock units received after giving effect to the number of shares sold to satisfy tax withholding obligations on the vesting date specified under the Weinswig 10b5-1 Plan (such total number of shares is not determinable).</w:t>
      </w:r>
    </w:p>
    <w:p>
      <w:pPr>
        <w:spacing w:after="0" w:line="21"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Other than as described above, during the three months ended June 30, 2024, no director or officer of the Company, as defined in Rule 16a-1(f) of the Exchange Act, adopted or terminated a “Rule 10b5-1 trading arrangement” intended to satisfy the affirmative defense of Rule 10b5-1(c) or a “non-Rule 10b5-1 trading arrangement,” as each term is defined in Item 408(a) of Regulation S-K.</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p>
      <w:pPr>
        <w:ind w:left="160"/>
        <w:spacing w:after="0"/>
        <w:tabs>
          <w:tab w:leader="none" w:pos="288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35572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1060" w:type="dxa"/>
            <w:vAlign w:val="bottom"/>
            <w:gridSpan w:val="3"/>
          </w:tcPr>
          <w:p>
            <w:pPr>
              <w:spacing w:after="0"/>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1†</w:t>
              </w:r>
            </w:hyperlink>
          </w:p>
        </w:tc>
        <w:tc>
          <w:tcPr>
            <w:tcW w:w="4540" w:type="dxa"/>
            <w:vAlign w:val="bottom"/>
            <w:gridSpan w:val="28"/>
          </w:tcPr>
          <w:p>
            <w:pPr>
              <w:spacing w:after="0"/>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Agreement and Plan of Merger, dated as of December 21,</w:t>
              </w:r>
            </w:hyperlink>
          </w:p>
        </w:tc>
        <w:tc>
          <w:tcPr>
            <w:tcW w:w="0" w:type="dxa"/>
            <w:vAlign w:val="bottom"/>
          </w:tcPr>
          <w:p>
            <w:pPr>
              <w:spacing w:after="0"/>
              <w:rPr>
                <w:sz w:val="1"/>
                <w:szCs w:val="1"/>
                <w:color w:val="auto"/>
              </w:rPr>
            </w:pPr>
          </w:p>
        </w:tc>
      </w:tr>
      <w:tr>
        <w:trPr>
          <w:trHeight w:val="27"/>
        </w:trPr>
        <w:tc>
          <w:tcPr>
            <w:tcW w:w="2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40" w:type="dxa"/>
            <w:vAlign w:val="bottom"/>
            <w:tcBorders>
              <w:bottom w:val="single" w:sz="8" w:color="0000FF"/>
            </w:tcBorders>
            <w:gridSpan w:val="16"/>
          </w:tcPr>
          <w:p>
            <w:pPr>
              <w:spacing w:after="0" w:line="202" w:lineRule="exact"/>
              <w:rPr>
                <w:rFonts w:ascii="Times New Roman" w:cs="Times New Roman" w:eastAsia="Times New Roman" w:hAnsi="Times New Roman"/>
                <w:sz w:val="18"/>
                <w:szCs w:val="18"/>
                <w:color w:val="0000FF"/>
                <w:w w:val="99"/>
              </w:rPr>
            </w:pPr>
            <w:hyperlink r:id="rId77">
              <w:r>
                <w:rPr>
                  <w:rFonts w:ascii="Times New Roman" w:cs="Times New Roman" w:eastAsia="Times New Roman" w:hAnsi="Times New Roman"/>
                  <w:sz w:val="18"/>
                  <w:szCs w:val="18"/>
                  <w:color w:val="0000FF"/>
                  <w:w w:val="99"/>
                </w:rPr>
                <w:t>2020, by and among the Company, Beam Merger Sub, Inc.</w:t>
              </w:r>
            </w:hyperlink>
          </w:p>
        </w:tc>
        <w:tc>
          <w:tcPr>
            <w:tcW w:w="3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540" w:type="dxa"/>
            <w:vAlign w:val="bottom"/>
            <w:gridSpan w:val="28"/>
          </w:tcPr>
          <w:p>
            <w:pPr>
              <w:spacing w:after="0" w:line="196"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and Ouster, Inc.</w:t>
              </w:r>
            </w:hyperlink>
          </w:p>
        </w:tc>
        <w:tc>
          <w:tcPr>
            <w:tcW w:w="0" w:type="dxa"/>
            <w:vAlign w:val="bottom"/>
          </w:tcPr>
          <w:p>
            <w:pPr>
              <w:spacing w:after="0"/>
              <w:rPr>
                <w:sz w:val="1"/>
                <w:szCs w:val="1"/>
                <w:color w:val="auto"/>
              </w:rPr>
            </w:pPr>
          </w:p>
        </w:tc>
      </w:tr>
      <w:tr>
        <w:trPr>
          <w:trHeight w:val="20"/>
        </w:trPr>
        <w:tc>
          <w:tcPr>
            <w:tcW w:w="1060" w:type="dxa"/>
            <w:vAlign w:val="bottom"/>
            <w:gridSpan w:val="3"/>
            <w:vMerge w:val="restart"/>
          </w:tcPr>
          <w:p>
            <w:pPr>
              <w:spacing w:after="0"/>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2†</w:t>
              </w:r>
            </w:hyperlink>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1060" w:type="dxa"/>
            <w:vAlign w:val="bottom"/>
            <w:gridSpan w:val="3"/>
            <w:vMerge w:val="continue"/>
          </w:tcPr>
          <w:p>
            <w:pPr>
              <w:spacing w:after="0"/>
              <w:rPr>
                <w:sz w:val="21"/>
                <w:szCs w:val="21"/>
                <w:color w:val="auto"/>
              </w:rPr>
            </w:pPr>
          </w:p>
        </w:tc>
        <w:tc>
          <w:tcPr>
            <w:tcW w:w="4540" w:type="dxa"/>
            <w:vAlign w:val="bottom"/>
            <w:gridSpan w:val="28"/>
          </w:tcPr>
          <w:p>
            <w:pPr>
              <w:spacing w:after="0"/>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Agreement and Plan of Merger, dated November 4, 2022, by</w:t>
              </w:r>
            </w:hyperlink>
          </w:p>
        </w:tc>
        <w:tc>
          <w:tcPr>
            <w:tcW w:w="0" w:type="dxa"/>
            <w:vAlign w:val="bottom"/>
          </w:tcPr>
          <w:p>
            <w:pPr>
              <w:spacing w:after="0"/>
              <w:rPr>
                <w:sz w:val="1"/>
                <w:szCs w:val="1"/>
                <w:color w:val="auto"/>
              </w:rPr>
            </w:pPr>
          </w:p>
        </w:tc>
      </w:tr>
      <w:tr>
        <w:trPr>
          <w:trHeight w:val="203"/>
        </w:trPr>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40" w:type="dxa"/>
            <w:vAlign w:val="bottom"/>
          </w:tcPr>
          <w:p>
            <w:pPr>
              <w:spacing w:after="0"/>
              <w:rPr>
                <w:sz w:val="17"/>
                <w:szCs w:val="17"/>
                <w:color w:val="auto"/>
              </w:rPr>
            </w:pPr>
          </w:p>
        </w:tc>
        <w:tc>
          <w:tcPr>
            <w:tcW w:w="4360" w:type="dxa"/>
            <w:vAlign w:val="bottom"/>
            <w:tcBorders>
              <w:top w:val="single" w:sz="8" w:color="0000FF"/>
            </w:tcBorders>
            <w:gridSpan w:val="21"/>
          </w:tcPr>
          <w:p>
            <w:pPr>
              <w:spacing w:after="0" w:line="202"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and among Velodyne Lidar, Inc., Ouster, Inc., Oban Merger</w:t>
              </w:r>
            </w:hyperlink>
          </w:p>
        </w:tc>
        <w:tc>
          <w:tcPr>
            <w:tcW w:w="1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80" w:type="dxa"/>
            <w:vAlign w:val="bottom"/>
            <w:tcBorders>
              <w:top w:val="single" w:sz="8" w:color="0000FF"/>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78">
              <w:r>
                <w:rPr>
                  <w:rFonts w:ascii="Times New Roman" w:cs="Times New Roman" w:eastAsia="Times New Roman" w:hAnsi="Times New Roman"/>
                  <w:sz w:val="18"/>
                  <w:szCs w:val="18"/>
                  <w:color w:val="0000FF"/>
                  <w:w w:val="99"/>
                </w:rPr>
                <w:t>Sub, Inc. and Oban Merger Sub II LLC.</w:t>
              </w:r>
            </w:hyperlink>
          </w:p>
        </w:tc>
        <w:tc>
          <w:tcPr>
            <w:tcW w:w="1400" w:type="dxa"/>
            <w:vAlign w:val="bottom"/>
            <w:tcBorders>
              <w:top w:val="single" w:sz="8" w:color="0000FF"/>
            </w:tcBorders>
            <w:gridSpan w:val="10"/>
          </w:tcPr>
          <w:p>
            <w:pPr>
              <w:spacing w:after="0"/>
              <w:rPr>
                <w:sz w:val="17"/>
                <w:szCs w:val="17"/>
                <w:color w:val="auto"/>
              </w:rPr>
            </w:pPr>
          </w:p>
        </w:tc>
        <w:tc>
          <w:tcPr>
            <w:tcW w:w="2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40" w:type="dxa"/>
            <w:vAlign w:val="bottom"/>
            <w:tcBorders>
              <w:bottom w:val="single" w:sz="8" w:color="0000FF"/>
            </w:tcBorders>
          </w:tcPr>
          <w:p>
            <w:pPr>
              <w:spacing w:after="0"/>
              <w:rPr>
                <w:rFonts w:ascii="Times New Roman" w:cs="Times New Roman" w:eastAsia="Times New Roman" w:hAnsi="Times New Roman"/>
                <w:sz w:val="18"/>
                <w:szCs w:val="18"/>
                <w:color w:val="0000FF"/>
                <w:w w:val="97"/>
              </w:rPr>
            </w:pPr>
            <w:hyperlink r:id="rId79">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6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79">
              <w:r>
                <w:rPr>
                  <w:rFonts w:ascii="Times New Roman" w:cs="Times New Roman" w:eastAsia="Times New Roman" w:hAnsi="Times New Roman"/>
                  <w:sz w:val="18"/>
                  <w:szCs w:val="18"/>
                  <w:color w:val="0000FF"/>
                  <w:w w:val="99"/>
                </w:rPr>
                <w:t>Certificate of Incorporation of Ouster, Inc.</w:t>
              </w:r>
            </w:hyperlink>
          </w:p>
        </w:tc>
        <w:tc>
          <w:tcPr>
            <w:tcW w:w="1480" w:type="dxa"/>
            <w:vAlign w:val="bottom"/>
            <w:gridSpan w:val="19"/>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40" w:type="dxa"/>
            <w:vAlign w:val="bottom"/>
            <w:tcBorders>
              <w:bottom w:val="single" w:sz="8" w:color="0000FF"/>
            </w:tcBorders>
          </w:tcPr>
          <w:p>
            <w:pPr>
              <w:spacing w:after="0"/>
              <w:rPr>
                <w:rFonts w:ascii="Times New Roman" w:cs="Times New Roman" w:eastAsia="Times New Roman" w:hAnsi="Times New Roman"/>
                <w:sz w:val="18"/>
                <w:szCs w:val="18"/>
                <w:color w:val="0000FF"/>
                <w:w w:val="97"/>
              </w:rPr>
            </w:pPr>
            <w:hyperlink r:id="rId80">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0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80">
              <w:r>
                <w:rPr>
                  <w:rFonts w:ascii="Times New Roman" w:cs="Times New Roman" w:eastAsia="Times New Roman" w:hAnsi="Times New Roman"/>
                  <w:sz w:val="18"/>
                  <w:szCs w:val="18"/>
                  <w:color w:val="0000FF"/>
                  <w:w w:val="99"/>
                </w:rPr>
                <w:t>Certificate of Amendment to Certificate of Incorporation of</w:t>
              </w:r>
            </w:hyperlink>
          </w:p>
        </w:tc>
        <w:tc>
          <w:tcPr>
            <w:tcW w:w="240" w:type="dxa"/>
            <w:vAlign w:val="bottom"/>
            <w:gridSpan w:val="9"/>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Borders>
              <w:bottom w:val="single" w:sz="8" w:color="0000FF"/>
            </w:tcBorders>
            <w:gridSpan w:val="3"/>
          </w:tcPr>
          <w:p>
            <w:pPr>
              <w:spacing w:after="0" w:line="202" w:lineRule="exact"/>
              <w:rPr>
                <w:rFonts w:ascii="Times New Roman" w:cs="Times New Roman" w:eastAsia="Times New Roman" w:hAnsi="Times New Roman"/>
                <w:sz w:val="18"/>
                <w:szCs w:val="18"/>
                <w:color w:val="0000FF"/>
                <w:w w:val="97"/>
              </w:rPr>
            </w:pPr>
            <w:hyperlink r:id="rId80">
              <w:r>
                <w:rPr>
                  <w:rFonts w:ascii="Times New Roman" w:cs="Times New Roman" w:eastAsia="Times New Roman" w:hAnsi="Times New Roman"/>
                  <w:sz w:val="18"/>
                  <w:szCs w:val="18"/>
                  <w:color w:val="0000FF"/>
                  <w:w w:val="97"/>
                </w:rPr>
                <w:t>Ouster, Inc.</w:t>
              </w:r>
            </w:hyperlink>
          </w:p>
        </w:tc>
        <w:tc>
          <w:tcPr>
            <w:tcW w:w="370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40" w:type="dxa"/>
            <w:vAlign w:val="bottom"/>
          </w:tcPr>
          <w:p>
            <w:pPr>
              <w:spacing w:after="0"/>
              <w:rPr>
                <w:rFonts w:ascii="Times New Roman" w:cs="Times New Roman" w:eastAsia="Times New Roman" w:hAnsi="Times New Roman"/>
                <w:sz w:val="18"/>
                <w:szCs w:val="18"/>
                <w:color w:val="0000FF"/>
                <w:w w:val="97"/>
              </w:rPr>
            </w:pPr>
            <w:hyperlink r:id="rId81">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3</w:t>
              </w:r>
            </w:hyperlink>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540" w:type="dxa"/>
            <w:vAlign w:val="bottom"/>
            <w:gridSpan w:val="28"/>
          </w:tcPr>
          <w:p>
            <w:pPr>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Second Amended and Restated Bylaws of Ouster, Inc.</w:t>
              </w:r>
            </w:hyperlink>
          </w:p>
        </w:tc>
        <w:tc>
          <w:tcPr>
            <w:tcW w:w="0" w:type="dxa"/>
            <w:vAlign w:val="bottom"/>
          </w:tcPr>
          <w:p>
            <w:pPr>
              <w:spacing w:after="0"/>
              <w:rPr>
                <w:sz w:val="1"/>
                <w:szCs w:val="1"/>
                <w:color w:val="auto"/>
              </w:rPr>
            </w:pPr>
          </w:p>
        </w:tc>
      </w:tr>
      <w:tr>
        <w:trPr>
          <w:trHeight w:val="203"/>
        </w:trPr>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40" w:type="dxa"/>
            <w:vAlign w:val="bottom"/>
            <w:tcBorders>
              <w:top w:val="single" w:sz="8" w:color="0000FF"/>
              <w:bottom w:val="single" w:sz="8" w:color="0000FF"/>
            </w:tcBorders>
            <w:gridSpan w:val="7"/>
          </w:tcPr>
          <w:p>
            <w:pPr>
              <w:spacing w:after="0" w:line="202" w:lineRule="exact"/>
              <w:rPr>
                <w:rFonts w:ascii="Times New Roman" w:cs="Times New Roman" w:eastAsia="Times New Roman" w:hAnsi="Times New Roman"/>
                <w:sz w:val="18"/>
                <w:szCs w:val="18"/>
                <w:color w:val="0000FF"/>
                <w:w w:val="99"/>
              </w:rPr>
            </w:pPr>
            <w:hyperlink r:id="rId81">
              <w:r>
                <w:rPr>
                  <w:rFonts w:ascii="Times New Roman" w:cs="Times New Roman" w:eastAsia="Times New Roman" w:hAnsi="Times New Roman"/>
                  <w:sz w:val="18"/>
                  <w:szCs w:val="18"/>
                  <w:color w:val="0000FF"/>
                  <w:w w:val="99"/>
                </w:rPr>
                <w:t>(effective as of April 18, 2024)</w:t>
              </w:r>
            </w:hyperlink>
          </w:p>
        </w:tc>
        <w:tc>
          <w:tcPr>
            <w:tcW w:w="1660" w:type="dxa"/>
            <w:vAlign w:val="bottom"/>
            <w:tcBorders>
              <w:top w:val="single" w:sz="8" w:color="0000FF"/>
            </w:tcBorders>
            <w:gridSpan w:val="3"/>
          </w:tcPr>
          <w:p>
            <w:pPr>
              <w:spacing w:after="0"/>
              <w:rPr>
                <w:sz w:val="17"/>
                <w:szCs w:val="17"/>
                <w:color w:val="auto"/>
              </w:rPr>
            </w:pPr>
          </w:p>
        </w:tc>
        <w:tc>
          <w:tcPr>
            <w:tcW w:w="64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40" w:type="dxa"/>
            <w:vAlign w:val="bottom"/>
          </w:tcPr>
          <w:p>
            <w:pPr>
              <w:spacing w:after="0"/>
              <w:rPr>
                <w:rFonts w:ascii="Times New Roman" w:cs="Times New Roman" w:eastAsia="Times New Roman" w:hAnsi="Times New Roman"/>
                <w:sz w:val="18"/>
                <w:szCs w:val="18"/>
                <w:color w:val="0000FF"/>
                <w:w w:val="97"/>
              </w:rPr>
            </w:pPr>
            <w:hyperlink r:id="rId82">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1</w:t>
              </w:r>
            </w:hyperlink>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540" w:type="dxa"/>
            <w:vAlign w:val="bottom"/>
            <w:gridSpan w:val="28"/>
          </w:tcPr>
          <w:p>
            <w:pPr>
              <w:spacing w:after="0"/>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Warrant Agreement, dated October 14, 2018, by and between</w:t>
              </w:r>
            </w:hyperlink>
          </w:p>
        </w:tc>
        <w:tc>
          <w:tcPr>
            <w:tcW w:w="0" w:type="dxa"/>
            <w:vAlign w:val="bottom"/>
          </w:tcPr>
          <w:p>
            <w:pPr>
              <w:spacing w:after="0"/>
              <w:rPr>
                <w:sz w:val="1"/>
                <w:szCs w:val="1"/>
                <w:color w:val="auto"/>
              </w:rPr>
            </w:pPr>
          </w:p>
        </w:tc>
      </w:tr>
      <w:tr>
        <w:trPr>
          <w:trHeight w:val="189"/>
        </w:trPr>
        <w:tc>
          <w:tcPr>
            <w:tcW w:w="24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320" w:type="dxa"/>
            <w:vAlign w:val="bottom"/>
            <w:tcBorders>
              <w:top w:val="single" w:sz="8" w:color="0000FF"/>
              <w:bottom w:val="single" w:sz="8" w:color="0000FF"/>
            </w:tcBorders>
            <w:gridSpan w:val="20"/>
          </w:tcPr>
          <w:p>
            <w:pPr>
              <w:spacing w:after="0" w:line="189" w:lineRule="exact"/>
              <w:rPr>
                <w:rFonts w:ascii="Times New Roman" w:cs="Times New Roman" w:eastAsia="Times New Roman" w:hAnsi="Times New Roman"/>
                <w:sz w:val="18"/>
                <w:szCs w:val="18"/>
                <w:color w:val="0000FF"/>
                <w:w w:val="98"/>
              </w:rPr>
            </w:pPr>
            <w:hyperlink r:id="rId82">
              <w:r>
                <w:rPr>
                  <w:rFonts w:ascii="Times New Roman" w:cs="Times New Roman" w:eastAsia="Times New Roman" w:hAnsi="Times New Roman"/>
                  <w:sz w:val="18"/>
                  <w:szCs w:val="18"/>
                  <w:color w:val="0000FF"/>
                  <w:w w:val="98"/>
                </w:rPr>
                <w:t>Continental Stock Transfer &amp; Trust Company and Velodyne</w:t>
              </w:r>
            </w:hyperlink>
          </w:p>
        </w:tc>
        <w:tc>
          <w:tcPr>
            <w:tcW w:w="100" w:type="dxa"/>
            <w:vAlign w:val="bottom"/>
            <w:tcBorders>
              <w:top w:val="single" w:sz="8" w:color="0000FF"/>
            </w:tcBorders>
            <w:gridSpan w:val="3"/>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540" w:type="dxa"/>
            <w:vAlign w:val="bottom"/>
            <w:gridSpan w:val="28"/>
          </w:tcPr>
          <w:p>
            <w:pPr>
              <w:spacing w:after="0" w:line="196"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Lidar, Inc.</w:t>
              </w:r>
            </w:hyperlink>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rPr>
                <w:rFonts w:ascii="Times New Roman" w:cs="Times New Roman" w:eastAsia="Times New Roman" w:hAnsi="Times New Roman"/>
                <w:sz w:val="18"/>
                <w:szCs w:val="18"/>
                <w:color w:val="0000FF"/>
                <w:w w:val="97"/>
              </w:rPr>
            </w:pPr>
            <w:hyperlink r:id="rId83">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2</w:t>
              </w:r>
            </w:hyperlink>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540" w:type="dxa"/>
            <w:vAlign w:val="bottom"/>
            <w:gridSpan w:val="28"/>
          </w:tcPr>
          <w:p>
            <w:pPr>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Warrant to Purchase Common Stock of Velodyne Lidar, Inc.,</w:t>
              </w:r>
            </w:hyperlink>
          </w:p>
        </w:tc>
        <w:tc>
          <w:tcPr>
            <w:tcW w:w="0" w:type="dxa"/>
            <w:vAlign w:val="bottom"/>
          </w:tcPr>
          <w:p>
            <w:pPr>
              <w:spacing w:after="0"/>
              <w:rPr>
                <w:sz w:val="1"/>
                <w:szCs w:val="1"/>
                <w:color w:val="auto"/>
              </w:rPr>
            </w:pPr>
          </w:p>
        </w:tc>
      </w:tr>
      <w:tr>
        <w:trPr>
          <w:trHeight w:val="189"/>
        </w:trPr>
        <w:tc>
          <w:tcPr>
            <w:tcW w:w="24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380" w:type="dxa"/>
            <w:vAlign w:val="bottom"/>
            <w:tcBorders>
              <w:top w:val="single" w:sz="8" w:color="0000FF"/>
            </w:tcBorders>
            <w:gridSpan w:val="22"/>
          </w:tcPr>
          <w:p>
            <w:pPr>
              <w:spacing w:after="0" w:line="189"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by and between Velodyne Lidar, Inc. and Amazon.com NV</w:t>
              </w:r>
            </w:hyperlink>
          </w:p>
        </w:tc>
        <w:tc>
          <w:tcPr>
            <w:tcW w:w="6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40" w:type="dxa"/>
            <w:vAlign w:val="bottom"/>
            <w:tcBorders>
              <w:top w:val="single" w:sz="8" w:color="0000FF"/>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83">
              <w:r>
                <w:rPr>
                  <w:rFonts w:ascii="Times New Roman" w:cs="Times New Roman" w:eastAsia="Times New Roman" w:hAnsi="Times New Roman"/>
                  <w:sz w:val="18"/>
                  <w:szCs w:val="18"/>
                  <w:color w:val="0000FF"/>
                  <w:w w:val="99"/>
                </w:rPr>
                <w:t>Investment Holdings LLC, dated as of February 4, 2022</w:t>
              </w:r>
            </w:hyperlink>
          </w:p>
        </w:tc>
        <w:tc>
          <w:tcPr>
            <w:tcW w:w="220" w:type="dxa"/>
            <w:vAlign w:val="bottom"/>
            <w:tcBorders>
              <w:top w:val="single" w:sz="8" w:color="0000FF"/>
            </w:tcBorders>
            <w:gridSpan w:val="5"/>
          </w:tcPr>
          <w:p>
            <w:pPr>
              <w:spacing w:after="0"/>
              <w:rPr>
                <w:sz w:val="17"/>
                <w:szCs w:val="17"/>
                <w:color w:val="auto"/>
              </w:rPr>
            </w:pPr>
          </w:p>
        </w:tc>
        <w:tc>
          <w:tcPr>
            <w:tcW w:w="2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45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Rules</w:t>
            </w:r>
          </w:p>
        </w:tc>
        <w:tc>
          <w:tcPr>
            <w:tcW w:w="0" w:type="dxa"/>
            <w:vAlign w:val="bottom"/>
          </w:tcPr>
          <w:p>
            <w:pPr>
              <w:spacing w:after="0"/>
              <w:rPr>
                <w:sz w:val="1"/>
                <w:szCs w:val="1"/>
                <w:color w:val="auto"/>
              </w:rPr>
            </w:pPr>
          </w:p>
        </w:tc>
      </w:tr>
      <w:tr>
        <w:trPr>
          <w:trHeight w:val="155"/>
        </w:trPr>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40" w:type="dxa"/>
            <w:vAlign w:val="bottom"/>
          </w:tcPr>
          <w:p>
            <w:pPr>
              <w:spacing w:after="0"/>
              <w:rPr>
                <w:sz w:val="13"/>
                <w:szCs w:val="13"/>
                <w:color w:val="auto"/>
              </w:rPr>
            </w:pPr>
          </w:p>
        </w:tc>
        <w:tc>
          <w:tcPr>
            <w:tcW w:w="4180" w:type="dxa"/>
            <w:vAlign w:val="bottom"/>
            <w:tcBorders>
              <w:top w:val="single" w:sz="8" w:color="0000FF"/>
              <w:bottom w:val="single" w:sz="8" w:color="0000FF"/>
            </w:tcBorders>
            <w:gridSpan w:val="14"/>
          </w:tcPr>
          <w:p>
            <w:pPr>
              <w:spacing w:after="0" w:line="156" w:lineRule="exact"/>
              <w:rPr>
                <w:sz w:val="20"/>
                <w:szCs w:val="20"/>
                <w:color w:val="auto"/>
              </w:rPr>
            </w:pPr>
            <w:r>
              <w:rPr>
                <w:rFonts w:ascii="Times New Roman" w:cs="Times New Roman" w:eastAsia="Times New Roman" w:hAnsi="Times New Roman"/>
                <w:sz w:val="18"/>
                <w:szCs w:val="18"/>
                <w:color w:val="0000FF"/>
                <w:w w:val="99"/>
              </w:rPr>
              <w:t>13a-14(a)/15d-14(a) under the Securities Exchange Act of</w:t>
            </w:r>
          </w:p>
        </w:tc>
        <w:tc>
          <w:tcPr>
            <w:tcW w:w="20" w:type="dxa"/>
            <w:vAlign w:val="bottom"/>
            <w:tcBorders>
              <w:bottom w:val="single" w:sz="8" w:color="0000FF"/>
            </w:tcBorders>
          </w:tcPr>
          <w:p>
            <w:pPr>
              <w:spacing w:after="0"/>
              <w:rPr>
                <w:sz w:val="13"/>
                <w:szCs w:val="13"/>
                <w:color w:val="auto"/>
              </w:rPr>
            </w:pPr>
          </w:p>
        </w:tc>
        <w:tc>
          <w:tcPr>
            <w:tcW w:w="240" w:type="dxa"/>
            <w:vAlign w:val="bottom"/>
            <w:gridSpan w:val="9"/>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00" w:type="dxa"/>
            <w:vAlign w:val="bottom"/>
            <w:tcBorders>
              <w:bottom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w w:val="98"/>
              </w:rPr>
              <w:t>1934, as amended</w:t>
            </w:r>
          </w:p>
        </w:tc>
        <w:tc>
          <w:tcPr>
            <w:tcW w:w="2900" w:type="dxa"/>
            <w:vAlign w:val="bottom"/>
            <w:gridSpan w:val="10"/>
          </w:tcPr>
          <w:p>
            <w:pPr>
              <w:spacing w:after="0"/>
              <w:rPr>
                <w:sz w:val="14"/>
                <w:szCs w:val="14"/>
                <w:color w:val="auto"/>
              </w:rPr>
            </w:pPr>
          </w:p>
        </w:tc>
        <w:tc>
          <w:tcPr>
            <w:tcW w:w="240" w:type="dxa"/>
            <w:vAlign w:val="bottom"/>
            <w:gridSpan w:val="9"/>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45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Rules 13a-</w:t>
            </w:r>
          </w:p>
        </w:tc>
        <w:tc>
          <w:tcPr>
            <w:tcW w:w="0" w:type="dxa"/>
            <w:vAlign w:val="bottom"/>
          </w:tcPr>
          <w:p>
            <w:pPr>
              <w:spacing w:after="0"/>
              <w:rPr>
                <w:sz w:val="1"/>
                <w:szCs w:val="1"/>
                <w:color w:val="auto"/>
              </w:rPr>
            </w:pPr>
          </w:p>
        </w:tc>
      </w:tr>
      <w:tr>
        <w:trPr>
          <w:trHeight w:val="155"/>
        </w:trPr>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40" w:type="dxa"/>
            <w:vAlign w:val="bottom"/>
          </w:tcPr>
          <w:p>
            <w:pPr>
              <w:spacing w:after="0"/>
              <w:rPr>
                <w:sz w:val="13"/>
                <w:szCs w:val="13"/>
                <w:color w:val="auto"/>
              </w:rPr>
            </w:pPr>
          </w:p>
        </w:tc>
        <w:tc>
          <w:tcPr>
            <w:tcW w:w="4500" w:type="dxa"/>
            <w:vAlign w:val="bottom"/>
            <w:tcBorders>
              <w:top w:val="single" w:sz="8" w:color="0000FF"/>
              <w:bottom w:val="single" w:sz="8" w:color="0000FF"/>
            </w:tcBorders>
            <w:gridSpan w:val="26"/>
          </w:tcPr>
          <w:p>
            <w:pPr>
              <w:spacing w:after="0" w:line="156" w:lineRule="exact"/>
              <w:rPr>
                <w:sz w:val="20"/>
                <w:szCs w:val="20"/>
                <w:color w:val="auto"/>
              </w:rPr>
            </w:pPr>
            <w:r>
              <w:rPr>
                <w:rFonts w:ascii="Times New Roman" w:cs="Times New Roman" w:eastAsia="Times New Roman" w:hAnsi="Times New Roman"/>
                <w:sz w:val="18"/>
                <w:szCs w:val="18"/>
                <w:color w:val="0000FF"/>
                <w:w w:val="99"/>
              </w:rPr>
              <w:t>14(a)/15d-14(a) under the Securities Exchange Act of 1934, as</w:t>
            </w: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520" w:type="dxa"/>
            <w:vAlign w:val="bottom"/>
            <w:gridSpan w:val="27"/>
          </w:tcPr>
          <w:p>
            <w:pPr>
              <w:spacing w:after="0" w:line="169" w:lineRule="exact"/>
              <w:rPr>
                <w:sz w:val="20"/>
                <w:szCs w:val="20"/>
                <w:color w:val="auto"/>
              </w:rPr>
            </w:pPr>
            <w:r>
              <w:rPr>
                <w:rFonts w:ascii="Times New Roman" w:cs="Times New Roman" w:eastAsia="Times New Roman" w:hAnsi="Times New Roman"/>
                <w:sz w:val="18"/>
                <w:szCs w:val="18"/>
                <w:color w:val="0000FF"/>
              </w:rPr>
              <w:t>amended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gridSpan w:val="3"/>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440" w:type="dxa"/>
            <w:vAlign w:val="bottom"/>
            <w:gridSpan w:val="1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45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w:t>
            </w:r>
          </w:p>
        </w:tc>
        <w:tc>
          <w:tcPr>
            <w:tcW w:w="0" w:type="dxa"/>
            <w:vAlign w:val="bottom"/>
          </w:tcPr>
          <w:p>
            <w:pPr>
              <w:spacing w:after="0"/>
              <w:rPr>
                <w:sz w:val="1"/>
                <w:szCs w:val="1"/>
                <w:color w:val="auto"/>
              </w:rPr>
            </w:pPr>
          </w:p>
        </w:tc>
      </w:tr>
      <w:tr>
        <w:trPr>
          <w:trHeight w:val="155"/>
        </w:trPr>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40" w:type="dxa"/>
            <w:vAlign w:val="bottom"/>
          </w:tcPr>
          <w:p>
            <w:pPr>
              <w:spacing w:after="0"/>
              <w:rPr>
                <w:sz w:val="13"/>
                <w:szCs w:val="13"/>
                <w:color w:val="auto"/>
              </w:rPr>
            </w:pPr>
          </w:p>
        </w:tc>
        <w:tc>
          <w:tcPr>
            <w:tcW w:w="4480" w:type="dxa"/>
            <w:vAlign w:val="bottom"/>
            <w:tcBorders>
              <w:top w:val="single" w:sz="8" w:color="0000FF"/>
            </w:tcBorders>
            <w:gridSpan w:val="25"/>
          </w:tcPr>
          <w:p>
            <w:pPr>
              <w:spacing w:after="0" w:line="156" w:lineRule="exact"/>
              <w:rPr>
                <w:sz w:val="20"/>
                <w:szCs w:val="20"/>
                <w:color w:val="auto"/>
              </w:rPr>
            </w:pPr>
            <w:r>
              <w:rPr>
                <w:rFonts w:ascii="Times New Roman" w:cs="Times New Roman" w:eastAsia="Times New Roman" w:hAnsi="Times New Roman"/>
                <w:sz w:val="18"/>
                <w:szCs w:val="18"/>
                <w:color w:val="0000FF"/>
              </w:rPr>
              <w:t>Section 1350, as adopted pursuant to Section 906 of the</w:t>
            </w: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60" w:type="dxa"/>
            <w:vAlign w:val="bottom"/>
            <w:tcBorders>
              <w:top w:val="single" w:sz="8" w:color="0000FF"/>
              <w:bottom w:val="single" w:sz="8" w:color="0000FF"/>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1940" w:type="dxa"/>
            <w:vAlign w:val="bottom"/>
            <w:tcBorders>
              <w:top w:val="single" w:sz="8" w:color="0000FF"/>
            </w:tcBorders>
            <w:gridSpan w:val="5"/>
          </w:tcPr>
          <w:p>
            <w:pPr>
              <w:spacing w:after="0"/>
              <w:rPr>
                <w:sz w:val="14"/>
                <w:szCs w:val="14"/>
                <w:color w:val="auto"/>
              </w:rPr>
            </w:pPr>
          </w:p>
        </w:tc>
        <w:tc>
          <w:tcPr>
            <w:tcW w:w="440" w:type="dxa"/>
            <w:vAlign w:val="bottom"/>
            <w:gridSpan w:val="13"/>
          </w:tcPr>
          <w:p>
            <w:pPr>
              <w:spacing w:after="0"/>
              <w:rPr>
                <w:sz w:val="14"/>
                <w:szCs w:val="14"/>
                <w:color w:val="auto"/>
              </w:rPr>
            </w:pPr>
          </w:p>
        </w:tc>
        <w:tc>
          <w:tcPr>
            <w:tcW w:w="1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45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w:t>
            </w:r>
          </w:p>
        </w:tc>
        <w:tc>
          <w:tcPr>
            <w:tcW w:w="0" w:type="dxa"/>
            <w:vAlign w:val="bottom"/>
          </w:tcPr>
          <w:p>
            <w:pPr>
              <w:spacing w:after="0"/>
              <w:rPr>
                <w:sz w:val="1"/>
                <w:szCs w:val="1"/>
                <w:color w:val="auto"/>
              </w:rPr>
            </w:pPr>
          </w:p>
        </w:tc>
      </w:tr>
      <w:tr>
        <w:trPr>
          <w:trHeight w:val="156"/>
        </w:trPr>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40" w:type="dxa"/>
            <w:vAlign w:val="bottom"/>
          </w:tcPr>
          <w:p>
            <w:pPr>
              <w:spacing w:after="0"/>
              <w:rPr>
                <w:sz w:val="13"/>
                <w:szCs w:val="13"/>
                <w:color w:val="auto"/>
              </w:rPr>
            </w:pPr>
          </w:p>
        </w:tc>
        <w:tc>
          <w:tcPr>
            <w:tcW w:w="4440" w:type="dxa"/>
            <w:vAlign w:val="bottom"/>
            <w:tcBorders>
              <w:top w:val="single" w:sz="8" w:color="0000FF"/>
            </w:tcBorders>
            <w:gridSpan w:val="24"/>
          </w:tcPr>
          <w:p>
            <w:pPr>
              <w:spacing w:after="0" w:line="156" w:lineRule="exact"/>
              <w:rPr>
                <w:sz w:val="20"/>
                <w:szCs w:val="20"/>
                <w:color w:val="auto"/>
              </w:rPr>
            </w:pPr>
            <w:r>
              <w:rPr>
                <w:rFonts w:ascii="Times New Roman" w:cs="Times New Roman" w:eastAsia="Times New Roman" w:hAnsi="Times New Roman"/>
                <w:sz w:val="18"/>
                <w:szCs w:val="18"/>
                <w:color w:val="0000FF"/>
              </w:rPr>
              <w:t>Section 1350, as adopted pursuant to Section 906 of the</w:t>
            </w:r>
          </w:p>
        </w:tc>
        <w:tc>
          <w:tcPr>
            <w:tcW w:w="1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60" w:type="dxa"/>
            <w:vAlign w:val="bottom"/>
            <w:tcBorders>
              <w:top w:val="single" w:sz="8" w:color="0000FF"/>
              <w:bottom w:val="single" w:sz="8" w:color="0000FF"/>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1940" w:type="dxa"/>
            <w:vAlign w:val="bottom"/>
            <w:tcBorders>
              <w:top w:val="single" w:sz="8" w:color="0000FF"/>
            </w:tcBorders>
            <w:gridSpan w:val="5"/>
          </w:tcPr>
          <w:p>
            <w:pPr>
              <w:spacing w:after="0"/>
              <w:rPr>
                <w:sz w:val="14"/>
                <w:szCs w:val="14"/>
                <w:color w:val="auto"/>
              </w:rPr>
            </w:pPr>
          </w:p>
        </w:tc>
        <w:tc>
          <w:tcPr>
            <w:tcW w:w="540" w:type="dxa"/>
            <w:vAlign w:val="bottom"/>
            <w:gridSpan w:val="17"/>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101.INS</w:t>
            </w:r>
          </w:p>
        </w:tc>
        <w:tc>
          <w:tcPr>
            <w:tcW w:w="454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auto"/>
              </w:rPr>
              <w:t>Inline XBRL Instance Document - the instance document</w:t>
            </w:r>
          </w:p>
        </w:tc>
        <w:tc>
          <w:tcPr>
            <w:tcW w:w="0" w:type="dxa"/>
            <w:vAlign w:val="bottom"/>
          </w:tcPr>
          <w:p>
            <w:pPr>
              <w:spacing w:after="0"/>
              <w:rPr>
                <w:sz w:val="1"/>
                <w:szCs w:val="1"/>
                <w:color w:val="auto"/>
              </w:rPr>
            </w:pPr>
          </w:p>
        </w:tc>
      </w:tr>
      <w:tr>
        <w:trPr>
          <w:trHeight w:val="184"/>
        </w:trPr>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540" w:type="dxa"/>
            <w:vAlign w:val="bottom"/>
            <w:gridSpan w:val="28"/>
          </w:tcPr>
          <w:p>
            <w:pPr>
              <w:spacing w:after="0" w:line="184" w:lineRule="exact"/>
              <w:rPr>
                <w:sz w:val="20"/>
                <w:szCs w:val="20"/>
                <w:color w:val="auto"/>
              </w:rPr>
            </w:pPr>
            <w:r>
              <w:rPr>
                <w:rFonts w:ascii="Times New Roman" w:cs="Times New Roman" w:eastAsia="Times New Roman" w:hAnsi="Times New Roman"/>
                <w:sz w:val="18"/>
                <w:szCs w:val="18"/>
                <w:color w:val="auto"/>
              </w:rPr>
              <w:t>does not appear in the Interactive Data file because its XBRL</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5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0" w:type="dxa"/>
            <w:vAlign w:val="bottom"/>
          </w:tcPr>
          <w:p>
            <w:pPr>
              <w:spacing w:after="0"/>
              <w:rPr>
                <w:sz w:val="1"/>
                <w:szCs w:val="1"/>
                <w:color w:val="auto"/>
              </w:rPr>
            </w:pPr>
          </w:p>
        </w:tc>
      </w:tr>
      <w:tr>
        <w:trPr>
          <w:trHeight w:val="234"/>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45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16"/>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45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0" w:type="dxa"/>
            <w:vAlign w:val="bottom"/>
          </w:tcPr>
          <w:p>
            <w:pPr>
              <w:spacing w:after="0"/>
              <w:rPr>
                <w:sz w:val="1"/>
                <w:szCs w:val="1"/>
                <w:color w:val="auto"/>
              </w:rPr>
            </w:pPr>
          </w:p>
        </w:tc>
      </w:tr>
      <w:tr>
        <w:trPr>
          <w:trHeight w:val="234"/>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5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184"/>
        </w:trPr>
        <w:tc>
          <w:tcPr>
            <w:tcW w:w="106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auto"/>
              </w:rPr>
              <w:t>101.DEF</w:t>
            </w:r>
          </w:p>
        </w:tc>
        <w:tc>
          <w:tcPr>
            <w:tcW w:w="4540" w:type="dxa"/>
            <w:vAlign w:val="bottom"/>
            <w:gridSpan w:val="28"/>
          </w:tcPr>
          <w:p>
            <w:pPr>
              <w:spacing w:after="0" w:line="184" w:lineRule="exact"/>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0" w:type="dxa"/>
            <w:vAlign w:val="bottom"/>
          </w:tcPr>
          <w:p>
            <w:pPr>
              <w:spacing w:after="0"/>
              <w:rPr>
                <w:sz w:val="1"/>
                <w:szCs w:val="1"/>
                <w:color w:val="auto"/>
              </w:rPr>
            </w:pPr>
          </w:p>
        </w:tc>
      </w:tr>
      <w:tr>
        <w:trPr>
          <w:trHeight w:val="234"/>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5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238"/>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45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c>
          <w:tcPr>
            <w:tcW w:w="0" w:type="dxa"/>
            <w:vAlign w:val="bottom"/>
          </w:tcPr>
          <w:p>
            <w:pPr>
              <w:spacing w:after="0"/>
              <w:rPr>
                <w:sz w:val="1"/>
                <w:szCs w:val="1"/>
                <w:color w:val="auto"/>
              </w:rPr>
            </w:pPr>
          </w:p>
        </w:tc>
      </w:tr>
      <w:tr>
        <w:trPr>
          <w:trHeight w:val="216"/>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45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0" w:type="dxa"/>
            <w:vAlign w:val="bottom"/>
          </w:tcPr>
          <w:p>
            <w:pPr>
              <w:spacing w:after="0"/>
              <w:rPr>
                <w:sz w:val="1"/>
                <w:szCs w:val="1"/>
                <w:color w:val="auto"/>
              </w:rPr>
            </w:pPr>
          </w:p>
        </w:tc>
      </w:tr>
      <w:tr>
        <w:trPr>
          <w:trHeight w:val="234"/>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5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080" w:right="180" w:hanging="105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35147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Filed/</w:t>
            </w:r>
          </w:p>
        </w:tc>
        <w:tc>
          <w:tcPr>
            <w:tcW w:w="0" w:type="dxa"/>
            <w:vAlign w:val="bottom"/>
          </w:tcPr>
          <w:p>
            <w:pPr>
              <w:spacing w:after="0"/>
              <w:rPr>
                <w:sz w:val="1"/>
                <w:szCs w:val="1"/>
                <w:color w:val="auto"/>
              </w:rPr>
            </w:pPr>
          </w:p>
        </w:tc>
      </w:tr>
      <w:tr>
        <w:trPr>
          <w:trHeight w:val="180"/>
        </w:trPr>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0" w:type="dxa"/>
            <w:vAlign w:val="bottom"/>
            <w:vMerge w:val="restart"/>
          </w:tcPr>
          <w:p>
            <w:pPr>
              <w:spacing w:after="0"/>
              <w:rPr>
                <w:sz w:val="15"/>
                <w:szCs w:val="15"/>
                <w:color w:val="auto"/>
              </w:rPr>
            </w:pPr>
          </w:p>
        </w:tc>
        <w:tc>
          <w:tcPr>
            <w:tcW w:w="118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00" w:type="dxa"/>
            <w:vAlign w:val="bottom"/>
            <w:vMerge w:val="restart"/>
          </w:tcPr>
          <w:p>
            <w:pPr>
              <w:spacing w:after="0"/>
              <w:rPr>
                <w:sz w:val="15"/>
                <w:szCs w:val="15"/>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vMerge w:val="restart"/>
          </w:tcPr>
          <w:p>
            <w:pPr>
              <w:spacing w:after="0"/>
              <w:rPr>
                <w:sz w:val="15"/>
                <w:szCs w:val="15"/>
                <w:color w:val="auto"/>
              </w:rPr>
            </w:pPr>
          </w:p>
        </w:tc>
        <w:tc>
          <w:tcPr>
            <w:tcW w:w="11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00" w:type="dxa"/>
            <w:vAlign w:val="bottom"/>
            <w:vMerge w:val="restart"/>
          </w:tcPr>
          <w:p>
            <w:pPr>
              <w:spacing w:after="0"/>
              <w:rPr>
                <w:sz w:val="15"/>
                <w:szCs w:val="15"/>
                <w:color w:val="auto"/>
              </w:rPr>
            </w:pPr>
          </w:p>
        </w:tc>
        <w:tc>
          <w:tcPr>
            <w:tcW w:w="11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8"/>
              </w:rPr>
              <w:t>Furnished</w:t>
            </w:r>
          </w:p>
        </w:tc>
        <w:tc>
          <w:tcPr>
            <w:tcW w:w="0" w:type="dxa"/>
            <w:vAlign w:val="bottom"/>
          </w:tcPr>
          <w:p>
            <w:pPr>
              <w:spacing w:after="0"/>
              <w:rPr>
                <w:sz w:val="1"/>
                <w:szCs w:val="1"/>
                <w:color w:val="auto"/>
              </w:rPr>
            </w:pPr>
          </w:p>
        </w:tc>
      </w:tr>
      <w:tr>
        <w:trPr>
          <w:trHeight w:val="238"/>
        </w:trPr>
        <w:tc>
          <w:tcPr>
            <w:tcW w:w="90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237"/>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S-4/A</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333-251611</w:t>
            </w:r>
          </w:p>
        </w:tc>
        <w:tc>
          <w:tcPr>
            <w:tcW w:w="10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2/10/2021</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001-39463</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11/7/2022</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S-4 POS</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333-251611</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3/10/2021</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001-39463</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4/20/2023</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001-39463</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4/22/2024</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001-38703</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10/18/2018</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001-38703</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2/7/2022</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w:t>
      </w:r>
    </w:p>
    <w:p>
      <w:pPr>
        <w:spacing w:after="0" w:line="38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w:t>
      </w:r>
    </w:p>
    <w:p>
      <w:pPr>
        <w:spacing w:after="0" w:line="38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w:t>
      </w:r>
    </w:p>
    <w:p>
      <w:pPr>
        <w:spacing w:after="0" w:line="38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w:t>
      </w:r>
    </w:p>
    <w:p>
      <w:pPr>
        <w:spacing w:after="0" w:line="38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w:t>
      </w:r>
    </w:p>
    <w:p>
      <w:pPr>
        <w:spacing w:after="0" w:line="38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w:t>
      </w:r>
    </w:p>
    <w:p>
      <w:pPr>
        <w:spacing w:after="0" w:line="325" w:lineRule="exact"/>
        <w:rPr>
          <w:sz w:val="20"/>
          <w:szCs w:val="20"/>
          <w:color w:val="auto"/>
        </w:rPr>
      </w:pPr>
    </w:p>
    <w:p>
      <w:pPr>
        <w:sectPr>
          <w:pgSz w:w="11900" w:h="16838" w:orient="portrait"/>
          <w:cols w:equalWidth="0" w:num="2">
            <w:col w:w="5600" w:space="100"/>
            <w:col w:w="5540"/>
          </w:cols>
          <w:pgMar w:left="320" w:top="229" w:right="339" w:bottom="1440" w:gutter="0" w:footer="0" w:header="0"/>
        </w:sectPr>
      </w:pPr>
    </w:p>
    <w:p>
      <w:pPr>
        <w:spacing w:after="0"/>
        <w:rPr>
          <w:sz w:val="20"/>
          <w:szCs w:val="20"/>
          <w:color w:val="auto"/>
        </w:rPr>
      </w:pPr>
      <w:r>
        <w:rPr>
          <w:rFonts w:ascii="Arial" w:cs="Arial" w:eastAsia="Arial" w:hAnsi="Arial"/>
          <w:sz w:val="22"/>
          <w:szCs w:val="22"/>
          <w:color w:val="auto"/>
        </w:rPr>
        <w:t>____________</w:t>
      </w:r>
    </w:p>
    <w:p>
      <w:pPr>
        <w:spacing w:after="0" w:line="39" w:lineRule="exact"/>
        <w:rPr>
          <w:sz w:val="20"/>
          <w:szCs w:val="20"/>
          <w:color w:val="auto"/>
        </w:rPr>
      </w:pPr>
    </w:p>
    <w:p>
      <w:pPr>
        <w:ind w:left="560" w:hanging="534"/>
        <w:spacing w:after="0"/>
        <w:tabs>
          <w:tab w:leader="none" w:pos="5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annexes, schedules, and certain exhibits to this Exhibit have been omitted pursuant to Item 601(b)(2) of Regulation S-K.</w:t>
      </w:r>
    </w:p>
    <w:p>
      <w:pPr>
        <w:spacing w:after="0" w:line="61" w:lineRule="exact"/>
        <w:rPr>
          <w:rFonts w:ascii="Times New Roman" w:cs="Times New Roman" w:eastAsia="Times New Roman" w:hAnsi="Times New Roman"/>
          <w:sz w:val="17"/>
          <w:szCs w:val="17"/>
          <w:color w:val="auto"/>
        </w:rPr>
      </w:pPr>
    </w:p>
    <w:p>
      <w:pPr>
        <w:ind w:left="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Filed herewith.</w:t>
      </w:r>
    </w:p>
    <w:p>
      <w:pPr>
        <w:spacing w:after="0" w:line="27" w:lineRule="exact"/>
        <w:rPr>
          <w:rFonts w:ascii="Times New Roman" w:cs="Times New Roman" w:eastAsia="Times New Roman" w:hAnsi="Times New Roman"/>
          <w:sz w:val="17"/>
          <w:szCs w:val="17"/>
          <w:color w:val="auto"/>
        </w:rPr>
      </w:pPr>
    </w:p>
    <w:p>
      <w:pPr>
        <w:ind w:left="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Furnished herewith.</w:t>
      </w:r>
    </w:p>
    <w:p>
      <w:pPr>
        <w:sectPr>
          <w:pgSz w:w="11900" w:h="16838" w:orient="portrait"/>
          <w:cols w:equalWidth="0" w:num="1">
            <w:col w:w="11240"/>
          </w:cols>
          <w:pgMar w:left="320" w:top="22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40" w:firstLine="97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040" w:type="dxa"/>
            <w:vAlign w:val="bottom"/>
          </w:tcPr>
          <w:p>
            <w:pPr>
              <w:spacing w:after="0"/>
              <w:rPr>
                <w:sz w:val="19"/>
                <w:szCs w:val="19"/>
                <w:color w:val="auto"/>
              </w:rPr>
            </w:pPr>
          </w:p>
        </w:tc>
        <w:tc>
          <w:tcPr>
            <w:tcW w:w="816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Ouster, Inc.</w:t>
            </w: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13, 2024</w:t>
            </w:r>
          </w:p>
        </w:tc>
        <w:tc>
          <w:tcPr>
            <w:tcW w:w="21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By:</w:t>
            </w:r>
          </w:p>
        </w:tc>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Weinswig</w:t>
            </w:r>
          </w:p>
        </w:tc>
      </w:tr>
      <w:tr>
        <w:trPr>
          <w:trHeight w:val="216"/>
        </w:trPr>
        <w:tc>
          <w:tcPr>
            <w:tcW w:w="3040" w:type="dxa"/>
            <w:vAlign w:val="bottom"/>
          </w:tcPr>
          <w:p>
            <w:pPr>
              <w:spacing w:after="0"/>
              <w:rPr>
                <w:sz w:val="18"/>
                <w:szCs w:val="18"/>
                <w:color w:val="auto"/>
              </w:rPr>
            </w:pPr>
          </w:p>
        </w:tc>
        <w:tc>
          <w:tcPr>
            <w:tcW w:w="21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Name:</w:t>
            </w: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Weinswig</w:t>
            </w:r>
          </w:p>
        </w:tc>
      </w:tr>
      <w:tr>
        <w:trPr>
          <w:trHeight w:val="182"/>
        </w:trPr>
        <w:tc>
          <w:tcPr>
            <w:tcW w:w="3040" w:type="dxa"/>
            <w:vAlign w:val="bottom"/>
          </w:tcPr>
          <w:p>
            <w:pPr>
              <w:spacing w:after="0"/>
              <w:rPr>
                <w:sz w:val="15"/>
                <w:szCs w:val="15"/>
                <w:color w:val="auto"/>
              </w:rPr>
            </w:pPr>
          </w:p>
        </w:tc>
        <w:tc>
          <w:tcPr>
            <w:tcW w:w="2160" w:type="dxa"/>
            <w:vAlign w:val="bottom"/>
          </w:tcPr>
          <w:p>
            <w:pPr>
              <w:ind w:left="1400"/>
              <w:spacing w:after="0" w:line="182" w:lineRule="exact"/>
              <w:rPr>
                <w:sz w:val="20"/>
                <w:szCs w:val="20"/>
                <w:color w:val="auto"/>
              </w:rPr>
            </w:pPr>
            <w:r>
              <w:rPr>
                <w:rFonts w:ascii="Times New Roman" w:cs="Times New Roman" w:eastAsia="Times New Roman" w:hAnsi="Times New Roman"/>
                <w:sz w:val="18"/>
                <w:szCs w:val="18"/>
                <w:color w:val="auto"/>
              </w:rPr>
              <w:t>Title:</w:t>
            </w:r>
          </w:p>
        </w:tc>
        <w:tc>
          <w:tcPr>
            <w:tcW w:w="600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Chief Financial Officer (</w:t>
            </w:r>
            <w:r>
              <w:rPr>
                <w:rFonts w:ascii="Times New Roman" w:cs="Times New Roman" w:eastAsia="Times New Roman" w:hAnsi="Times New Roman"/>
                <w:sz w:val="18"/>
                <w:szCs w:val="18"/>
                <w:i w:val="1"/>
                <w:iCs w:val="1"/>
                <w:color w:val="auto"/>
              </w:rPr>
              <w:t>principal financial officer and principal accounting</w:t>
            </w:r>
          </w:p>
        </w:tc>
      </w:tr>
      <w:tr>
        <w:trPr>
          <w:trHeight w:val="236"/>
        </w:trPr>
        <w:tc>
          <w:tcPr>
            <w:tcW w:w="30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18"/>
                <w:szCs w:val="18"/>
                <w:color w:val="auto"/>
              </w:rPr>
              <w:t>)</w:t>
            </w:r>
          </w:p>
        </w:tc>
      </w:tr>
      <w:tr>
        <w:trPr>
          <w:trHeight w:val="911"/>
        </w:trPr>
        <w:tc>
          <w:tcPr>
            <w:tcW w:w="30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47</w:t>
            </w:r>
          </w:p>
        </w:tc>
      </w:tr>
    </w:tbl>
    <w:p>
      <w:pPr>
        <w:sectPr>
          <w:pgSz w:w="11900" w:h="16838" w:orient="portrait"/>
          <w:cols w:equalWidth="0" w:num="1">
            <w:col w:w="11220"/>
          </w:cols>
          <w:pgMar w:left="320" w:top="229" w:right="35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Angus Pacala, certify that:</w:t>
      </w:r>
    </w:p>
    <w:p>
      <w:pPr>
        <w:spacing w:after="0" w:line="306" w:lineRule="exact"/>
        <w:rPr>
          <w:sz w:val="20"/>
          <w:szCs w:val="20"/>
          <w:color w:val="auto"/>
        </w:rPr>
      </w:pPr>
    </w:p>
    <w:p>
      <w:pPr>
        <w:ind w:left="540" w:hanging="514"/>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Ouster, Inc.;</w:t>
      </w:r>
    </w:p>
    <w:p>
      <w:pPr>
        <w:spacing w:after="0" w:line="200" w:lineRule="exact"/>
        <w:rPr>
          <w:rFonts w:ascii="Times New Roman" w:cs="Times New Roman" w:eastAsia="Times New Roman" w:hAnsi="Times New Roman"/>
          <w:sz w:val="18"/>
          <w:szCs w:val="18"/>
          <w:color w:val="auto"/>
        </w:rPr>
      </w:pPr>
    </w:p>
    <w:p>
      <w:pPr>
        <w:spacing w:after="0" w:line="335" w:lineRule="exact"/>
        <w:rPr>
          <w:rFonts w:ascii="Times New Roman" w:cs="Times New Roman" w:eastAsia="Times New Roman" w:hAnsi="Times New Roman"/>
          <w:sz w:val="18"/>
          <w:szCs w:val="18"/>
          <w:color w:val="auto"/>
        </w:rPr>
      </w:pPr>
    </w:p>
    <w:p>
      <w:pPr>
        <w:jc w:val="both"/>
        <w:ind w:left="540" w:right="240" w:hanging="514"/>
        <w:spacing w:after="0" w:line="266"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Times New Roman" w:cs="Times New Roman" w:eastAsia="Times New Roman" w:hAnsi="Times New Roman"/>
          <w:sz w:val="18"/>
          <w:szCs w:val="18"/>
          <w:color w:val="auto"/>
        </w:rPr>
      </w:pPr>
    </w:p>
    <w:p>
      <w:pPr>
        <w:spacing w:after="0" w:line="272" w:lineRule="exact"/>
        <w:rPr>
          <w:rFonts w:ascii="Times New Roman" w:cs="Times New Roman" w:eastAsia="Times New Roman" w:hAnsi="Times New Roman"/>
          <w:sz w:val="18"/>
          <w:szCs w:val="18"/>
          <w:color w:val="auto"/>
        </w:rPr>
      </w:pPr>
    </w:p>
    <w:p>
      <w:pPr>
        <w:ind w:left="540" w:right="200" w:hanging="514"/>
        <w:spacing w:after="0" w:line="282"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Times New Roman" w:cs="Times New Roman" w:eastAsia="Times New Roman" w:hAnsi="Times New Roman"/>
          <w:sz w:val="18"/>
          <w:szCs w:val="18"/>
          <w:color w:val="auto"/>
        </w:rPr>
      </w:pPr>
    </w:p>
    <w:p>
      <w:pPr>
        <w:spacing w:after="0" w:line="272" w:lineRule="exact"/>
        <w:rPr>
          <w:rFonts w:ascii="Times New Roman" w:cs="Times New Roman" w:eastAsia="Times New Roman" w:hAnsi="Times New Roman"/>
          <w:sz w:val="18"/>
          <w:szCs w:val="18"/>
          <w:color w:val="auto"/>
        </w:rPr>
      </w:pPr>
    </w:p>
    <w:p>
      <w:pPr>
        <w:ind w:left="540" w:right="220" w:hanging="514"/>
        <w:spacing w:after="0" w:line="266"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Times New Roman" w:cs="Times New Roman" w:eastAsia="Times New Roman" w:hAnsi="Times New Roman"/>
          <w:sz w:val="18"/>
          <w:szCs w:val="18"/>
          <w:color w:val="auto"/>
        </w:rPr>
      </w:pPr>
    </w:p>
    <w:p>
      <w:pPr>
        <w:spacing w:after="0" w:line="286" w:lineRule="exact"/>
        <w:rPr>
          <w:rFonts w:ascii="Times New Roman" w:cs="Times New Roman" w:eastAsia="Times New Roman" w:hAnsi="Times New Roman"/>
          <w:sz w:val="18"/>
          <w:szCs w:val="18"/>
          <w:color w:val="auto"/>
        </w:rPr>
      </w:pPr>
    </w:p>
    <w:p>
      <w:pPr>
        <w:ind w:left="1060" w:right="160" w:hanging="521"/>
        <w:spacing w:after="0" w:line="266" w:lineRule="auto"/>
        <w:tabs>
          <w:tab w:leader="none" w:pos="10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Times New Roman" w:cs="Times New Roman" w:eastAsia="Times New Roman" w:hAnsi="Times New Roman"/>
          <w:sz w:val="18"/>
          <w:szCs w:val="18"/>
          <w:color w:val="auto"/>
        </w:rPr>
      </w:pPr>
    </w:p>
    <w:p>
      <w:pPr>
        <w:spacing w:after="0" w:line="272" w:lineRule="exact"/>
        <w:rPr>
          <w:rFonts w:ascii="Times New Roman" w:cs="Times New Roman" w:eastAsia="Times New Roman" w:hAnsi="Times New Roman"/>
          <w:sz w:val="18"/>
          <w:szCs w:val="18"/>
          <w:color w:val="auto"/>
        </w:rPr>
      </w:pPr>
    </w:p>
    <w:p>
      <w:pPr>
        <w:ind w:left="1060" w:right="280" w:hanging="521"/>
        <w:spacing w:after="0" w:line="266" w:lineRule="auto"/>
        <w:tabs>
          <w:tab w:leader="none" w:pos="10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Times New Roman" w:cs="Times New Roman" w:eastAsia="Times New Roman" w:hAnsi="Times New Roman"/>
          <w:sz w:val="18"/>
          <w:szCs w:val="18"/>
          <w:color w:val="auto"/>
        </w:rPr>
      </w:pPr>
    </w:p>
    <w:p>
      <w:pPr>
        <w:spacing w:after="0" w:line="286" w:lineRule="exact"/>
        <w:rPr>
          <w:rFonts w:ascii="Times New Roman" w:cs="Times New Roman" w:eastAsia="Times New Roman" w:hAnsi="Times New Roman"/>
          <w:sz w:val="18"/>
          <w:szCs w:val="18"/>
          <w:color w:val="auto"/>
        </w:rPr>
      </w:pPr>
    </w:p>
    <w:p>
      <w:pPr>
        <w:jc w:val="both"/>
        <w:ind w:left="1060" w:right="440" w:hanging="521"/>
        <w:spacing w:after="0" w:line="282" w:lineRule="auto"/>
        <w:tabs>
          <w:tab w:leader="none" w:pos="10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Times New Roman" w:cs="Times New Roman" w:eastAsia="Times New Roman" w:hAnsi="Times New Roman"/>
          <w:sz w:val="18"/>
          <w:szCs w:val="18"/>
          <w:color w:val="auto"/>
        </w:rPr>
      </w:pPr>
    </w:p>
    <w:p>
      <w:pPr>
        <w:spacing w:after="0" w:line="272" w:lineRule="exact"/>
        <w:rPr>
          <w:rFonts w:ascii="Times New Roman" w:cs="Times New Roman" w:eastAsia="Times New Roman" w:hAnsi="Times New Roman"/>
          <w:sz w:val="18"/>
          <w:szCs w:val="18"/>
          <w:color w:val="auto"/>
        </w:rPr>
      </w:pPr>
    </w:p>
    <w:p>
      <w:pPr>
        <w:ind w:left="1060" w:right="160" w:hanging="521"/>
        <w:spacing w:after="0" w:line="266" w:lineRule="auto"/>
        <w:tabs>
          <w:tab w:leader="none" w:pos="10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Times New Roman" w:cs="Times New Roman" w:eastAsia="Times New Roman" w:hAnsi="Times New Roman"/>
          <w:sz w:val="18"/>
          <w:szCs w:val="18"/>
          <w:color w:val="auto"/>
        </w:rPr>
      </w:pPr>
    </w:p>
    <w:p>
      <w:pPr>
        <w:spacing w:after="0" w:line="272" w:lineRule="exact"/>
        <w:rPr>
          <w:rFonts w:ascii="Times New Roman" w:cs="Times New Roman" w:eastAsia="Times New Roman" w:hAnsi="Times New Roman"/>
          <w:sz w:val="18"/>
          <w:szCs w:val="18"/>
          <w:color w:val="auto"/>
        </w:rPr>
      </w:pPr>
    </w:p>
    <w:p>
      <w:pPr>
        <w:ind w:left="540" w:right="120" w:hanging="514"/>
        <w:spacing w:after="0" w:line="282"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1413" w:right="339" w:bottom="1440" w:gutter="0" w:footer="0" w:header="0"/>
        </w:sectPr>
      </w:pPr>
    </w:p>
    <w:bookmarkStart w:id="49" w:name="page50"/>
    <w:bookmarkEnd w:id="49"/>
    <w:p>
      <w:pPr>
        <w:spacing w:after="0" w:line="275" w:lineRule="exact"/>
        <w:rPr>
          <w:sz w:val="20"/>
          <w:szCs w:val="20"/>
          <w:color w:val="auto"/>
        </w:rPr>
      </w:pPr>
    </w:p>
    <w:p>
      <w:pPr>
        <w:ind w:left="1040" w:right="320" w:hanging="521"/>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Times New Roman" w:cs="Times New Roman" w:eastAsia="Times New Roman" w:hAnsi="Times New Roman"/>
          <w:sz w:val="18"/>
          <w:szCs w:val="18"/>
          <w:color w:val="auto"/>
        </w:rPr>
      </w:pPr>
    </w:p>
    <w:p>
      <w:pPr>
        <w:spacing w:after="0" w:line="272" w:lineRule="exact"/>
        <w:rPr>
          <w:rFonts w:ascii="Times New Roman" w:cs="Times New Roman" w:eastAsia="Times New Roman" w:hAnsi="Times New Roman"/>
          <w:sz w:val="18"/>
          <w:szCs w:val="18"/>
          <w:color w:val="auto"/>
        </w:rPr>
      </w:pPr>
    </w:p>
    <w:p>
      <w:pPr>
        <w:ind w:left="1040" w:hanging="521"/>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tabs>
          <w:tab w:leader="none" w:pos="5200" w:val="left"/>
          <w:tab w:leader="none" w:pos="5880" w:val="left"/>
        </w:tabs>
        <w:rPr>
          <w:sz w:val="20"/>
          <w:szCs w:val="20"/>
          <w:color w:val="auto"/>
        </w:rPr>
      </w:pPr>
      <w:r>
        <w:rPr>
          <w:rFonts w:ascii="Times New Roman" w:cs="Times New Roman" w:eastAsia="Times New Roman" w:hAnsi="Times New Roman"/>
          <w:sz w:val="18"/>
          <w:szCs w:val="18"/>
          <w:color w:val="auto"/>
        </w:rPr>
        <w:t>Date: August 13,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Angus Pacala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3738245</wp:posOffset>
            </wp:positionH>
            <wp:positionV relativeFrom="paragraph">
              <wp:posOffset>34290</wp:posOffset>
            </wp:positionV>
            <wp:extent cx="33858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5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Angus Pacala</w:t>
      </w:r>
    </w:p>
    <w:p>
      <w:pPr>
        <w:spacing w:after="0" w:line="6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Co-Founder and Chief Executive Officer</w:t>
      </w:r>
    </w:p>
    <w:p>
      <w:pPr>
        <w:spacing w:after="0" w:line="2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0840"/>
          </w:cols>
          <w:pgMar w:left="340" w:top="1440" w:right="71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Weinswig, certify that:</w:t>
      </w:r>
    </w:p>
    <w:p>
      <w:pPr>
        <w:spacing w:after="0" w:line="306" w:lineRule="exact"/>
        <w:rPr>
          <w:sz w:val="20"/>
          <w:szCs w:val="20"/>
          <w:color w:val="auto"/>
        </w:rPr>
      </w:pPr>
    </w:p>
    <w:p>
      <w:pPr>
        <w:ind w:left="540" w:hanging="514"/>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Ouster, Inc.;</w:t>
      </w:r>
    </w:p>
    <w:p>
      <w:pPr>
        <w:spacing w:after="0" w:line="200" w:lineRule="exact"/>
        <w:rPr>
          <w:rFonts w:ascii="Times New Roman" w:cs="Times New Roman" w:eastAsia="Times New Roman" w:hAnsi="Times New Roman"/>
          <w:sz w:val="18"/>
          <w:szCs w:val="18"/>
          <w:color w:val="auto"/>
        </w:rPr>
      </w:pPr>
    </w:p>
    <w:p>
      <w:pPr>
        <w:spacing w:after="0" w:line="335" w:lineRule="exact"/>
        <w:rPr>
          <w:rFonts w:ascii="Times New Roman" w:cs="Times New Roman" w:eastAsia="Times New Roman" w:hAnsi="Times New Roman"/>
          <w:sz w:val="18"/>
          <w:szCs w:val="18"/>
          <w:color w:val="auto"/>
        </w:rPr>
      </w:pPr>
    </w:p>
    <w:p>
      <w:pPr>
        <w:jc w:val="both"/>
        <w:ind w:left="540" w:right="240" w:hanging="514"/>
        <w:spacing w:after="0" w:line="266"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Times New Roman" w:cs="Times New Roman" w:eastAsia="Times New Roman" w:hAnsi="Times New Roman"/>
          <w:sz w:val="18"/>
          <w:szCs w:val="18"/>
          <w:color w:val="auto"/>
        </w:rPr>
      </w:pPr>
    </w:p>
    <w:p>
      <w:pPr>
        <w:spacing w:after="0" w:line="272" w:lineRule="exact"/>
        <w:rPr>
          <w:rFonts w:ascii="Times New Roman" w:cs="Times New Roman" w:eastAsia="Times New Roman" w:hAnsi="Times New Roman"/>
          <w:sz w:val="18"/>
          <w:szCs w:val="18"/>
          <w:color w:val="auto"/>
        </w:rPr>
      </w:pPr>
    </w:p>
    <w:p>
      <w:pPr>
        <w:ind w:left="540" w:right="200" w:hanging="514"/>
        <w:spacing w:after="0" w:line="282"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Times New Roman" w:cs="Times New Roman" w:eastAsia="Times New Roman" w:hAnsi="Times New Roman"/>
          <w:sz w:val="18"/>
          <w:szCs w:val="18"/>
          <w:color w:val="auto"/>
        </w:rPr>
      </w:pPr>
    </w:p>
    <w:p>
      <w:pPr>
        <w:spacing w:after="0" w:line="272" w:lineRule="exact"/>
        <w:rPr>
          <w:rFonts w:ascii="Times New Roman" w:cs="Times New Roman" w:eastAsia="Times New Roman" w:hAnsi="Times New Roman"/>
          <w:sz w:val="18"/>
          <w:szCs w:val="18"/>
          <w:color w:val="auto"/>
        </w:rPr>
      </w:pPr>
    </w:p>
    <w:p>
      <w:pPr>
        <w:ind w:left="540" w:right="220" w:hanging="514"/>
        <w:spacing w:after="0" w:line="266"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Times New Roman" w:cs="Times New Roman" w:eastAsia="Times New Roman" w:hAnsi="Times New Roman"/>
          <w:sz w:val="18"/>
          <w:szCs w:val="18"/>
          <w:color w:val="auto"/>
        </w:rPr>
      </w:pPr>
    </w:p>
    <w:p>
      <w:pPr>
        <w:spacing w:after="0" w:line="286" w:lineRule="exact"/>
        <w:rPr>
          <w:rFonts w:ascii="Times New Roman" w:cs="Times New Roman" w:eastAsia="Times New Roman" w:hAnsi="Times New Roman"/>
          <w:sz w:val="18"/>
          <w:szCs w:val="18"/>
          <w:color w:val="auto"/>
        </w:rPr>
      </w:pPr>
    </w:p>
    <w:p>
      <w:pPr>
        <w:ind w:left="1060" w:right="160" w:hanging="521"/>
        <w:spacing w:after="0" w:line="266" w:lineRule="auto"/>
        <w:tabs>
          <w:tab w:leader="none" w:pos="10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Times New Roman" w:cs="Times New Roman" w:eastAsia="Times New Roman" w:hAnsi="Times New Roman"/>
          <w:sz w:val="18"/>
          <w:szCs w:val="18"/>
          <w:color w:val="auto"/>
        </w:rPr>
      </w:pPr>
    </w:p>
    <w:p>
      <w:pPr>
        <w:spacing w:after="0" w:line="272" w:lineRule="exact"/>
        <w:rPr>
          <w:rFonts w:ascii="Times New Roman" w:cs="Times New Roman" w:eastAsia="Times New Roman" w:hAnsi="Times New Roman"/>
          <w:sz w:val="18"/>
          <w:szCs w:val="18"/>
          <w:color w:val="auto"/>
        </w:rPr>
      </w:pPr>
    </w:p>
    <w:p>
      <w:pPr>
        <w:ind w:left="1060" w:right="280" w:hanging="521"/>
        <w:spacing w:after="0" w:line="266" w:lineRule="auto"/>
        <w:tabs>
          <w:tab w:leader="none" w:pos="10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Times New Roman" w:cs="Times New Roman" w:eastAsia="Times New Roman" w:hAnsi="Times New Roman"/>
          <w:sz w:val="18"/>
          <w:szCs w:val="18"/>
          <w:color w:val="auto"/>
        </w:rPr>
      </w:pPr>
    </w:p>
    <w:p>
      <w:pPr>
        <w:spacing w:after="0" w:line="286" w:lineRule="exact"/>
        <w:rPr>
          <w:rFonts w:ascii="Times New Roman" w:cs="Times New Roman" w:eastAsia="Times New Roman" w:hAnsi="Times New Roman"/>
          <w:sz w:val="18"/>
          <w:szCs w:val="18"/>
          <w:color w:val="auto"/>
        </w:rPr>
      </w:pPr>
    </w:p>
    <w:p>
      <w:pPr>
        <w:jc w:val="both"/>
        <w:ind w:left="1060" w:right="440" w:hanging="521"/>
        <w:spacing w:after="0" w:line="282" w:lineRule="auto"/>
        <w:tabs>
          <w:tab w:leader="none" w:pos="10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Times New Roman" w:cs="Times New Roman" w:eastAsia="Times New Roman" w:hAnsi="Times New Roman"/>
          <w:sz w:val="18"/>
          <w:szCs w:val="18"/>
          <w:color w:val="auto"/>
        </w:rPr>
      </w:pPr>
    </w:p>
    <w:p>
      <w:pPr>
        <w:spacing w:after="0" w:line="272" w:lineRule="exact"/>
        <w:rPr>
          <w:rFonts w:ascii="Times New Roman" w:cs="Times New Roman" w:eastAsia="Times New Roman" w:hAnsi="Times New Roman"/>
          <w:sz w:val="18"/>
          <w:szCs w:val="18"/>
          <w:color w:val="auto"/>
        </w:rPr>
      </w:pPr>
    </w:p>
    <w:p>
      <w:pPr>
        <w:ind w:left="1060" w:right="160" w:hanging="521"/>
        <w:spacing w:after="0" w:line="266" w:lineRule="auto"/>
        <w:tabs>
          <w:tab w:leader="none" w:pos="10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Times New Roman" w:cs="Times New Roman" w:eastAsia="Times New Roman" w:hAnsi="Times New Roman"/>
          <w:sz w:val="18"/>
          <w:szCs w:val="18"/>
          <w:color w:val="auto"/>
        </w:rPr>
      </w:pPr>
    </w:p>
    <w:p>
      <w:pPr>
        <w:spacing w:after="0" w:line="272" w:lineRule="exact"/>
        <w:rPr>
          <w:rFonts w:ascii="Times New Roman" w:cs="Times New Roman" w:eastAsia="Times New Roman" w:hAnsi="Times New Roman"/>
          <w:sz w:val="18"/>
          <w:szCs w:val="18"/>
          <w:color w:val="auto"/>
        </w:rPr>
      </w:pPr>
    </w:p>
    <w:p>
      <w:pPr>
        <w:ind w:left="540" w:right="120" w:hanging="514"/>
        <w:spacing w:after="0" w:line="282"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1413" w:right="339" w:bottom="1440" w:gutter="0" w:footer="0" w:header="0"/>
        </w:sectPr>
      </w:pPr>
    </w:p>
    <w:bookmarkStart w:id="51" w:name="page52"/>
    <w:bookmarkEnd w:id="51"/>
    <w:p>
      <w:pPr>
        <w:spacing w:after="0" w:line="275" w:lineRule="exact"/>
        <w:rPr>
          <w:sz w:val="20"/>
          <w:szCs w:val="20"/>
          <w:color w:val="auto"/>
        </w:rPr>
      </w:pPr>
    </w:p>
    <w:p>
      <w:pPr>
        <w:ind w:left="1040" w:right="320" w:hanging="521"/>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Times New Roman" w:cs="Times New Roman" w:eastAsia="Times New Roman" w:hAnsi="Times New Roman"/>
          <w:sz w:val="18"/>
          <w:szCs w:val="18"/>
          <w:color w:val="auto"/>
        </w:rPr>
      </w:pPr>
    </w:p>
    <w:p>
      <w:pPr>
        <w:spacing w:after="0" w:line="272" w:lineRule="exact"/>
        <w:rPr>
          <w:rFonts w:ascii="Times New Roman" w:cs="Times New Roman" w:eastAsia="Times New Roman" w:hAnsi="Times New Roman"/>
          <w:sz w:val="18"/>
          <w:szCs w:val="18"/>
          <w:color w:val="auto"/>
        </w:rPr>
      </w:pPr>
    </w:p>
    <w:p>
      <w:pPr>
        <w:ind w:left="1040" w:hanging="521"/>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tabs>
          <w:tab w:leader="none" w:pos="5200" w:val="left"/>
          <w:tab w:leader="none" w:pos="5880" w:val="left"/>
        </w:tabs>
        <w:rPr>
          <w:sz w:val="20"/>
          <w:szCs w:val="20"/>
          <w:color w:val="auto"/>
        </w:rPr>
      </w:pPr>
      <w:r>
        <w:rPr>
          <w:rFonts w:ascii="Times New Roman" w:cs="Times New Roman" w:eastAsia="Times New Roman" w:hAnsi="Times New Roman"/>
          <w:sz w:val="18"/>
          <w:szCs w:val="18"/>
          <w:color w:val="auto"/>
        </w:rPr>
        <w:t>Date: August 13,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Weinswig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3738245</wp:posOffset>
            </wp:positionH>
            <wp:positionV relativeFrom="paragraph">
              <wp:posOffset>34290</wp:posOffset>
            </wp:positionV>
            <wp:extent cx="33858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5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Mark Weinswig</w:t>
      </w:r>
    </w:p>
    <w:p>
      <w:pPr>
        <w:spacing w:after="0" w:line="6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ectPr>
          <w:pgSz w:w="11900" w:h="16838" w:orient="portrait"/>
          <w:cols w:equalWidth="0" w:num="1">
            <w:col w:w="10840"/>
          </w:cols>
          <w:pgMar w:left="340" w:top="1440" w:right="719" w:bottom="1440" w:gutter="0" w:footer="0" w:header="0"/>
        </w:sectPr>
      </w:pPr>
    </w:p>
    <w:bookmarkStart w:id="52" w:name="page53"/>
    <w:bookmarkEnd w:id="52"/>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Ouster, Inc. (the “Company”) for the period ended June 30, 2024 as filed with the Securities and Exchange Commission on the date hereof (the “Report”), I certify, pursuant to 18 U.S.C. § 1350, as adopted pursuant to § 906 of the Sarbanes-Oxley Act of 2002, that:</w:t>
      </w:r>
    </w:p>
    <w:p>
      <w:pPr>
        <w:spacing w:after="0" w:line="257" w:lineRule="exact"/>
        <w:rPr>
          <w:sz w:val="20"/>
          <w:szCs w:val="20"/>
          <w:color w:val="auto"/>
        </w:rPr>
      </w:pPr>
    </w:p>
    <w:p>
      <w:pPr>
        <w:ind w:left="1060" w:hanging="521"/>
        <w:spacing w:after="0"/>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92" w:lineRule="exact"/>
        <w:rPr>
          <w:rFonts w:ascii="Times New Roman" w:cs="Times New Roman" w:eastAsia="Times New Roman" w:hAnsi="Times New Roman"/>
          <w:sz w:val="18"/>
          <w:szCs w:val="18"/>
          <w:color w:val="auto"/>
        </w:rPr>
      </w:pPr>
    </w:p>
    <w:p>
      <w:pPr>
        <w:ind w:left="1060" w:right="520" w:hanging="521"/>
        <w:spacing w:after="0" w:line="282" w:lineRule="auto"/>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tabs>
          <w:tab w:leader="none" w:pos="5220" w:val="left"/>
          <w:tab w:leader="none" w:pos="5900" w:val="left"/>
        </w:tabs>
        <w:rPr>
          <w:sz w:val="20"/>
          <w:szCs w:val="20"/>
          <w:color w:val="auto"/>
        </w:rPr>
      </w:pPr>
      <w:r>
        <w:rPr>
          <w:rFonts w:ascii="Times New Roman" w:cs="Times New Roman" w:eastAsia="Times New Roman" w:hAnsi="Times New Roman"/>
          <w:sz w:val="18"/>
          <w:szCs w:val="18"/>
          <w:color w:val="auto"/>
        </w:rPr>
        <w:t>Date: August 13,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Angus Pacala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34290</wp:posOffset>
            </wp:positionV>
            <wp:extent cx="33858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5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Angus Pacala</w:t>
      </w:r>
    </w:p>
    <w:p>
      <w:pPr>
        <w:spacing w:after="0" w:line="6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Co-Founder and Chief Executive Officer</w:t>
      </w:r>
    </w:p>
    <w:p>
      <w:pPr>
        <w:spacing w:after="0" w:line="2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40"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Ouster, Inc. (the “Company”) for the period ended June 30, 2024 as filed with the Securities and Exchange Commission on the date hereof (the “Report”), I certify, pursuant to 18 U.S.C. § 1350, as adopted pursuant to § 906 of the Sarbanes-Oxley Act of 2002, that:</w:t>
      </w:r>
    </w:p>
    <w:p>
      <w:pPr>
        <w:spacing w:after="0" w:line="257" w:lineRule="exact"/>
        <w:rPr>
          <w:sz w:val="20"/>
          <w:szCs w:val="20"/>
          <w:color w:val="auto"/>
        </w:rPr>
      </w:pPr>
    </w:p>
    <w:p>
      <w:pPr>
        <w:ind w:left="1060" w:hanging="521"/>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92" w:lineRule="exact"/>
        <w:rPr>
          <w:rFonts w:ascii="Times New Roman" w:cs="Times New Roman" w:eastAsia="Times New Roman" w:hAnsi="Times New Roman"/>
          <w:sz w:val="18"/>
          <w:szCs w:val="18"/>
          <w:color w:val="auto"/>
        </w:rPr>
      </w:pPr>
    </w:p>
    <w:p>
      <w:pPr>
        <w:ind w:left="1060" w:right="520" w:hanging="521"/>
        <w:spacing w:after="0" w:line="282" w:lineRule="auto"/>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tabs>
          <w:tab w:leader="none" w:pos="5220" w:val="left"/>
          <w:tab w:leader="none" w:pos="5900" w:val="left"/>
        </w:tabs>
        <w:rPr>
          <w:sz w:val="20"/>
          <w:szCs w:val="20"/>
          <w:color w:val="auto"/>
        </w:rPr>
      </w:pPr>
      <w:r>
        <w:rPr>
          <w:rFonts w:ascii="Times New Roman" w:cs="Times New Roman" w:eastAsia="Times New Roman" w:hAnsi="Times New Roman"/>
          <w:sz w:val="18"/>
          <w:szCs w:val="18"/>
          <w:color w:val="auto"/>
        </w:rPr>
        <w:t>Date: August 13,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Weinswig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34290</wp:posOffset>
            </wp:positionV>
            <wp:extent cx="33858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5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Mark Weinswig</w:t>
      </w:r>
    </w:p>
    <w:p>
      <w:pPr>
        <w:spacing w:after="0" w:line="6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lowerLetter"/>
      <w:start w:val="1"/>
    </w:lvl>
  </w:abstractNum>
  <w:abstractNum w:abstractNumId="3">
    <w:nsid w:val="4DB127F8"/>
    <w:multiLevelType w:val="hybridMultilevel"/>
    <w:lvl w:ilvl="0">
      <w:lvlJc w:val="left"/>
      <w:lvlText w:val="(%1)"/>
      <w:numFmt w:val="lowerRoman"/>
      <w:start w:val="2"/>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lowerLetter"/>
      <w:start w:val="2"/>
    </w:lvl>
  </w:abstractNum>
  <w:abstractNum w:abstractNumId="8">
    <w:nsid w:val="140E0F76"/>
    <w:multiLevelType w:val="hybridMultilevel"/>
    <w:lvl w:ilvl="0">
      <w:lvlJc w:val="left"/>
      <w:lvlText w:val="%1"/>
      <w:numFmt w:val="decimal"/>
      <w:start w:val="104"/>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
    </w:lvl>
    <w:lvl w:ilvl="1">
      <w:lvlJc w:val="left"/>
      <w:lvlText w:val="(%2)"/>
      <w:numFmt w:val="lowerLetter"/>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77" Type="http://schemas.openxmlformats.org/officeDocument/2006/relationships/hyperlink" Target="https://www.sec.gov/Archives/edgar/data/1816581/000119312521036740/d10549ds4a.htm#rom10549_42" TargetMode="External"/><Relationship Id="rId78" Type="http://schemas.openxmlformats.org/officeDocument/2006/relationships/hyperlink" Target="https://www.sec.gov/Archives/edgar/data/1816581/000119312522278440/d386513dex21.htm" TargetMode="External"/><Relationship Id="rId79" Type="http://schemas.openxmlformats.org/officeDocument/2006/relationships/hyperlink" Target="https://www.sec.gov/Archives/edgar/data/0001816581/000119312521076326/d149743dex31.htm" TargetMode="External"/><Relationship Id="rId80" Type="http://schemas.openxmlformats.org/officeDocument/2006/relationships/hyperlink" Target="https://www.sec.gov/Archives/edgar/data/1816581/000119312523108331/d502108dex31.htm" TargetMode="External"/><Relationship Id="rId81" Type="http://schemas.openxmlformats.org/officeDocument/2006/relationships/hyperlink" Target="https://www.sec.gov/Archives/edgar/data/1816581/000119312524103286/d813445dex31.htm" TargetMode="External"/><Relationship Id="rId82" Type="http://schemas.openxmlformats.org/officeDocument/2006/relationships/hyperlink" Target="https://www.sec.gov/Archives/edgar/data/1745317/000114420418054354/tv505017_ex4-1.htm" TargetMode="External"/><Relationship Id="rId83" Type="http://schemas.openxmlformats.org/officeDocument/2006/relationships/hyperlink" Target="https://www.sec.gov/Archives/edgar/data/1745317/000119312522029612/d54842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2024-08-14T05:28:34Z</dcterms:created>
  <dcterms:modified xsi:type="dcterms:W3CDTF">2024-08-14T05:28:34Z</dcterms:modified>
</cp:coreProperties>
</file>