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(Mark One)</w:t>
      </w:r>
    </w:p>
    <w:p>
      <w:pPr>
        <w:spacing w:after="0" w:line="31"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June 30, 2022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74"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ectPr>
          <w:pgSz w:w="11900" w:h="16838" w:orient="portrait"/>
          <w:cols w:equalWidth="0" w:num="1">
            <w:col w:w="11240"/>
          </w:cols>
          <w:pgMar w:left="320" w:top="1289" w:right="339" w:bottom="434" w:gutter="0" w:footer="0" w:header="0"/>
        </w:sectPr>
      </w:pPr>
    </w:p>
    <w:p>
      <w:pPr>
        <w:spacing w:after="0" w:line="35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For the transition period from</w:t>
      </w:r>
    </w:p>
    <w:p>
      <w:pPr>
        <w:spacing w:after="0" w:line="2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Commission File Number: 001-39463</w:t>
      </w:r>
    </w:p>
    <w:p>
      <w:pPr>
        <w:spacing w:after="0" w:line="2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587" w:lineRule="exact"/>
        <w:rPr>
          <w:sz w:val="24"/>
          <w:szCs w:val="24"/>
          <w:color w:val="auto"/>
        </w:rPr>
      </w:pPr>
    </w:p>
    <w:p>
      <w:pPr>
        <w:sectPr>
          <w:pgSz w:w="11900" w:h="16838" w:orient="portrait"/>
          <w:cols w:equalWidth="0" w:num="2">
            <w:col w:w="7000" w:space="120"/>
            <w:col w:w="4120"/>
          </w:cols>
          <w:pgMar w:left="320" w:top="1289" w:right="339" w:bottom="434"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Ouster,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289" w:right="339" w:bottom="434" w:gutter="0" w:footer="0" w:header="0"/>
          <w:type w:val="continuous"/>
        </w:sectPr>
      </w:pPr>
    </w:p>
    <w:p>
      <w:pPr>
        <w:spacing w:after="0" w:line="17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86-2528989</w:t>
      </w:r>
    </w:p>
    <w:p>
      <w:pPr>
        <w:spacing w:after="0" w:line="63" w:lineRule="exact"/>
        <w:rPr>
          <w:sz w:val="24"/>
          <w:szCs w:val="24"/>
          <w:color w:val="auto"/>
        </w:rPr>
      </w:pPr>
    </w:p>
    <w:p>
      <w:pPr>
        <w:sectPr>
          <w:pgSz w:w="11900" w:h="16838" w:orient="portrait"/>
          <w:cols w:equalWidth="0" w:num="2">
            <w:col w:w="8220" w:space="720"/>
            <w:col w:w="2300"/>
          </w:cols>
          <w:pgMar w:left="320" w:top="1289" w:right="339" w:bottom="434" w:gutter="0" w:footer="0" w:header="0"/>
          <w:type w:val="continuous"/>
        </w:sectPr>
      </w:pP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31" w:lineRule="exact"/>
        <w:rPr>
          <w:sz w:val="24"/>
          <w:szCs w:val="24"/>
          <w:color w:val="auto"/>
        </w:rPr>
      </w:pP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119" w:lineRule="exact"/>
        <w:rPr>
          <w:sz w:val="24"/>
          <w:szCs w:val="24"/>
          <w:color w:val="auto"/>
        </w:rPr>
      </w:pPr>
    </w:p>
    <w:p>
      <w:pPr>
        <w:sectPr>
          <w:pgSz w:w="11900" w:h="16838" w:orient="portrait"/>
          <w:cols w:equalWidth="0" w:num="2">
            <w:col w:w="7960" w:space="720"/>
            <w:col w:w="2560"/>
          </w:cols>
          <w:pgMar w:left="320" w:top="1289" w:right="339" w:bottom="434"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Treat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949-0108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4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OUST</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4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OUST WS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38" w:lineRule="exact"/>
        <w:rPr>
          <w:sz w:val="24"/>
          <w:szCs w:val="24"/>
          <w:color w:val="auto"/>
        </w:rPr>
      </w:pPr>
    </w:p>
    <w:p>
      <w:pPr>
        <w:ind w:right="30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9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4, 2022, the registrant had 181,719,695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9" w:right="339" w:bottom="434"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1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60" w:type="dxa"/>
            <w:vAlign w:val="bottom"/>
            <w:gridSpan w:val="8"/>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60" w:type="dxa"/>
            <w:vAlign w:val="bottom"/>
            <w:gridSpan w:val="8"/>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60" w:type="dxa"/>
            <w:vAlign w:val="bottom"/>
            <w:gridSpan w:val="8"/>
            <w:vMerge w:val="continu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Financial Statements</w:t>
            </w:r>
          </w:p>
        </w:tc>
        <w:tc>
          <w:tcPr>
            <w:tcW w:w="7920" w:type="dxa"/>
            <w:vAlign w:val="bottom"/>
            <w:gridSpan w:val="9"/>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80" w:type="dxa"/>
            <w:vAlign w:val="bottom"/>
            <w:gridSpan w:val="7"/>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Redeemable Convertible Preferred Stock and Stockholders’ Equity (Deficit)</w:t>
            </w:r>
          </w:p>
        </w:tc>
        <w:tc>
          <w:tcPr>
            <w:tcW w:w="22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8340" w:type="dxa"/>
            <w:vAlign w:val="bottom"/>
            <w:gridSpan w:val="10"/>
            <w:vMerge w:val="restart"/>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0000FF"/>
            </w:tcBorders>
            <w:vMerge w:val="continue"/>
          </w:tcPr>
          <w:p>
            <w:pPr>
              <w:spacing w:after="0"/>
              <w:rPr>
                <w:sz w:val="5"/>
                <w:szCs w:val="5"/>
                <w:color w:val="auto"/>
              </w:rPr>
            </w:pPr>
          </w:p>
        </w:tc>
        <w:tc>
          <w:tcPr>
            <w:tcW w:w="8340" w:type="dxa"/>
            <w:vAlign w:val="bottom"/>
            <w:gridSpan w:val="10"/>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4800" w:type="dxa"/>
            <w:vAlign w:val="bottom"/>
            <w:gridSpan w:val="5"/>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520" w:type="dxa"/>
            <w:vAlign w:val="bottom"/>
            <w:gridSpan w:val="4"/>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9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64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80" w:type="dxa"/>
            <w:vAlign w:val="bottom"/>
            <w:gridSpan w:val="2"/>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tcBorders>
              <w:top w:val="single" w:sz="8" w:color="0000FF"/>
            </w:tcBorders>
          </w:tcPr>
          <w:p>
            <w:pPr>
              <w:spacing w:after="0"/>
              <w:rPr>
                <w:sz w:val="21"/>
                <w:szCs w:val="21"/>
                <w:color w:val="auto"/>
              </w:rPr>
            </w:pPr>
          </w:p>
        </w:tc>
        <w:tc>
          <w:tcPr>
            <w:tcW w:w="17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21"/>
                <w:szCs w:val="21"/>
                <w:color w:val="auto"/>
              </w:rPr>
            </w:pPr>
          </w:p>
        </w:tc>
        <w:tc>
          <w:tcPr>
            <w:tcW w:w="5080" w:type="dxa"/>
            <w:vAlign w:val="bottom"/>
            <w:gridSpan w:val="6"/>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4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7"/>
              </w:rPr>
              <w:t>Item 1.</w:t>
            </w:r>
          </w:p>
        </w:tc>
        <w:tc>
          <w:tcPr>
            <w:tcW w:w="280" w:type="dxa"/>
            <w:vAlign w:val="bottom"/>
            <w:gridSpan w:val="3"/>
          </w:tcPr>
          <w:p>
            <w:pPr>
              <w:spacing w:after="0"/>
              <w:rPr>
                <w:sz w:val="17"/>
                <w:szCs w:val="17"/>
                <w:color w:val="auto"/>
              </w:rPr>
            </w:pPr>
          </w:p>
        </w:tc>
        <w:tc>
          <w:tcPr>
            <w:tcW w:w="8020" w:type="dxa"/>
            <w:vAlign w:val="bottom"/>
            <w:gridSpan w:val="8"/>
          </w:tcPr>
          <w:p>
            <w:pPr>
              <w:ind w:left="12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0000FF"/>
              </w:rPr>
              <w:t>Exhibits.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8"/>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2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Ouster’s future operating results and financial position, its business strategy and plans, potential acquisitions, market growth and trends, and its objectives for future operations, are forward-looking statements. The words “believe,” “may,” “will,” “estimate,” “continue,” “anticipate,” “intend,” “expect,” “could,” “would,” “project,” “plan,” “potentially,” “preliminary,” “likely,” “aim,” “forecast,” “should,” “can have,”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are subject to a number of risks, uncertainties, and assumptions, including Ouster’s limited operating history and history of losses; the negotiating power and product standards of its customers; fluctuations in its operating results; supply chain constraints and challenges; cancellation or postponement of contracts or unsuccessful implementations; the adoption of its products and the growth of the lidar market generally; its ability to grow its sales and marketing organization; substantial research and development costs needed to develop and commercialize new products; the competitive environment in which it operates; selection of its products for inclusion in target markets; its future capital needs and ability to secure additional capital on favorable terms or at all; its ability to use tax attributes; its dependence on key third party suppliers, in particular Benchmark Electronics, Inc., and manufacturers; its ability to maintain inventory and the risk of inventory write-downs; inaccurate forecasts of market growth; its ability to manage growth; the creditworthiness of its customers; risks related to acquisitions; risks related to international operations; risks of product delivery problems or defects; costs associated with product warranties; its ability to maintain competitive average selling prices or high sales volumes or reduce product costs; conditions in its customers’ industries; its ability to recruit and retain key personnel; its use of professional employer organizations; its ability to adequately protect and enforce its intellectual property rights; its ability to effectively respond to evolving regulations and standards; risks related to operating as a public company; risks related to the COVID-19 pandemic; and risks related to certain of its warrants being accounted for as liabilities. Other risk factors include the important factors described in the Company’s Annual Report on Form 10-K filed with the Securities and Exchange Commission (the “SEC”) on February 28, 2022, that may cause its actual results, performance or achievements to differ materially and adversely from those expressed or implied by the forward-looking statements.</w:t>
      </w:r>
    </w:p>
    <w:p>
      <w:pPr>
        <w:spacing w:after="0" w:line="2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Any forward-looking statements made herein speak only as of the date of this Quarterly Report on Form 10-Q,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on Form 10-Q or to conform these statements to actual results or revised expectations.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“Ouster,” “the Company,” “we,” “our” and “us” refer to Ouster, Inc.</w:t>
      </w:r>
    </w:p>
    <w:p>
      <w:pPr>
        <w:spacing w:after="0" w:line="1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182,644</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207,358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22,103</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 portion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(at June 30, 2022 and December 31, 2021 related party $172 and $2,669, respectively)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47,002</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convertible preferred stock, $0.0001 par value per share; 100,000,000 shares authorized at June 30,</w:t>
            </w:r>
          </w:p>
        </w:tc>
        <w:tc>
          <w:tcPr>
            <w:tcW w:w="28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2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2022 and December 31, 2021; Nil shares issued and outstanding at June 30, 2022 and December 31, 2021,</w:t>
            </w: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respectively (aggregate liquidation preference of nil at June 30, 2022 and December 31, 2021, respectively)</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June 30, 2022 and December 31,</w:t>
            </w: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4"/>
        </w:trPr>
        <w:tc>
          <w:tcPr>
            <w:tcW w:w="828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2021; 181,424,515 and 172,200,417 issued and outstanding at June 30, 2022 and December 31, 2021,</w:t>
            </w: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564,045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260,700</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24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13,971</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10,333</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0" w:type="dxa"/>
            <w:vAlign w:val="bottom"/>
          </w:tcPr>
          <w:p>
            <w:pPr>
              <w:spacing w:after="0"/>
              <w:rPr>
                <w:sz w:val="1"/>
                <w:szCs w:val="1"/>
                <w:color w:val="auto"/>
              </w:rPr>
            </w:pPr>
          </w:p>
        </w:tc>
      </w:tr>
      <w:tr>
        <w:trPr>
          <w:trHeight w:val="213"/>
        </w:trPr>
        <w:tc>
          <w:tcPr>
            <w:tcW w:w="6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22,104</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72,750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41,330</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(37,692)</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6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(14,912)</w:t>
            </w:r>
          </w:p>
        </w:tc>
        <w:tc>
          <w:tcPr>
            <w:tcW w:w="0" w:type="dxa"/>
            <w:vAlign w:val="bottom"/>
          </w:tcPr>
          <w:p>
            <w:pPr>
              <w:spacing w:after="0"/>
              <w:rPr>
                <w:sz w:val="1"/>
                <w:szCs w:val="1"/>
                <w:color w:val="auto"/>
              </w:rPr>
            </w:pPr>
          </w:p>
        </w:tc>
      </w:tr>
      <w:tr>
        <w:trPr>
          <w:trHeight w:val="20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 net</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(15,276)</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(52,968)</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(32,011)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(60,485)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(52,968)</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basic and diluted net loss per share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175,057,360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155,923,689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172,965,833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106,070,590</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960" w:type="dxa"/>
            <w:vAlign w:val="bottom"/>
            <w:gridSpan w:val="4"/>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2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960" w:type="dxa"/>
            <w:vAlign w:val="bottom"/>
            <w:gridSpan w:val="4"/>
          </w:tcPr>
          <w:p>
            <w:pPr>
              <w:jc w:val="right"/>
              <w:ind w:right="357"/>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gridSpan w:val="3"/>
          </w:tcPr>
          <w:p>
            <w:pPr>
              <w:jc w:val="right"/>
              <w:ind w:right="397"/>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tcPr>
          <w:p>
            <w:pPr>
              <w:jc w:val="center"/>
              <w:ind w:right="260"/>
              <w:spacing w:after="0" w:line="48" w:lineRule="exact"/>
              <w:rPr>
                <w:sz w:val="20"/>
                <w:szCs w:val="20"/>
                <w:color w:val="auto"/>
              </w:rPr>
            </w:pPr>
            <w:r>
              <w:rPr>
                <w:rFonts w:ascii="Times New Roman" w:cs="Times New Roman" w:eastAsia="Times New Roman" w:hAnsi="Times New Roman"/>
                <w:sz w:val="5"/>
                <w:szCs w:val="5"/>
                <w:b w:val="1"/>
                <w:bCs w:val="1"/>
                <w:color w:val="auto"/>
              </w:rPr>
              <w:t>Paid-in-</w:t>
            </w:r>
          </w:p>
        </w:tc>
        <w:tc>
          <w:tcPr>
            <w:tcW w:w="120" w:type="dxa"/>
            <w:vAlign w:val="bottom"/>
          </w:tcPr>
          <w:p>
            <w:pPr>
              <w:spacing w:after="0"/>
              <w:rPr>
                <w:sz w:val="4"/>
                <w:szCs w:val="4"/>
                <w:color w:val="auto"/>
              </w:rPr>
            </w:pPr>
          </w:p>
        </w:tc>
        <w:tc>
          <w:tcPr>
            <w:tcW w:w="1060" w:type="dxa"/>
            <w:vAlign w:val="bottom"/>
            <w:gridSpan w:val="2"/>
          </w:tcPr>
          <w:p>
            <w:pPr>
              <w:ind w:left="60"/>
              <w:spacing w:after="0" w:line="48"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1180" w:type="dxa"/>
            <w:vAlign w:val="bottom"/>
            <w:gridSpan w:val="3"/>
          </w:tcPr>
          <w:p>
            <w:pPr>
              <w:ind w:left="20"/>
              <w:spacing w:after="0" w:line="48" w:lineRule="exact"/>
              <w:rPr>
                <w:sz w:val="20"/>
                <w:szCs w:val="20"/>
                <w:color w:val="auto"/>
              </w:rPr>
            </w:pPr>
            <w:r>
              <w:rPr>
                <w:rFonts w:ascii="Times New Roman" w:cs="Times New Roman" w:eastAsia="Times New Roman" w:hAnsi="Times New Roman"/>
                <w:sz w:val="5"/>
                <w:szCs w:val="5"/>
                <w:b w:val="1"/>
                <w:bCs w:val="1"/>
                <w:color w:val="auto"/>
              </w:rPr>
              <w:t>Accumulated other</w:t>
            </w:r>
          </w:p>
        </w:tc>
        <w:tc>
          <w:tcPr>
            <w:tcW w:w="140" w:type="dxa"/>
            <w:vAlign w:val="bottom"/>
          </w:tcPr>
          <w:p>
            <w:pPr>
              <w:spacing w:after="0"/>
              <w:rPr>
                <w:sz w:val="4"/>
                <w:szCs w:val="4"/>
                <w:color w:val="auto"/>
              </w:rPr>
            </w:pPr>
          </w:p>
        </w:tc>
        <w:tc>
          <w:tcPr>
            <w:tcW w:w="960" w:type="dxa"/>
            <w:vAlign w:val="bottom"/>
          </w:tcPr>
          <w:p>
            <w:pPr>
              <w:jc w:val="center"/>
              <w:ind w:right="79"/>
              <w:spacing w:after="0" w:line="48"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2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40" w:type="dxa"/>
            <w:vAlign w:val="bottom"/>
          </w:tcPr>
          <w:p>
            <w:pPr>
              <w:spacing w:after="0"/>
              <w:rPr>
                <w:sz w:val="15"/>
                <w:szCs w:val="15"/>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5"/>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December 31, 2021</w:t>
            </w: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172,200,417</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564,045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(303,356)</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260,700</w:t>
            </w:r>
          </w:p>
        </w:tc>
        <w:tc>
          <w:tcPr>
            <w:tcW w:w="0" w:type="dxa"/>
            <w:vAlign w:val="bottom"/>
          </w:tcPr>
          <w:p>
            <w:pPr>
              <w:spacing w:after="0"/>
              <w:rPr>
                <w:sz w:val="1"/>
                <w:szCs w:val="1"/>
                <w:color w:val="auto"/>
              </w:rPr>
            </w:pPr>
          </w:p>
        </w:tc>
      </w:tr>
      <w:tr>
        <w:trPr>
          <w:trHeight w:val="122"/>
        </w:trPr>
        <w:tc>
          <w:tcPr>
            <w:tcW w:w="2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5"/>
                <w:szCs w:val="15"/>
                <w:color w:val="auto"/>
              </w:rPr>
            </w:pPr>
          </w:p>
        </w:tc>
        <w:tc>
          <w:tcPr>
            <w:tcW w:w="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822,702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29"/>
        </w:trPr>
        <w:tc>
          <w:tcPr>
            <w:tcW w:w="2660" w:type="dxa"/>
            <w:vAlign w:val="bottom"/>
            <w:gridSpan w:val="2"/>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ind w:left="360"/>
              <w:spacing w:after="0" w:line="131" w:lineRule="exact"/>
              <w:rPr>
                <w:sz w:val="20"/>
                <w:szCs w:val="20"/>
                <w:color w:val="auto"/>
              </w:rPr>
            </w:pPr>
            <w:r>
              <w:rPr>
                <w:rFonts w:ascii="Times New Roman" w:cs="Times New Roman" w:eastAsia="Times New Roman" w:hAnsi="Times New Roman"/>
                <w:sz w:val="13"/>
                <w:szCs w:val="13"/>
                <w:color w:val="auto"/>
              </w:rPr>
              <w:t>exercise of restricted stock</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6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3"/>
                <w:szCs w:val="13"/>
                <w:color w:val="auto"/>
              </w:rPr>
              <w:t>awards - net of tax</w:t>
            </w:r>
          </w:p>
        </w:tc>
        <w:tc>
          <w:tcPr>
            <w:tcW w:w="3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0"/>
                <w:szCs w:val="10"/>
                <w:color w:val="auto"/>
              </w:rPr>
            </w:pPr>
          </w:p>
        </w:tc>
        <w:tc>
          <w:tcPr>
            <w:tcW w:w="380" w:type="dxa"/>
            <w:vAlign w:val="bottom"/>
            <w:tcBorders>
              <w:right w:val="single" w:sz="8" w:color="auto"/>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812,491</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75"/>
        </w:trPr>
        <w:tc>
          <w:tcPr>
            <w:tcW w:w="2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withholding</w:t>
            </w:r>
          </w:p>
        </w:tc>
        <w:tc>
          <w:tcPr>
            <w:tcW w:w="380" w:type="dxa"/>
            <w:vAlign w:val="bottom"/>
            <w:gridSpan w:val="2"/>
            <w:vMerge w:val="continue"/>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(233,107)</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27"/>
        </w:trPr>
        <w:tc>
          <w:tcPr>
            <w:tcW w:w="266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Stock-based compensation</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expense</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6"/>
                <w:szCs w:val="16"/>
                <w:color w:val="auto"/>
              </w:rPr>
            </w:pPr>
          </w:p>
        </w:tc>
        <w:tc>
          <w:tcPr>
            <w:tcW w:w="3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w:t>
            </w:r>
          </w:p>
        </w:tc>
        <w:tc>
          <w:tcPr>
            <w:tcW w:w="0" w:type="dxa"/>
            <w:vAlign w:val="bottom"/>
          </w:tcPr>
          <w:p>
            <w:pPr>
              <w:spacing w:after="0"/>
              <w:rPr>
                <w:sz w:val="1"/>
                <w:szCs w:val="1"/>
                <w:color w:val="auto"/>
              </w:rPr>
            </w:pPr>
          </w:p>
        </w:tc>
      </w:tr>
      <w:tr>
        <w:trPr>
          <w:trHeight w:val="122"/>
        </w:trPr>
        <w:tc>
          <w:tcPr>
            <w:tcW w:w="2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Vesting of early exercised stock</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options</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5"/>
                <w:szCs w:val="15"/>
                <w:color w:val="auto"/>
              </w:rPr>
            </w:pPr>
          </w:p>
        </w:tc>
        <w:tc>
          <w:tcPr>
            <w:tcW w:w="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3"/>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5"/>
                <w:szCs w:val="15"/>
                <w:color w:val="auto"/>
              </w:rPr>
            </w:pPr>
          </w:p>
        </w:tc>
        <w:tc>
          <w:tcPr>
            <w:tcW w:w="3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(32,397)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(32,397)</w:t>
            </w:r>
          </w:p>
        </w:tc>
        <w:tc>
          <w:tcPr>
            <w:tcW w:w="0" w:type="dxa"/>
            <w:vAlign w:val="bottom"/>
          </w:tcPr>
          <w:p>
            <w:pPr>
              <w:spacing w:after="0"/>
              <w:rPr>
                <w:sz w:val="1"/>
                <w:szCs w:val="1"/>
                <w:color w:val="auto"/>
              </w:rPr>
            </w:pPr>
          </w:p>
        </w:tc>
      </w:tr>
      <w:tr>
        <w:trPr>
          <w:trHeight w:val="170"/>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5"/>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March 31, 2022</w:t>
            </w: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173,602,503</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572,933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(335,753)</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237,179</w:t>
            </w:r>
          </w:p>
        </w:tc>
        <w:tc>
          <w:tcPr>
            <w:tcW w:w="0" w:type="dxa"/>
            <w:vAlign w:val="bottom"/>
          </w:tcPr>
          <w:p>
            <w:pPr>
              <w:spacing w:after="0"/>
              <w:rPr>
                <w:sz w:val="1"/>
                <w:szCs w:val="1"/>
                <w:color w:val="auto"/>
              </w:rPr>
            </w:pPr>
          </w:p>
        </w:tc>
      </w:tr>
      <w:tr>
        <w:trPr>
          <w:trHeight w:val="122"/>
        </w:trPr>
        <w:tc>
          <w:tcPr>
            <w:tcW w:w="2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Proceeds from at-the-market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6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3"/>
                <w:szCs w:val="13"/>
                <w:color w:val="auto"/>
              </w:rPr>
              <w:t>offering, net of commissions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6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3"/>
                <w:szCs w:val="13"/>
                <w:color w:val="auto"/>
              </w:rPr>
              <w:t>and fees of $451 and</w:t>
            </w:r>
          </w:p>
        </w:tc>
        <w:tc>
          <w:tcPr>
            <w:tcW w:w="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0"/>
                <w:szCs w:val="10"/>
                <w:color w:val="auto"/>
              </w:rPr>
            </w:pPr>
          </w:p>
        </w:tc>
        <w:tc>
          <w:tcPr>
            <w:tcW w:w="3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6,749,344</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14,022</w:t>
            </w:r>
          </w:p>
        </w:tc>
        <w:tc>
          <w:tcPr>
            <w:tcW w:w="0" w:type="dxa"/>
            <w:vAlign w:val="bottom"/>
          </w:tcPr>
          <w:p>
            <w:pPr>
              <w:spacing w:after="0"/>
              <w:rPr>
                <w:sz w:val="1"/>
                <w:szCs w:val="1"/>
                <w:color w:val="auto"/>
              </w:rPr>
            </w:pPr>
          </w:p>
        </w:tc>
      </w:tr>
      <w:tr>
        <w:trPr>
          <w:trHeight w:val="170"/>
        </w:trPr>
        <w:tc>
          <w:tcPr>
            <w:tcW w:w="26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issuance costs of $546</w:t>
            </w:r>
          </w:p>
        </w:tc>
        <w:tc>
          <w:tcPr>
            <w:tcW w:w="3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6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6"/>
                <w:szCs w:val="16"/>
                <w:color w:val="auto"/>
              </w:rPr>
            </w:pPr>
          </w:p>
        </w:tc>
        <w:tc>
          <w:tcPr>
            <w:tcW w:w="3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234,241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22"/>
        </w:trPr>
        <w:tc>
          <w:tcPr>
            <w:tcW w:w="2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6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3"/>
                <w:szCs w:val="13"/>
                <w:color w:val="auto"/>
              </w:rPr>
              <w:t>exercise of restricted 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6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awards</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950,858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5"/>
                <w:szCs w:val="15"/>
                <w:color w:val="auto"/>
              </w:rPr>
            </w:pPr>
          </w:p>
        </w:tc>
        <w:tc>
          <w:tcPr>
            <w:tcW w:w="3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(57,301)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21"/>
        </w:trPr>
        <w:tc>
          <w:tcPr>
            <w:tcW w:w="2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Vesting of early exercised stock</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options</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5"/>
                <w:szCs w:val="15"/>
                <w:color w:val="auto"/>
              </w:rPr>
            </w:pPr>
          </w:p>
        </w:tc>
        <w:tc>
          <w:tcPr>
            <w:tcW w:w="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Cancellation of Sense</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acquisition shares</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6"/>
                <w:szCs w:val="16"/>
                <w:color w:val="auto"/>
              </w:rPr>
            </w:pPr>
          </w:p>
        </w:tc>
        <w:tc>
          <w:tcPr>
            <w:tcW w:w="3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(55,130)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0" w:type="dxa"/>
            <w:vAlign w:val="bottom"/>
          </w:tcPr>
          <w:p>
            <w:pPr>
              <w:spacing w:after="0"/>
              <w:rPr>
                <w:sz w:val="1"/>
                <w:szCs w:val="1"/>
                <w:color w:val="auto"/>
              </w:rPr>
            </w:pPr>
          </w:p>
        </w:tc>
      </w:tr>
      <w:tr>
        <w:trPr>
          <w:trHeight w:val="122"/>
        </w:trPr>
        <w:tc>
          <w:tcPr>
            <w:tcW w:w="2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Stock-based compensation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expense</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5"/>
                <w:szCs w:val="15"/>
                <w:color w:val="auto"/>
              </w:rPr>
            </w:pPr>
          </w:p>
        </w:tc>
        <w:tc>
          <w:tcPr>
            <w:tcW w:w="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8,119</w:t>
            </w:r>
          </w:p>
        </w:tc>
        <w:tc>
          <w:tcPr>
            <w:tcW w:w="0" w:type="dxa"/>
            <w:vAlign w:val="bottom"/>
          </w:tcPr>
          <w:p>
            <w:pPr>
              <w:spacing w:after="0"/>
              <w:rPr>
                <w:sz w:val="1"/>
                <w:szCs w:val="1"/>
                <w:color w:val="auto"/>
              </w:rPr>
            </w:pPr>
          </w:p>
        </w:tc>
      </w:tr>
      <w:tr>
        <w:trPr>
          <w:trHeight w:val="183"/>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5"/>
                <w:szCs w:val="15"/>
                <w:color w:val="auto"/>
              </w:rPr>
            </w:pPr>
          </w:p>
        </w:tc>
        <w:tc>
          <w:tcPr>
            <w:tcW w:w="38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0" w:type="dxa"/>
            <w:vAlign w:val="bottom"/>
          </w:tcPr>
          <w:p>
            <w:pPr>
              <w:spacing w:after="0"/>
              <w:rPr>
                <w:sz w:val="1"/>
                <w:szCs w:val="1"/>
                <w:color w:val="auto"/>
              </w:rPr>
            </w:pPr>
          </w:p>
        </w:tc>
      </w:tr>
      <w:tr>
        <w:trPr>
          <w:trHeight w:val="170"/>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94"/>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June 30, 2022</w:t>
            </w:r>
          </w:p>
        </w:tc>
        <w:tc>
          <w:tcPr>
            <w:tcW w:w="78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181,424,515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594,800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(363,753)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230,971</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60" w:type="dxa"/>
            <w:vAlign w:val="bottom"/>
          </w:tcPr>
          <w:p>
            <w:pPr>
              <w:spacing w:after="0"/>
              <w:rPr>
                <w:sz w:val="15"/>
                <w:szCs w:val="15"/>
                <w:color w:val="auto"/>
              </w:rPr>
            </w:pPr>
          </w:p>
        </w:tc>
        <w:tc>
          <w:tcPr>
            <w:tcW w:w="23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Redeemable Convertible</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340" w:type="dxa"/>
            <w:vAlign w:val="bottom"/>
            <w:tcBorders>
              <w:right w:val="single" w:sz="8" w:color="auto"/>
            </w:tcBorders>
            <w:gridSpan w:val="5"/>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1"/>
                <w:szCs w:val="11"/>
                <w:color w:val="auto"/>
              </w:rPr>
            </w:pPr>
          </w:p>
        </w:tc>
        <w:tc>
          <w:tcPr>
            <w:tcW w:w="1980" w:type="dxa"/>
            <w:vAlign w:val="bottom"/>
            <w:gridSpan w:val="3"/>
          </w:tcPr>
          <w:p>
            <w:pPr>
              <w:jc w:val="right"/>
              <w:ind w:right="397"/>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tcPr>
          <w:p>
            <w:pPr>
              <w:jc w:val="center"/>
              <w:ind w:right="240"/>
              <w:spacing w:after="0" w:line="48" w:lineRule="exact"/>
              <w:rPr>
                <w:sz w:val="20"/>
                <w:szCs w:val="20"/>
                <w:color w:val="auto"/>
              </w:rPr>
            </w:pPr>
            <w:r>
              <w:rPr>
                <w:rFonts w:ascii="Times New Roman" w:cs="Times New Roman" w:eastAsia="Times New Roman" w:hAnsi="Times New Roman"/>
                <w:sz w:val="5"/>
                <w:szCs w:val="5"/>
                <w:b w:val="1"/>
                <w:bCs w:val="1"/>
                <w:color w:val="auto"/>
              </w:rPr>
              <w:t>Paid-in-</w:t>
            </w:r>
          </w:p>
        </w:tc>
        <w:tc>
          <w:tcPr>
            <w:tcW w:w="140" w:type="dxa"/>
            <w:vAlign w:val="bottom"/>
          </w:tcPr>
          <w:p>
            <w:pPr>
              <w:spacing w:after="0"/>
              <w:rPr>
                <w:sz w:val="4"/>
                <w:szCs w:val="4"/>
                <w:color w:val="auto"/>
              </w:rPr>
            </w:pPr>
          </w:p>
        </w:tc>
        <w:tc>
          <w:tcPr>
            <w:tcW w:w="1040" w:type="dxa"/>
            <w:vAlign w:val="bottom"/>
            <w:gridSpan w:val="2"/>
          </w:tcPr>
          <w:p>
            <w:pPr>
              <w:ind w:left="40"/>
              <w:spacing w:after="0" w:line="48"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1300" w:type="dxa"/>
            <w:vAlign w:val="bottom"/>
            <w:gridSpan w:val="4"/>
          </w:tcPr>
          <w:p>
            <w:pPr>
              <w:ind w:left="20"/>
              <w:spacing w:after="0" w:line="48" w:lineRule="exact"/>
              <w:rPr>
                <w:sz w:val="20"/>
                <w:szCs w:val="20"/>
                <w:color w:val="auto"/>
              </w:rPr>
            </w:pPr>
            <w:r>
              <w:rPr>
                <w:rFonts w:ascii="Times New Roman" w:cs="Times New Roman" w:eastAsia="Times New Roman" w:hAnsi="Times New Roman"/>
                <w:sz w:val="5"/>
                <w:szCs w:val="5"/>
                <w:b w:val="1"/>
                <w:bCs w:val="1"/>
                <w:color w:val="auto"/>
              </w:rPr>
              <w:t>Accumulated other</w:t>
            </w:r>
          </w:p>
        </w:tc>
        <w:tc>
          <w:tcPr>
            <w:tcW w:w="980" w:type="dxa"/>
            <w:vAlign w:val="bottom"/>
          </w:tcPr>
          <w:p>
            <w:pPr>
              <w:jc w:val="center"/>
              <w:ind w:right="59"/>
              <w:spacing w:after="0" w:line="48"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1160" w:type="dxa"/>
            <w:vAlign w:val="bottom"/>
            <w:gridSpan w:val="2"/>
          </w:tcPr>
          <w:p>
            <w:pPr>
              <w:ind w:left="280"/>
              <w:spacing w:after="0" w:line="18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160" w:type="dxa"/>
            <w:vAlign w:val="bottom"/>
            <w:gridSpan w:val="2"/>
          </w:tcPr>
          <w:p>
            <w:pPr>
              <w:ind w:left="300"/>
              <w:spacing w:after="0" w:line="18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169"/>
        </w:trPr>
        <w:tc>
          <w:tcPr>
            <w:tcW w:w="186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88,434,754</w:t>
            </w: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39,225</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33,327,294</w:t>
            </w: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133,468</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(209,375)</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(75,907)</w:t>
            </w:r>
          </w:p>
        </w:tc>
        <w:tc>
          <w:tcPr>
            <w:tcW w:w="0" w:type="dxa"/>
            <w:vAlign w:val="bottom"/>
          </w:tcPr>
          <w:p>
            <w:pPr>
              <w:spacing w:after="0"/>
              <w:rPr>
                <w:sz w:val="1"/>
                <w:szCs w:val="1"/>
                <w:color w:val="auto"/>
              </w:rPr>
            </w:pPr>
          </w:p>
        </w:tc>
      </w:tr>
      <w:tr>
        <w:trPr>
          <w:trHeight w:val="122"/>
        </w:trPr>
        <w:tc>
          <w:tcPr>
            <w:tcW w:w="186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9"/>
              </w:rPr>
              <w:t>Issuance of common stock upon</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727,114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(220,561)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22"/>
        </w:trPr>
        <w:tc>
          <w:tcPr>
            <w:tcW w:w="186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of redeemable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360"/>
              <w:spacing w:after="0" w:line="131" w:lineRule="exact"/>
              <w:rPr>
                <w:sz w:val="20"/>
                <w:szCs w:val="20"/>
                <w:color w:val="auto"/>
              </w:rPr>
            </w:pPr>
            <w:r>
              <w:rPr>
                <w:rFonts w:ascii="Times New Roman" w:cs="Times New Roman" w:eastAsia="Times New Roman" w:hAnsi="Times New Roman"/>
                <w:sz w:val="13"/>
                <w:szCs w:val="13"/>
                <w:color w:val="auto"/>
              </w:rPr>
              <w:t>convertible preferred stock</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upon exercise of warrants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4,232,947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58,097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86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Conversion of redeemable</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360"/>
              <w:spacing w:after="0" w:line="131" w:lineRule="exact"/>
              <w:rPr>
                <w:sz w:val="20"/>
                <w:szCs w:val="20"/>
                <w:color w:val="auto"/>
              </w:rPr>
            </w:pPr>
            <w:r>
              <w:rPr>
                <w:rFonts w:ascii="Times New Roman" w:cs="Times New Roman" w:eastAsia="Times New Roman" w:hAnsi="Times New Roman"/>
                <w:sz w:val="13"/>
                <w:szCs w:val="13"/>
                <w:color w:val="auto"/>
                <w:w w:val="96"/>
              </w:rPr>
              <w:t>convertible preferred stock to</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(92,667,701)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(97,322)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92,667,701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97,334</w:t>
            </w:r>
          </w:p>
        </w:tc>
        <w:tc>
          <w:tcPr>
            <w:tcW w:w="0" w:type="dxa"/>
            <w:vAlign w:val="bottom"/>
          </w:tcPr>
          <w:p>
            <w:pPr>
              <w:spacing w:after="0"/>
              <w:rPr>
                <w:sz w:val="1"/>
                <w:szCs w:val="1"/>
                <w:color w:val="auto"/>
              </w:rPr>
            </w:pPr>
          </w:p>
        </w:tc>
      </w:tr>
      <w:tr>
        <w:trPr>
          <w:trHeight w:val="122"/>
        </w:trPr>
        <w:tc>
          <w:tcPr>
            <w:tcW w:w="186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9"/>
              </w:rPr>
              <w:t>Issuance of common stock upon</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360"/>
              <w:spacing w:after="0" w:line="131" w:lineRule="exact"/>
              <w:rPr>
                <w:sz w:val="20"/>
                <w:szCs w:val="20"/>
                <w:color w:val="auto"/>
              </w:rPr>
            </w:pPr>
            <w:r>
              <w:rPr>
                <w:rFonts w:ascii="Times New Roman" w:cs="Times New Roman" w:eastAsia="Times New Roman" w:hAnsi="Times New Roman"/>
                <w:sz w:val="13"/>
                <w:szCs w:val="13"/>
                <w:color w:val="auto"/>
              </w:rPr>
              <w:t>merger and private offering,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6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auto"/>
              </w:rPr>
              <w:t>net of acquired private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60" w:type="dxa"/>
            <w:vAlign w:val="bottom"/>
          </w:tcPr>
          <w:p>
            <w:pPr>
              <w:ind w:left="360"/>
              <w:spacing w:after="0" w:line="122" w:lineRule="exact"/>
              <w:rPr>
                <w:sz w:val="20"/>
                <w:szCs w:val="20"/>
                <w:color w:val="auto"/>
              </w:rPr>
            </w:pPr>
            <w:r>
              <w:rPr>
                <w:rFonts w:ascii="Times New Roman" w:cs="Times New Roman" w:eastAsia="Times New Roman" w:hAnsi="Times New Roman"/>
                <w:sz w:val="13"/>
                <w:szCs w:val="13"/>
                <w:color w:val="auto"/>
              </w:rPr>
              <w:t>placement warrants of</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$19,377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34,947,657</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272,061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272,064</w:t>
            </w:r>
          </w:p>
        </w:tc>
        <w:tc>
          <w:tcPr>
            <w:tcW w:w="0" w:type="dxa"/>
            <w:vAlign w:val="bottom"/>
          </w:tcPr>
          <w:p>
            <w:pPr>
              <w:spacing w:after="0"/>
              <w:rPr>
                <w:sz w:val="1"/>
                <w:szCs w:val="1"/>
                <w:color w:val="auto"/>
              </w:rPr>
            </w:pPr>
          </w:p>
        </w:tc>
      </w:tr>
      <w:tr>
        <w:trPr>
          <w:trHeight w:val="129"/>
        </w:trPr>
        <w:tc>
          <w:tcPr>
            <w:tcW w:w="186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Offering costs in connection</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 the merger</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(26,620)</w:t>
            </w:r>
          </w:p>
        </w:tc>
        <w:tc>
          <w:tcPr>
            <w:tcW w:w="0" w:type="dxa"/>
            <w:vAlign w:val="bottom"/>
          </w:tcPr>
          <w:p>
            <w:pPr>
              <w:spacing w:after="0"/>
              <w:rPr>
                <w:sz w:val="1"/>
                <w:szCs w:val="1"/>
                <w:color w:val="auto"/>
              </w:rPr>
            </w:pPr>
          </w:p>
        </w:tc>
      </w:tr>
      <w:tr>
        <w:trPr>
          <w:trHeight w:val="121"/>
        </w:trPr>
        <w:tc>
          <w:tcPr>
            <w:tcW w:w="186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9"/>
              </w:rPr>
              <w:t>Vesting of early exercised stock</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options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0" w:type="dxa"/>
            <w:vAlign w:val="bottom"/>
          </w:tcPr>
          <w:p>
            <w:pPr>
              <w:spacing w:after="0"/>
              <w:rPr>
                <w:sz w:val="1"/>
                <w:szCs w:val="1"/>
                <w:color w:val="auto"/>
              </w:rPr>
            </w:pPr>
          </w:p>
        </w:tc>
      </w:tr>
      <w:tr>
        <w:trPr>
          <w:trHeight w:val="170"/>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(20,957)</w:t>
            </w:r>
          </w:p>
        </w:tc>
        <w:tc>
          <w:tcPr>
            <w:tcW w:w="0" w:type="dxa"/>
            <w:vAlign w:val="bottom"/>
          </w:tcPr>
          <w:p>
            <w:pPr>
              <w:spacing w:after="0"/>
              <w:rPr>
                <w:sz w:val="1"/>
                <w:szCs w:val="1"/>
                <w:color w:val="auto"/>
              </w:rPr>
            </w:pPr>
          </w:p>
        </w:tc>
      </w:tr>
      <w:tr>
        <w:trPr>
          <w:trHeight w:val="175"/>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161,449,205</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482,071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(230,332)</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251,755</w:t>
            </w:r>
          </w:p>
        </w:tc>
        <w:tc>
          <w:tcPr>
            <w:tcW w:w="0" w:type="dxa"/>
            <w:vAlign w:val="bottom"/>
          </w:tcPr>
          <w:p>
            <w:pPr>
              <w:spacing w:after="0"/>
              <w:rPr>
                <w:sz w:val="1"/>
                <w:szCs w:val="1"/>
                <w:color w:val="auto"/>
              </w:rPr>
            </w:pPr>
          </w:p>
        </w:tc>
      </w:tr>
      <w:tr>
        <w:trPr>
          <w:trHeight w:val="122"/>
        </w:trPr>
        <w:tc>
          <w:tcPr>
            <w:tcW w:w="186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9"/>
              </w:rPr>
              <w:t>Vesting of early exercised stock</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options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6,154</w:t>
            </w:r>
          </w:p>
        </w:tc>
        <w:tc>
          <w:tcPr>
            <w:tcW w:w="0" w:type="dxa"/>
            <w:vAlign w:val="bottom"/>
          </w:tcPr>
          <w:p>
            <w:pPr>
              <w:spacing w:after="0"/>
              <w:rPr>
                <w:sz w:val="1"/>
                <w:szCs w:val="1"/>
                <w:color w:val="auto"/>
              </w:rPr>
            </w:pPr>
          </w:p>
        </w:tc>
      </w:tr>
      <w:tr>
        <w:trPr>
          <w:trHeight w:val="170"/>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(32,011)</w:t>
            </w:r>
          </w:p>
        </w:tc>
        <w:tc>
          <w:tcPr>
            <w:tcW w:w="0" w:type="dxa"/>
            <w:vAlign w:val="bottom"/>
          </w:tcPr>
          <w:p>
            <w:pPr>
              <w:spacing w:after="0"/>
              <w:rPr>
                <w:sz w:val="1"/>
                <w:szCs w:val="1"/>
                <w:color w:val="auto"/>
              </w:rPr>
            </w:pPr>
          </w:p>
        </w:tc>
      </w:tr>
      <w:tr>
        <w:trPr>
          <w:trHeight w:val="194"/>
        </w:trPr>
        <w:tc>
          <w:tcPr>
            <w:tcW w:w="1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161,449,205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488,329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226,002</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40" w:firstLine="8"/>
        <w:spacing w:after="0" w:line="262" w:lineRule="auto"/>
        <w:tabs>
          <w:tab w:leader="none" w:pos="178"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of the Company’s common and redeemable convertible preferred stock, prior to the Merger (as defined in Note 1), have been retroactively restated as shares reflecting the exchange ratio of approximately 0.703 established in the Merger as described in Note 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(52,968)</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11,410</w:t>
            </w:r>
          </w:p>
        </w:tc>
        <w:tc>
          <w:tcPr>
            <w:tcW w:w="0" w:type="dxa"/>
            <w:vAlign w:val="bottom"/>
          </w:tcPr>
          <w:p>
            <w:pPr>
              <w:spacing w:after="0"/>
              <w:rPr>
                <w:sz w:val="1"/>
                <w:szCs w:val="1"/>
                <w:color w:val="auto"/>
              </w:rPr>
            </w:pPr>
          </w:p>
        </w:tc>
      </w:tr>
      <w:tr>
        <w:trPr>
          <w:trHeight w:val="213"/>
        </w:trPr>
        <w:tc>
          <w:tcPr>
            <w:tcW w:w="8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 in right-of-use asset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8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 and debt discount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0" w:type="dxa"/>
            <w:vAlign w:val="bottom"/>
          </w:tcPr>
          <w:p>
            <w:pPr>
              <w:spacing w:after="0"/>
              <w:rPr>
                <w:sz w:val="1"/>
                <w:szCs w:val="1"/>
                <w:color w:val="auto"/>
              </w:rPr>
            </w:pPr>
          </w:p>
        </w:tc>
      </w:tr>
      <w:tr>
        <w:trPr>
          <w:trHeight w:val="213"/>
        </w:trPr>
        <w:tc>
          <w:tcPr>
            <w:tcW w:w="8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Inventory write down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from disposal of property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0" w:type="dxa"/>
            <w:vAlign w:val="bottom"/>
          </w:tcPr>
          <w:p>
            <w:pPr>
              <w:spacing w:after="0"/>
              <w:rPr>
                <w:sz w:val="1"/>
                <w:szCs w:val="1"/>
                <w:color w:val="auto"/>
              </w:rPr>
            </w:pPr>
          </w:p>
        </w:tc>
      </w:tr>
      <w:tr>
        <w:trPr>
          <w:trHeight w:val="213"/>
        </w:trPr>
        <w:tc>
          <w:tcPr>
            <w:tcW w:w="8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8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3"/>
        </w:trPr>
        <w:tc>
          <w:tcPr>
            <w:tcW w:w="87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1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w:t>
            </w:r>
          </w:p>
        </w:tc>
        <w:tc>
          <w:tcPr>
            <w:tcW w:w="0" w:type="dxa"/>
            <w:vAlign w:val="bottom"/>
          </w:tcPr>
          <w:p>
            <w:pPr>
              <w:spacing w:after="0"/>
              <w:rPr>
                <w:sz w:val="1"/>
                <w:szCs w:val="1"/>
                <w:color w:val="auto"/>
              </w:rPr>
            </w:pPr>
          </w:p>
        </w:tc>
      </w:tr>
      <w:tr>
        <w:trPr>
          <w:trHeight w:val="194"/>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property &amp; equipment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194"/>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merger and private offering</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291,454</w:t>
            </w:r>
          </w:p>
        </w:tc>
        <w:tc>
          <w:tcPr>
            <w:tcW w:w="0" w:type="dxa"/>
            <w:vAlign w:val="bottom"/>
          </w:tcPr>
          <w:p>
            <w:pPr>
              <w:spacing w:after="0"/>
              <w:rPr>
                <w:sz w:val="1"/>
                <w:szCs w:val="1"/>
                <w:color w:val="auto"/>
              </w:rPr>
            </w:pPr>
          </w:p>
        </w:tc>
      </w:tr>
      <w:tr>
        <w:trPr>
          <w:trHeight w:val="213"/>
        </w:trPr>
        <w:tc>
          <w:tcPr>
            <w:tcW w:w="8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of offering costs</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(27,124)</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of debt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213"/>
        </w:trPr>
        <w:tc>
          <w:tcPr>
            <w:tcW w:w="8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promissory notes to related parties</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of promissory notes to related parties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3"/>
        </w:trPr>
        <w:tc>
          <w:tcPr>
            <w:tcW w:w="8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13"/>
        </w:trPr>
        <w:tc>
          <w:tcPr>
            <w:tcW w:w="8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borrowings, net of debt discount and issuance costs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common stock under at-the-market offering, net of commissions and fees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At-the-market offering costs for the issuance of common stock</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paid related to net share settlement of restricted stock awards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257,791</w:t>
            </w:r>
          </w:p>
        </w:tc>
        <w:tc>
          <w:tcPr>
            <w:tcW w:w="0" w:type="dxa"/>
            <w:vAlign w:val="bottom"/>
          </w:tcPr>
          <w:p>
            <w:pPr>
              <w:spacing w:after="0"/>
              <w:rPr>
                <w:sz w:val="1"/>
                <w:szCs w:val="1"/>
                <w:color w:val="auto"/>
              </w:rPr>
            </w:pPr>
          </w:p>
        </w:tc>
      </w:tr>
      <w:tr>
        <w:trPr>
          <w:trHeight w:val="21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228,786</w:t>
            </w:r>
          </w:p>
        </w:tc>
        <w:tc>
          <w:tcPr>
            <w:tcW w:w="0" w:type="dxa"/>
            <w:vAlign w:val="bottom"/>
          </w:tcPr>
          <w:p>
            <w:pPr>
              <w:spacing w:after="0"/>
              <w:rPr>
                <w:sz w:val="1"/>
                <w:szCs w:val="1"/>
                <w:color w:val="auto"/>
              </w:rPr>
            </w:pP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0" w:type="dxa"/>
            <w:vAlign w:val="bottom"/>
          </w:tcPr>
          <w:p>
            <w:pPr>
              <w:spacing w:after="0"/>
              <w:rPr>
                <w:sz w:val="1"/>
                <w:szCs w:val="1"/>
                <w:color w:val="auto"/>
              </w:rPr>
            </w:pPr>
          </w:p>
        </w:tc>
      </w:tr>
      <w:tr>
        <w:trPr>
          <w:trHeight w:val="207"/>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161,772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241,428</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OPERATING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Private placement warrants acquired as part of the merger</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19,377</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Issuance of redeemable convertible preferred stock upon exercise of warrants</w:t>
            </w: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tcBorders>
              <w:top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58,097</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Conversion of redeemable convertible preferred stock to common stock</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97,322</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Ouster, Inc. was incorporated in the Cayman Islands on June 4, 2020 as “Colonnade Acquisition Corp”.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Colonnade Acquisition Corp.) and its consolidated subsidiaries following the consummation of the Merger.</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Colonnade Acquisition Corp. (“CLA”),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with the Company pursuant to an Agreement and Plan of Merger (the “Merger Agreement”) dated as of December 21, 2020, details of which are included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The functional currency for the Company is the United States dollar. All intercompany balances and transactions have been eliminated in consolidation.</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2021 and the notes related thereto, included in the Company’s Annual Report on Form 10-K filed with the Securities and Exchange Commission (“SEC”) on February 28, 2022.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2022 or for any other future years or interim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Ouster has been actively monitoring the COVID-19 pandemic on a global scale and continues to evaluate the long-term impacts on the business while keeping abreast of the latest developments, particularly the variants of the virus, to ensure preparedness for Ouster’s employees and its business. We maintain our commitment to protecting the health and safety of our employees and customers. We continue to adapt and enhance our safety protocols as we follow the guidance from local authorities. The full extent to which the COVID-19 pandemic will directly or indirectly impact the Company’s business, results of operations and financial condition, including sales, expenses, reserves and allowances, manufacturing, research and development costs and employee-related amounts, will depend on future events that are uncertain, including as a result of new information that continues to emerge concerning the virus, its variants, the deployment and effectiveness of vaccination roll-outs, vaccination hesitancy, therapeutics, and the actions taken to contain the virus or treat it, as well as the economic impact on local, regional, national and international customers and markets. Thus, the Company is not able to estimate the future consequences on its operations, its financial condition, or its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The Company has experienced recurring losses from operations, and negative cash flows from operations. As of June 30, 2022, the Company had an accumulated deficit of approximately $363.8 million. The Company has historically financed its operations primarily through the Merger and related transactions, the sale of convertible notes, equity securities, proceeds 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and its ability to raise more capital. In the event that the Company does not generate sufficient cash flows from operations and is unable to obtain funding, the Company will be forced to delay, reduce, or eliminate some or all of its discretionary spending, which could adversely affect the Company’s business prospects, ability to meet long-term liquidity needs or ability to continue operations. The Company has concluded that its cash and cash equivalents as of June 30, 2022 will be sufficient for the Company to continue as a going concern for at least one year from the date these unaudited condensed consolidated financial statements are available for issuance.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Colonnade Acquisition Corp. and Beam Merger Sub, Inc.</w:t>
      </w:r>
    </w:p>
    <w:p>
      <w:pPr>
        <w:spacing w:after="0" w:line="175"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On December 21, 2020, OTI entered into the Merger Agreement with CLA and Beam Merger Sub, Inc. (“Merger Sub”), a Delaware corporation and subsidiary of CLA. OTI’s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“Merger”), with OTI surviving the Merger.</w:t>
      </w:r>
    </w:p>
    <w:p>
      <w:pPr>
        <w:spacing w:after="0" w:line="129"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As a result of the Merger, among other things, (1) each of the then issued and outstanding 5,000,000 CLA Class B ordinary shares, par value $0.0001 per share, of CLA (the “CLA Class B ordinary shares”) converted automatically, on a one-for-one basis, into a CLA Class A ordinary share (as defined below),</w:t>
      </w:r>
    </w:p>
    <w:p>
      <w:pPr>
        <w:spacing w:after="0" w:line="1" w:lineRule="exact"/>
        <w:rPr>
          <w:sz w:val="20"/>
          <w:szCs w:val="20"/>
          <w:color w:val="auto"/>
        </w:rPr>
      </w:pPr>
    </w:p>
    <w:p>
      <w:pPr>
        <w:ind w:firstLine="8"/>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2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Merger, the Company received gross proceeds of $299.9 million from the Merger and private offering, offset by $8.5 million of pre-merger costs relating to CLA and offerings costs of $26.6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under US GAAP.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 of directors of the Company after the Merger, OTI’s operations prior to the Merger comprising the only ongoing operations of the Company following the Merger, and OTI’s senior management prior to the Merger comprising a majority of the senior management of the Company following the Merger.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 Transactions and balances prior to the Merger are those of OTI. The shares and net loss per share available to holders of OTI’s common stock prior to the Merger have been retroactively restated as shares reflecting the exchange ratio established in the Merger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Issuance Sales Agreement</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April 29, 2022, the Company entered into an At Market Issuance Sales Agreement (the “ATM Agreement”) with B. Riley Securities, Inc., Cantor Fitzgerald &amp; Co. and Oppenheimer &amp; Co. Inc., pursuant to which the Company may offer and sell, from time to time, through or to the agents, acting as agent or principal, shares of the Company’s common stock having an aggregate offering price of up to $150 million under the Company’s Form S-3 registration statement. From the date of the ATM Agreement through June 30, 2022, the Company sold 6,749,344 shares at a weighted-average sales price of $2.16 per share, resulting in cumulative gross proceeds to the Company totaling approximately $15.0 million before deducting offering expenses and sales commissions. Cumulative net proceeds to the Company totaled approximately $14.0 million after deducting commissions and offering expenses. The remaining availability under the ATM Agreement as of June 30, 2022 is approximately $135.0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April 29, 2022, the Company entered into a loan and security agreement (the “Loan Agreement”) with Hercules. The Loan Agreement provides with the term loan of up to $50.0 million, subject to terms and conditions. The Company borrowed the first initial tranche of $20.0 million on April 29, 2022. The Company may borrow an additional $20.0 million on or before March 15, 2023, subject satisfying certain conditions. An additional $10.0 million may be drawn on or before June 15, 2023, subject to satisfying certain conditions relating to the achievement of trailing twelve month revenue and profit milestones.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5,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there were no significant changes to the Company’s significant accounting policies as disclosed in the Company’s Annual Report on Form 10-K filed with the SEC on February 28, 2022, except for the changes described below. The Company has consistently applied the accounting policies to all periods presented in these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Debt Financing Costs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Financing costs incurred in connection with a loan and security agreement with Hercules Capital, Inc. (“Hercules”) are deferred and amortized using the effective interest rate method over the life of the respective agreement. Any discount or premium on the issuance of any debt is amortized using the effective interest method over the life of the respective debt security.</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presents deferred debt financing costs on the balance sheet as a contra-liability as a direct deduction from the carrying amount of that debt liability, consistent with debt discounts.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No. 2020-06, Debt - Debt with Conversion and Other Options (Subtopic 470-20) and Derivatives and Hedging - Contracts in Entity’s Own Equity (Subtopic 815-40): Accounting for Convertible Instruments and Contracts in an Entity’s Own Equity (“ASU 2020-06). ASU 2020-06 simplifies the accounting for convertible debt and convertible preferred stock by removing the requirements to separately present certain conversion features in equity. In addition, the amendments in the ASU also simplify the guidance in ASC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new standard became effective for the Company for annual periods beginning December 15, 2021. The Company adopted this ASU as of January 1, 2022 using a modified retrospective method of transition, which did not have an impact on its condensed consolidated financial statements and related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referenced below were assessed and determined to be either not applicable or are not expected to have a material impact on the Company’s consolidated financial statements.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amends ASC 805 to add contract 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The amendments in this ASU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including adoption in an interim period. The Company is currently evaluating the impact of the adoption of this ASU on the Company’s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primarily of cash, cash equivalents, restricted cash, and accounts receivable. Cash, cash equivalents, and restricted cash are deposited with federally insured commercial banks in the United States; and at times, cash balances may be in excess of federal insurance limits. The Company generally does not require collateral or other security deposits for accounts receivable.</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the Company’s major customers representing 10% or more of total accounts receivable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1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7" w:lineRule="exact"/>
        <w:rPr>
          <w:sz w:val="20"/>
          <w:szCs w:val="20"/>
          <w:color w:val="auto"/>
        </w:rPr>
      </w:pPr>
    </w:p>
    <w:p>
      <w:pPr>
        <w:ind w:left="5540" w:right="5300" w:hanging="5532"/>
        <w:spacing w:after="0" w:line="641" w:lineRule="auto"/>
        <w:tabs>
          <w:tab w:leader="none" w:pos="14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accounted for less than 10% of total accounts receivable in the period.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the Company’s major customers representing 10% or more of total revenue was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5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240" w:type="dxa"/>
            <w:vAlign w:val="bottom"/>
            <w:gridSpan w:val="2"/>
          </w:tcPr>
          <w:p>
            <w:pPr>
              <w:spacing w:after="0"/>
              <w:rPr>
                <w:sz w:val="2"/>
                <w:szCs w:val="2"/>
                <w:color w:val="auto"/>
              </w:rPr>
            </w:pPr>
          </w:p>
        </w:tc>
        <w:tc>
          <w:tcPr>
            <w:tcW w:w="152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10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0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Customer accounted for less than 10% of total revenue in the period.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Supplier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from the Company’s major suppliers representing 10% or more of total purchases were as follows: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6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920" w:type="dxa"/>
            <w:vAlign w:val="bottom"/>
            <w:gridSpan w:val="2"/>
          </w:tcPr>
          <w:p>
            <w:pPr>
              <w:spacing w:after="0"/>
              <w:rPr>
                <w:sz w:val="2"/>
                <w:szCs w:val="2"/>
                <w:color w:val="auto"/>
              </w:rPr>
            </w:pPr>
          </w:p>
        </w:tc>
        <w:tc>
          <w:tcPr>
            <w:tcW w:w="160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4920" w:type="dxa"/>
            <w:vAlign w:val="bottom"/>
          </w:tcPr>
          <w:p>
            <w:pPr>
              <w:spacing w:after="0"/>
              <w:rPr>
                <w:sz w:val="16"/>
                <w:szCs w:val="16"/>
                <w:color w:val="auto"/>
              </w:rPr>
            </w:pPr>
          </w:p>
        </w:tc>
        <w:tc>
          <w:tcPr>
            <w:tcW w:w="100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Supplier A</w:t>
            </w: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B</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Supplier accounted for less than 10% of total purchases in the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B accounted for 75% and 55% of total accounts payable balance as of June 30, 2022 and December 31,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980" w:hanging="56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980" w:right="360" w:hanging="567"/>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8"/>
          <w:szCs w:val="18"/>
          <w:color w:val="auto"/>
        </w:rPr>
      </w:pPr>
    </w:p>
    <w:p>
      <w:pPr>
        <w:ind w:left="980" w:hanging="56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Instruments whose significant value drivers are unobservable.</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Company’s Level 3 liabilities consisted of the Private Placement warrant liability. The determination of the fair value of warrant liability is discussed in Note 6.</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by level for the Company’s assets and liabilities that were measured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156,851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156,851</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177,513</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7,626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 are included within Level 1 of the fair value hierarchy because they are valued using quoted market prices.</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fair value of the redeemable convertible preferred stock warrant, redeemable convertible preferred stock tranche and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Company’s Level 3 financial instruments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80" w:type="dxa"/>
            <w:vAlign w:val="bottom"/>
          </w:tcPr>
          <w:p>
            <w:pPr>
              <w:spacing w:after="0"/>
              <w:rPr>
                <w:sz w:val="10"/>
                <w:szCs w:val="10"/>
                <w:color w:val="auto"/>
              </w:rPr>
            </w:pPr>
          </w:p>
        </w:tc>
        <w:tc>
          <w:tcPr>
            <w:tcW w:w="126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Private Placement</w:t>
            </w:r>
          </w:p>
        </w:tc>
        <w:tc>
          <w:tcPr>
            <w:tcW w:w="0" w:type="dxa"/>
            <w:vAlign w:val="bottom"/>
          </w:tcPr>
          <w:p>
            <w:pPr>
              <w:spacing w:after="0"/>
              <w:rPr>
                <w:sz w:val="1"/>
                <w:szCs w:val="1"/>
                <w:color w:val="auto"/>
              </w:rPr>
            </w:pPr>
          </w:p>
        </w:tc>
      </w:tr>
      <w:tr>
        <w:trPr>
          <w:trHeight w:val="122"/>
        </w:trPr>
        <w:tc>
          <w:tcPr>
            <w:tcW w:w="8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Warrant Liability</w:t>
            </w:r>
          </w:p>
        </w:tc>
        <w:tc>
          <w:tcPr>
            <w:tcW w:w="180" w:type="dxa"/>
            <w:vAlign w:val="bottom"/>
          </w:tcPr>
          <w:p>
            <w:pPr>
              <w:spacing w:after="0"/>
              <w:rPr>
                <w:sz w:val="15"/>
                <w:szCs w:val="15"/>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w w:val="99"/>
              </w:rPr>
              <w:t>Warrant Liability</w:t>
            </w:r>
          </w:p>
        </w:tc>
        <w:tc>
          <w:tcPr>
            <w:tcW w:w="0" w:type="dxa"/>
            <w:vAlign w:val="bottom"/>
          </w:tcPr>
          <w:p>
            <w:pPr>
              <w:spacing w:after="0"/>
              <w:rPr>
                <w:sz w:val="1"/>
                <w:szCs w:val="1"/>
                <w:color w:val="auto"/>
              </w:rPr>
            </w:pP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the fair value included in other income (expense), net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48"/>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June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placement warrant liability acquired as part of the merger</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the fair value included in other income (expense),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Issuance of preferred stock upon exercise of warrants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that are not re-measured at fair value include accounts receivable, accounts payable, accrued and other current liabilities and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these financial instruments approximate their fair values.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and cash equivalents consist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177,513</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159,707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182,644</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Company maintains a cash sweep account, which is included in money market funds as of June 30, 2022. Cash is invested in the short-term money market funds that earns interest.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Restricted cash consists of certificates of deposit held by a bank as security for outstanding letters of credit. The Company had a restricted cash balance of $2.1 million and $2.0 million as of June 30, 2022 and December 31, 2021, respectively, which has been excluded from the Company’s cash and cash equivalents balances. The Company presented $1.0 million of the total amount of restricted cash within current assets on the condensed consolidated balance sheets as of June 30, 2022 and December 31, 2021. The remaining restricted cash balance of $1.1 million and $1.0 million is included in non-current assets on the condensed consolidated balance sheets as of June 30, 2022 and December 31, 2021, respectively.</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and restricted cash as shown in the condensed consolidated statement of cash flows to the respective accounts within the condensed consolidated balance sheet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1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240,148</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161,772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241,428</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material, direct and indirect labor, and manufacturing overhead,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inventory balance as of June 30, 2022 and December 31, 2021 includes a write down of 1.9 million and $1.7 million, respectively, for obsolete, scrap, or returned inventory. During the three months ended June 30, 2022 and 2021, $0.2 million and $0.1 million of inventory write offs were charged to cost of revenue. During the six months ended June 30, 2022 and 2021, respectively, $0.4 million and $0.1 million of inventory write offs were charged to cost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28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contract manufacturer</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4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4360" w:type="dxa"/>
            <w:vAlign w:val="bottom"/>
          </w:tcPr>
          <w:p>
            <w:pPr>
              <w:jc w:val="center"/>
              <w:ind w:left="935"/>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92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jc w:val="center"/>
              <w:ind w:left="935"/>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360" w:type="dxa"/>
            <w:vAlign w:val="bottom"/>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360" w:type="dxa"/>
            <w:vAlign w:val="bottom"/>
          </w:tcPr>
          <w:p>
            <w:pPr>
              <w:jc w:val="center"/>
              <w:ind w:left="955"/>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vehicle hardware</w:t>
            </w:r>
          </w:p>
        </w:tc>
        <w:tc>
          <w:tcPr>
            <w:tcW w:w="4360" w:type="dxa"/>
            <w:vAlign w:val="bottom"/>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88"/>
              </w:rPr>
              <w:t>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360" w:type="dxa"/>
            <w:vAlign w:val="bottom"/>
          </w:tcPr>
          <w:p>
            <w:pPr>
              <w:jc w:val="center"/>
              <w:ind w:left="955"/>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60" w:type="dxa"/>
            <w:vAlign w:val="bottom"/>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360" w:type="dxa"/>
            <w:vAlign w:val="bottom"/>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rPr>
              <w:t>Shorter of useful life or lease term</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w:t>
            </w:r>
          </w:p>
        </w:tc>
      </w:tr>
      <w:tr>
        <w:trPr>
          <w:trHeight w:val="223"/>
        </w:trPr>
        <w:tc>
          <w:tcPr>
            <w:tcW w:w="39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3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r>
      <w:tr>
        <w:trPr>
          <w:trHeight w:val="223"/>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3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w:t>
            </w:r>
          </w:p>
        </w:tc>
      </w:tr>
      <w:tr>
        <w:trPr>
          <w:trHeight w:val="21"/>
        </w:trPr>
        <w:tc>
          <w:tcPr>
            <w:tcW w:w="3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was $2.5 million and $2.3 million in the six months ended June 30,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 Net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completed the acquisition of Sense Photonics Inc. (“Sense”), a privately held lidar technology company for autonomous vehicles. The transaction has been accounted for as a business combination. The Company purchased all of the outstanding shares of the capital stock of Sense and settled all Sense debt for total consideration of $72.8 million. Goodwill represents the excess of the purchase price over the fair value of the identifiable assets and assumed liabilities acquired and is primarily attributable to the assembled workforce and expected synergies at the time of the acquisition. Goodwill is not deductible for tax purposes.</w:t>
      </w:r>
    </w:p>
    <w:p>
      <w:pPr>
        <w:spacing w:after="0" w:line="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Measurement period adjustments recognized during 2022 related primarily to updated estimated fair values for assumed employer withholding tax liabilities, royalty liability and a net working capital adjustment. A reconciliation of preliminary total consideration as of December 31, 2021, and total consideration as of June 30, 2022, are presented below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40" w:type="dxa"/>
            <w:vAlign w:val="bottom"/>
          </w:tcPr>
          <w:p>
            <w:pPr>
              <w:spacing w:after="0"/>
              <w:rPr>
                <w:sz w:val="13"/>
                <w:szCs w:val="13"/>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Adjusted Value</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 issued at closing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vested replacement equity awards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at closing to settle Sense pre-existing debt and transaction costs incurred by Sense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0" w:type="dxa"/>
            <w:vAlign w:val="bottom"/>
          </w:tcPr>
          <w:p>
            <w:pPr>
              <w:spacing w:after="0"/>
              <w:rPr>
                <w:sz w:val="1"/>
                <w:szCs w:val="1"/>
                <w:color w:val="auto"/>
              </w:rPr>
            </w:pP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consideration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40" w:type="dxa"/>
            <w:vAlign w:val="bottom"/>
          </w:tcPr>
          <w:p>
            <w:pPr>
              <w:spacing w:after="0"/>
              <w:rPr>
                <w:sz w:val="13"/>
                <w:szCs w:val="13"/>
                <w:color w:val="auto"/>
              </w:rPr>
            </w:pPr>
          </w:p>
        </w:tc>
        <w:tc>
          <w:tcPr>
            <w:tcW w:w="13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Adjusted Value</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2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7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51,152</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2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80" w:type="dxa"/>
            <w:vAlign w:val="bottom"/>
            <w:vMerge w:val="continue"/>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7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7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7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7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7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27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72,450</w:t>
            </w: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tables present acquired intangible assets, net as of June 30, 2022 and December 31, 2021 (in thousands):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2780" w:type="dxa"/>
            <w:vAlign w:val="bottom"/>
            <w:vMerge w:val="restart"/>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3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780" w:type="dxa"/>
            <w:vAlign w:val="bottom"/>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780" w:type="dxa"/>
            <w:vAlign w:val="bottom"/>
            <w:tcBorders>
              <w:top w:val="single" w:sz="8" w:color="CCEEFF"/>
            </w:tcBorders>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278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78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3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2780" w:type="dxa"/>
            <w:vAlign w:val="bottom"/>
            <w:vMerge w:val="restart"/>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3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2780" w:type="dxa"/>
            <w:vAlign w:val="bottom"/>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780" w:type="dxa"/>
            <w:vAlign w:val="bottom"/>
            <w:tcBorders>
              <w:top w:val="single" w:sz="8" w:color="CCEEFF"/>
            </w:tcBorders>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278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78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$2.2 million in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2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(the remainder of 2022)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Uninvoiced receipts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Runway Growth Loan Agreement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was no longer attainable or ceased to fairly reflect the costs of the lender, in which case the applicable interest rate would have been Prime Rate plus 6.0%. In an event of default, annual interest would have been increased by 5.0% above the otherwise applicable rate.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conjunction with the Runway Loan and Security Agreement, OTI issued a warrant to purchase 35,348 shares of Series A redeemable convertible preferred stock (the “Series A Preferred Stock”) of OTI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OTI amended the warrant issued to Runway Growth to increase the number of shares available to purchase to 53,023 shares of Series A Preferred Stock of OTI. The aggregate value of the warrants increased by $0.1 million after the warrant modification.</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warrants were exercised on March 11, 2021 and the warrant liability was remeasured to fair value with the increase recognized as a loss of $0.6 million for the three months ended March 31, 2021 within other income (expense), net in the consolidated statements of operations and comprehensive loss. The warrant liability was remeasured to fair value as of March 31, 2021 and the reduction was recognized as a gain of $0.2 million.</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June 30, 2022 and December 31, 2021, the outstanding principal balance of the loan was nil,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issued a $5 million promissory note in January 2021 to certain current investors of the Company (or their respective affiliates) to help continue to fund the Company’s ongoing operations through the consummation of the Merger. The note accrued interest at a rate equal to LIBOR plus 8.5% per annum and was repaid on March 11, 2021 in accordance with its terms in connection with the consummation of the Merger.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29, 2022, the Company entered into the Loan Agreement with Hercules. The Loan Agreement provides with the term loan of up to $50.0 million, subject to terms and conditions. The Company borrowed the first initial tranche of $20.0 million on April 29, 2022. The Company may borrow an additional $20.0 million on or before March 15, 2023, subject satisfying certain conditions. An additional $10.0 million may be drawn on or before June 15, 2023, subject to satisfying certain conditions relating to the achievement of trailing twelve-month revenue and profit milestones.</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Advances under the Loan Agreement bear interest at the rate of interest equal to greater of either (i) (x) the prime rate as reported in The Wall Street Journal plus (y) 6.15%, and (ii) 9.40%, subject to compliance with financial covenants and other conditions. The Loan Agreement includes covenants, limitations, and events of default customary for similar facilities. The Loan Agreement matures on May 1, 2026.</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on amounts borrowed under the Loan Agreement is payable on a monthly basis until June 1, 2025. After June 1, 2025, payments consist of equal monthly installments of principal and interest payable until the secured obligations are repaid in full. However, if the Company achieves certain equity proceeds, revenue or profit targets for the twelve-month period ending December 31, 2023, then the interest-only payments will continue and the Company will be obligated to repay the aggregate principal amount on May 1, 2026. The entire principal balance and all accrued but unpaid interest shall be due and payable on May 1, 2026. On the earliest to occur of May 1, 2026, the date on which the obligations under the Loan Agreement are paid and the date on which such obligations become due and payable, the Company is also required to pay Hercules an end of term charge from $1.5 million to $3.7 million, depending on the amount borrowed.</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is 14.3% after giving effect to the debt discount, debt issuance costs and the end of term charge. Amortization expense included in the interest expense related to debt discount and debt issuance costs of the Loan Agreement was not material for the three and six months ended June 30, 2022.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may prepay the principal of any advance made pursuant to the terms of the Term Loan Facility at any time subject to a prepayment charge equal to: 2.50%, if such advance is prepaid in any of the first 12 months following the Closing Date, 1.50%, if such advance is prepaid after 12 months but prior to 24 months following the Closing Date, and 1.0%, if such advance is prepaid anytime thereafter.</w:t>
      </w:r>
    </w:p>
    <w:p>
      <w:pPr>
        <w:spacing w:after="0" w:line="20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If the Company failed to maintain an unrestricted cash balance of $60.0 million, it would then be subject to a financial covenant that requires the Company to achieve certain trailing twelve-month revenue targets tested quarterly as set forth in the Loan Agreement and commencing with the quarter ending on June 30, 2023. All obligations under the Loan Agreement are unconditionally guaranteed by the Company’s subsidiary Sense Photonics, Inc. The Term Loan Facility is secured by substantially all of the Company’s and the guarantors’ existing and after-acquired assets, including all intellectual property, all securities in existing and future domestic subsidiaries and 65.0% of the securities in foreign subsidiaries, subject to certain exceptions and exclusions.</w:t>
      </w:r>
    </w:p>
    <w:p>
      <w:pPr>
        <w:spacing w:after="0" w:line="19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for transactions of this type and other covenants agreed to by the parties, including, among others, (i) the provision of annual, quarterly and monthly financial statements, management rights and insurance policies and (ii) restrictions on incurring debt, granting liens, making acquisitions, making loans, paying dividends, dissolving, and entering into leases and asset sales. The Loan Agreement also provides for customary events of default, including, among others, payment, bankruptcy, covenant, representation and warranty, change of control, judgment and material adverse effect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outstanding is summarized below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9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19,119</w:t>
            </w:r>
          </w:p>
        </w:tc>
      </w:tr>
      <w:tr>
        <w:trPr>
          <w:trHeight w:val="20"/>
        </w:trPr>
        <w:tc>
          <w:tcPr>
            <w:tcW w:w="9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unamortized debt discount and debt issuance costs are amortized to interest expense over the life of the instrument using the effective interest rate method.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and B Redeemable Convertible Preferred Stock Warrants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27, 2018, in connection with the execution of the Runway Loan and Security Agreement, OTI issued a warrant to purchase 35,348 shares of Series A Preferred Stock of OTI at an exercise price of $11.3518 per share (the “Runway warrant”). On August 5, 2019, in connection with the second amendment to the Runway Loan and Security Agreement, OTI amended the Runway warrant to increase the number of shares available to purchase to 53,023 shares of Series A Preferred Stock of OTI at an exercise price of $11.3518 per share.</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Runway warrants included a cashless exercise provision under which their holders could, in lieu of payment of the exercise price in cash, surrender the Runway warrant and receive a net amount of shares based on the fair market value of OTI’s stock at the time of exercise of the warrants after deduction of the aggregate exercise price. The Runway warrants contained provisions for adjustment of the exercise price and number of shares issuable upon the exercise of the Runway warrants in the event of certain stock dividends, stock splits, reorganizations, reclassifications, and consolidations.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 warrants issued was recorded as of the date of initial issuance in the amount of $0.1 million. The subsequent issuance of warrants pursuant to the August 5, 2019 amendment to the Runway Loan and Security Agreement was recorded in the amount of $0.1 million. Immediately prior to the Merger, the warrants were exercised in full in accordance with their terms.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April 3, 2020, in connection with the closing of the Series B redeemable convertible preferred stock, OTI issued a warrant to purchase 4,513,993 shares of Series B redeemable convertible preferred stock of the Company at an exercise price of $0.3323 per share (the “Series B warrants”). The Series B warrants could be exercised prior to the earliest to occur of (i) the 10-year anniversary of the date of issuance, (ii) the consummation of a liquidation transaction, or (iii) the consummation of an initial public offering. The Series B warrants included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the Series B warrants in the event of certain stock dividends, stock splits, reorganizations, reclassifications, and consolidations.</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Series B warrants were initially recognized as a liability at a fair value of $0.7 million. The Series B warrants were exercised on February 11, 2021 and the warrant liability was remeasured to fair value as of that date, resulting in a loss of $8.3 million for the six months ended June 30, 2021, classified within other income (expense), net in the consolidated statements of operations and comprehensive loss. Upon exercise, redeemable convertible preferred stock converted into common stock pursuant to the conversion rate effective immediately prior to the Merger.</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Historically, value was assigned to each class of equity securities using an option pricing model method (“OPM”). In September 2020, OTI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OTI, assuming various outcomes. As the probability of a transaction with a special purpose acquisition company (“SPAC”) increased, the fair value of the redeemable convertible preferred stock warrant liability increased as of the date of the exercise.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redeemable convertible preferred stock warrants were valued using the following assumptions under the Black-Scholes option-pricing model: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Initial Issuance</w:t>
            </w: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Subsequent</w:t>
            </w: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11,</w:t>
            </w:r>
          </w:p>
        </w:tc>
        <w:tc>
          <w:tcPr>
            <w:tcW w:w="260" w:type="dxa"/>
            <w:vAlign w:val="bottom"/>
          </w:tcPr>
          <w:p>
            <w:pPr>
              <w:spacing w:after="0"/>
              <w:rPr>
                <w:sz w:val="13"/>
                <w:szCs w:val="13"/>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11,</w:t>
            </w:r>
          </w:p>
        </w:tc>
      </w:tr>
      <w:tr>
        <w:trPr>
          <w:trHeight w:val="195"/>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8.44</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76.00 %</w:t>
            </w: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became exercisable 12 months following the closing of the Company’s IPO, and will expire five years from the completion of the Merger, or earlier upon redemption or liquidation. On March 11, 2021, each outstanding Private Placement warrant automatically converted into a warrant to purchase one share of Ouster common stock pursuant to the Warrant Agreement, at an exercise price of $11.50 per share.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private placement warrant liability was remeasured to fair value as of June 30, 2022, resulting in a gain of $5.4 million and $7.1 million for the three and six months ended June 30, 2022, respectively, classified within other income (expense), net in the condensed consolidated statements of operations and comprehensive loss. The private placement warrant liability was remeasured to fair value as of June 30, 2021 resulting in a loss of $10.7 million and $6.1 million for the three and six months ended June 30, 2021, respectively, classified within other income (expense), net in the condensed consolidated statements of operations and comprehensive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Black-Scholes option-pricing model:</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3"/>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of warrant</w:t>
            </w:r>
          </w:p>
        </w:tc>
        <w:tc>
          <w:tcPr>
            <w:tcW w:w="24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57.00 %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57.98 %</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CLA, in its IPO in August 2020, issued 20,000,000 units that each consisted of one Class A ordinary share and one-half warrant to purchase a Class A ordinary share, which the Company refers to as CLA warrants before the Merger and Public warrants after the Merger. These warrants may only be exercised for a whole number of shares, and no fractional warrants were issued or issuable upon separation of the units and only whole warrants will trade. The warrants became exercisable 12 months following the closing of the Company’s IPO, and will expire five years from the completion of the Merger, or earlier upon redemption or liquidation. Each Public warrant is exercisable at a price of $11.50 per share. On March 11, 2021, upon the closing of the Merger pursuant to the Merger Agreement (Note 1), each of the 9,999,996 outstanding warrants, as adjusted for any fractional warrants that were not issued upon separation, was converted automatically into a redeemable Public warrant to purchase one share of the Company’s common stock. The Public warrants were recognized as equity upon the Merger in the amount of $17.9 million.</w:t>
      </w:r>
    </w:p>
    <w:p>
      <w:pPr>
        <w:spacing w:after="0" w:line="2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Prior to their expiration, the Company may redeem the Public warrants at a price of $0.01 per warrant, provided that the closing price of the Company’s common stock equals or exceeds $18.00 per share for any 20 trading days within a 30 trading-day period ending on the third trading day prior to the date on which the Company gives proper notice of such redemption to the warrants holders.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350 Treat Building lease, the 2741 16th Street lease and Paris office lease agreements,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June 30, 2022 and December 31, 2021. The outstanding amount of the letters of credit was $2.1 million and $2.0 million as of June 30, 2022 and December 31,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Commitments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non-cancelable purchase commitments to a third-party contract manufacturer for approximately $23.1 million and other vendors for approximately $6.3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legal proceedings arising in the ordinary course of business. The Company accrues a liability when a loss is considered probable and the amount can be reasonably estimated. Legal fees are expensed as incurred. The Company has identified certain claims as a result of which a loss may be incurred, but in the aggregate any loss is expected to be immaterial. This assessment is based on our current understanding of relevant facts and circumstances. As such, our view of these matters is subject to inherent uncertainties and may change in the future. Significant judgment is required in both the determination of probability and the determination as to whether an exposure is reasonably estimable. Actual outcomes of these legal and regulatory proceedings may materially differ from our current estimates.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made no accruals with respect to the following:</w:t>
      </w:r>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June 10, 2021, the Company received a letter from the SEC notifying us of an investigation and document subpoena. The subpoena seeks documents regarding projected financial information in CLA’s Form S-4 registration statement filed on December 22, 2020. The Company has complied with the SEC’s requests to date; however, the SEC may request additional documents or information.</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14, 2022, Velodyne Lidar USA, Inc. (“Velodyne”) filed a lawsuit against the Company relating to two patents and requested an International Trade Commission proceeding with respect to the same two patents. On July 8, 2022, the Company filed a complaint against Velodyne, alleging multiple claims including intellectual property misappropriation and false advertising.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set forth above, as of June 30, 2022 and December 31, 2021 there were no material litigation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has never incurred costs to defend lawsuits or settle claims related to these indemnity agreements. The unaudited condensed consolidated financial statements do not include a liability for any potential obligations under the indemnification agreements at June 30, 2022 and December 31, 2021.</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Redeemable Convertible Preferred and Common Stock</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common stock and warrants trade on the New York Stock Exchange under the symbol “OUST” and “OUSTWS”, respectively. Pursuant to the terms of the Second Amended and Restated Certificate of Incorporation, the Company is authorized and has available for issuance the following shares and classes of capital stock, each with a par value of $0.0001 per share: (i) 1,000,000,000 shares of common stock; (ii) 100,000,000 shares of preferred stock. Immediately following the Merger, there were 161,449,205 shares of common stock with a par value of $0.0001, and 15,999,996 warrants outstanding. The holder of each share of common stock is entitled to one vote.</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has retroactively adjusted the shares issued and outstanding prior to March 11, 2021 to give effect to the exchange ratio established in the Merger Agreement to determine the number of shares of common stock into which they were converted.</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Immediately prior to the Merger, OTI’s certificate of incorporation, as amended, authorized it to issue 342,367,887 shares of $0.00001 par value, with 210,956,516 shares designated as common stock and 131,411,372 shares of redeemable convertible preferred stock.</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 As of June 30, 2022 and December 31, 2021, the Company does not have any redeemable convertible preferred stock outstanding.</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29, 2022, the Company entered into an At-Market-Issuance Sales Agreement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From the date of the ATM Agreement through June 30, 2022, the Company sold 6,749,344 shares at a weighted-average sales price of $2.16 per share, resulting in cumulative gross proceeds to the Company totaling approximately $15.0 million before deducting offering expenses and sales commissions. Cumulative net proceeds to the Company totaled approximately $14.0 million after deducting commissions and offering expenses. The Company plans to use the net proceeds from this offering for working capital and general corporate purposes. The remaining availability under the ATM Agreement as of June 30, 2022 is approximately $135.0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has four equity incentive plans, the 2015 Stock Plan (the “2015 Plan”), the Sense 2017 Equity Incentive Plan (the “Sense Plan”), the 2021 Incentive Award Plan (the “2021 Plan”) and 2022 Employee Stock Purchase Plan (the “2022 ESPP” and, collectively with the 2015 Plan, the Sense Plan and the 2021 Plan, together the “Plans”).</w:t>
      </w:r>
    </w:p>
    <w:p>
      <w:pPr>
        <w:spacing w:after="0" w:line="20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Plans provide for the grant of stock options, stock appreciation rights, restricted stock awards (“RSA”), restricted stock units (“RSUs”), performance stock unit awards and other forms of equity compensation (collectively, “equity awards”). In addition, the 2021 Plan provides for the grant of performance bonus awards. All awards within the Plans may be granted to employees, including officers, as well as directors and consultants, within the limits defined in the Plans. As of June 30, 2022, no awards were granted under the 2022 ESPP.</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12, 2020, the Company issued $1.1 million partial recourse promissory notes to certain executives and employees. The promissory notes carried 0.38% annual cash interest and were due on the earliest of 9th anniversary of the date of issuance of the notes, or termination of employment of the executive/employee, or filing by the Company of a registration statement under the Securities Act of 1933, or promissory notes being prohibited under Section 13(k) of the Securities Exchange Act of 1934 or closing of change a in control of the Company. At issuance, the promissory notes were used to settle certain executives’ and employees’ obligations for 2,883,672 vested and 4,603,833 unvested ISOs that were exercised and no cash was exchanged. In March 2021, in connection with the close of the Merger, the Company forgave half of the respective obligations under the promissory notes for certain executives and required such noteholders to repay the remaining balance of $0.3 million under each of their respective notes. Additional compensation expense of $0.3 million was recognized in general and administrative expenses for the six months ended June 30, 2021 for the value of the loans forgiven. No obligations under the promissory notes for non-executive noteholders were outstanding as of June 30, 2022 and December 31,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six months ended June 30, 2022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5240" w:type="dxa"/>
            <w:vAlign w:val="bottom"/>
          </w:tcPr>
          <w:p>
            <w:pPr>
              <w:spacing w:after="0"/>
              <w:rPr>
                <w:sz w:val="11"/>
                <w:szCs w:val="11"/>
                <w:color w:val="auto"/>
              </w:rPr>
            </w:pP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24,129,096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100,992</w:t>
            </w: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Options 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Outstanding—June 30,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22,486,281</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22,486,281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21,212</w:t>
            </w:r>
          </w:p>
        </w:tc>
        <w:tc>
          <w:tcPr>
            <w:tcW w:w="0" w:type="dxa"/>
            <w:vAlign w:val="bottom"/>
          </w:tcPr>
          <w:p>
            <w:pPr>
              <w:spacing w:after="0"/>
              <w:rPr>
                <w:sz w:val="1"/>
                <w:szCs w:val="1"/>
                <w:color w:val="auto"/>
              </w:rPr>
            </w:pP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Exercisable—June 30,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10,918,377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June 30,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268"/>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26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8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6"/>
        </w:trPr>
        <w:tc>
          <w:tcPr>
            <w:tcW w:w="1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10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9"/>
        </w:trPr>
        <w:tc>
          <w:tcPr>
            <w:tcW w:w="1840" w:type="dxa"/>
            <w:vAlign w:val="bottom"/>
            <w:tcBorders>
              <w:top w:val="single" w:sz="8" w:color="auto"/>
            </w:tcBorders>
            <w:shd w:val="clear" w:color="auto" w:fill="CCEEFF"/>
          </w:tcPr>
          <w:p>
            <w:pPr>
              <w:jc w:val="right"/>
              <w:ind w:right="16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4,753,134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3,332,416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0"/>
        </w:trPr>
        <w:tc>
          <w:tcPr>
            <w:tcW w:w="1840" w:type="dxa"/>
            <w:vAlign w:val="bottom"/>
          </w:tcPr>
          <w:p>
            <w:pPr>
              <w:jc w:val="right"/>
              <w:ind w:right="16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9,167,718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8.20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4,000,264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jc w:val="right"/>
              <w:ind w:right="16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7,524,114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3,135,046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1840" w:type="dxa"/>
            <w:vAlign w:val="bottom"/>
          </w:tcPr>
          <w:p>
            <w:pPr>
              <w:jc w:val="right"/>
              <w:ind w:right="16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5.60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jc w:val="right"/>
              <w:ind w:right="16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221,713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CCEEFF"/>
            </w:tcBorders>
          </w:tcPr>
          <w:p>
            <w:pPr>
              <w:jc w:val="right"/>
              <w:ind w:right="16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645,797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8.85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188,357</w:t>
            </w:r>
          </w:p>
        </w:tc>
        <w:tc>
          <w:tcPr>
            <w:tcW w:w="36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48"/>
        </w:trPr>
        <w:tc>
          <w:tcPr>
            <w:tcW w:w="1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22,486,281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June 30, 2022, there was approximately $18.0 million of unamortized stock-based compensation expense related to unvested stock options that is expected to be recognized over a weighted average period of 2.1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7"/>
                <w:szCs w:val="17"/>
                <w:color w:val="auto"/>
              </w:rPr>
            </w:pPr>
          </w:p>
        </w:tc>
        <w:tc>
          <w:tcPr>
            <w:tcW w:w="13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9,326,572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during the year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during the year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 during the year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June 30, 2022, total compensation expense related to unvested RSUs granted to employees, but not yet recognized, was $69.4 million, with a weighted-average remaining vesting period of 2.9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settle into shares of common stock upon vesting.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for all stock options in the condensed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11,410</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Common Share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attributable to common stockholders (in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68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175,057,360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155,923,689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172,965,833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106,070,590</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per share</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40" w:type="dxa"/>
            <w:vAlign w:val="bottom"/>
            <w:tcBorders>
              <w:bottom w:val="single" w:sz="8" w:color="CCEEFF"/>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shares and net loss per common share, prior to the Merger, have been retroactively restated as shares reflecting the exchange ratio of approximately 0.703 shares of the Company per one share of OTI as established in the Merger Agreement.</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weighted average number of shares used to compute basic and diluted net loss per share excludes unvested early exercised common stock options subject to repurchase.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18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2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22,486,281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25,218,265</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and private common stock 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15,999,900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15,999,996</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2,588,629</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2,756,906</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RSAs</w:t>
            </w:r>
          </w:p>
        </w:tc>
        <w:tc>
          <w:tcPr>
            <w:tcW w:w="18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29,110</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early exercised options subject to nonrecourse notes</w:t>
            </w: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2,172,238</w:t>
            </w:r>
          </w:p>
        </w:tc>
      </w:tr>
      <w:tr>
        <w:trPr>
          <w:trHeight w:val="248"/>
        </w:trPr>
        <w:tc>
          <w:tcPr>
            <w:tcW w:w="8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52,177,576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48,765,144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the three and six months ended June 30, 2022 and 2021 was not material to the Company’s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Revenue</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Revenue from the sale of lidar sensor kits, which is recognized at a point in time, was $10.3 million and $7.4 million in the three months ended June 30, 2022 and 2021, respectively, and $18.9 million and $14.0 million in the six months ended June 30, 2022 and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revenues by geographic area based on the location products were shipped to and services provided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50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and South America, excluding United States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and Pacific</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w:t>
            </w: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10,329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18,887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13,971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Debt for details of promissory notes issued by the Company to certain investors of the Company (or an affiliate thereof).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Stock-based compensation for details of partial recourse promissory notes issued by the Company to certain executives and employees.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the results of operations and financial condition of Ouster, Inc. (“we,” “us,” “our,” the “Company,” “Ouster”) should be read in conjunction with the information set forth in our condensed consolidated financial statements and the notes thereto included elsewhere in this Form 10-Q, as well as our audited consolidated financial statements and the “Management’s Discussion and Analysis of Financial Condition and Results of Operations” included in Ouster’s Annual Report on Form 10-K filed with the Securities and Exchange Commission (“SEC”) on February 28, 2022. This discussion may contain forward-looking statements based upon current expectations that involve risks and uncertainties. Ouster’s actual results may differ materially from those anticipated in these forward-looking statements as a result of various factors, including those set forth in the section titled “Risk Factors” in Ouster’s Annual Report on Form 10-K dated and filed with the SEC on February 28, 2022.</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On December 21, 2020, Ouster Technologies, Inc. (“OTI”, prior to the Merger defined below, named Ouster, Inc.) entered into an Agreement and Plan of Merger (the “Merger Agreement”) with Colonnade Acquisition Corp., a Cayman Islands exempted company (“CLA” with CLA after the transactions pursuant to the Merger Agreement being referred to as the “Company”),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“Merger”), as further described below.</w:t>
      </w:r>
    </w:p>
    <w:p>
      <w:pPr>
        <w:spacing w:after="0" w:line="210" w:lineRule="exact"/>
        <w:rPr>
          <w:sz w:val="20"/>
          <w:szCs w:val="20"/>
          <w:color w:val="auto"/>
        </w:rPr>
      </w:pPr>
    </w:p>
    <w:p>
      <w:pPr>
        <w:jc w:val="both"/>
        <w:ind w:right="52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to “we”, “our” and “the Company” refer to the business and operations of OTI (formerly known as Ouster, Inc.) and its consolidated subsidiaries prior to the Merger and to Ouster, Inc. (formerly known as Colonnade Acquisition Corp.) and its consolidated subsidiaries following the consummation of the Merger.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right="20" w:firstLine="405"/>
        <w:spacing w:after="0" w:line="281" w:lineRule="auto"/>
        <w:rPr>
          <w:sz w:val="20"/>
          <w:szCs w:val="20"/>
          <w:color w:val="auto"/>
        </w:rPr>
      </w:pPr>
      <w:r>
        <w:rPr>
          <w:rFonts w:ascii="Times New Roman" w:cs="Times New Roman" w:eastAsia="Times New Roman" w:hAnsi="Times New Roman"/>
          <w:sz w:val="17"/>
          <w:szCs w:val="17"/>
          <w:color w:val="auto"/>
        </w:rPr>
        <w:t>We are a leading provider of high-resolution digital lidar sensors that offer advanced 3D vision to machinery, vehicles, robots, and fixed infrastructure assets, allowing each to understand and visualize the surrounding world and ultimately enabling safe operation and autonomy. We design and manufacture digital lidar sensors that we believe are the highest-performing, lowest-cost lidar solutions available today across each of our four target markets: industrial automation; smart infrastructure; robotics; and automotive. We shipped sensors to approximately 665 customers in the twelve months ended June 30, 2022.</w:t>
      </w:r>
    </w:p>
    <w:p>
      <w:pPr>
        <w:spacing w:after="0" w:line="110"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12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product offering today includes our OS scanning product line and our DF solid-state product line. With our unique digital lidar technology, we offer numerous customization options across our products, all enabled by flexible technology and embedded software. Today, we offer short, medium, and long-range lidar products at varying price points and with tailored capabilities to meet the different needs of our diverse customer base.</w:t>
      </w:r>
    </w:p>
    <w:p>
      <w:pPr>
        <w:spacing w:after="0" w:line="12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believe the simplicity of our digital lidar design gives us a meaningful advantage in costs related to manufacturing, supply chain and production yields. The same digital lidar components underpin our entire product portfolio, which we believe drives economies of scale in our supply chains. With virtually unlimited software-defined products driving low-cost customization, we are able to increase stock keeping units (“SKUs”) for industry-specific applications, expanding our product offering with minimal manufacturing or inventory changes. We currently offer many different software-defined product SKUs, all based on this common architecture and shared core componentry. Additionally, by outsourcing to our manufacturing partner, Benchmark Electronics, Inc. (“Benchmark”) we are able to successfully expand our manufacturing capacity. Benchmark manufactures our products at its facility in Thailand, which we expect will reduce our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spacing w:after="0" w:line="13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have won and are actively negotiating several multi-year sales contracts, including certain Strategic Customer Agreements (“SCAs”), which establish a multi-year purchase and supply framework for Ouster and the customer, and include details about customer programs and applications where the customer intends to use Ouster products. SCAs also include multi-year non-binding customer forecasts (typically of three to five years in length) giving Ouster visibility to the customer's long-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term purchasing requirements, mutually agreed upon pricing over the duration of the agreement, and, in certain cases, include multi-year binding purchase commitments.</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founded Ouster in 2015 with the invention of our high-performance digital lidar. Since then, we have grown to approximately 290 employees serving approximately 665 customers globally in the twelve months ended June 30, 2022. To continue to grow our business in the coming years, we have expanded and plan to continue to expand our sales and marketing efforts and our software development capabilities, and to accelerate sensor development efforts. We are headquartered in San Francisco, 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 with Colonnade Acquisition Corp. and Beam Merger Sub, Inc.</w:t>
      </w:r>
    </w:p>
    <w:p>
      <w:pPr>
        <w:spacing w:after="0" w:line="175" w:lineRule="exact"/>
        <w:rPr>
          <w:sz w:val="20"/>
          <w:szCs w:val="20"/>
          <w:color w:val="auto"/>
        </w:rPr>
      </w:pPr>
    </w:p>
    <w:p>
      <w:pPr>
        <w:ind w:right="120" w:firstLine="486"/>
        <w:spacing w:after="0" w:line="277" w:lineRule="auto"/>
        <w:rPr>
          <w:sz w:val="20"/>
          <w:szCs w:val="20"/>
          <w:color w:val="auto"/>
        </w:rPr>
      </w:pPr>
      <w:r>
        <w:rPr>
          <w:rFonts w:ascii="Times New Roman" w:cs="Times New Roman" w:eastAsia="Times New Roman" w:hAnsi="Times New Roman"/>
          <w:sz w:val="17"/>
          <w:szCs w:val="17"/>
          <w:color w:val="auto"/>
        </w:rPr>
        <w:t>On December 21, 2020, OTI entered into the Merger Agreement with CLA, and Merger Sub, a subsidiary of CLA. OTI’s and CLA’s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spacing w:after="0" w:line="11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a result of and upon the effective time of the Domestication,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3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26"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 billion of shares of Ouster common stock (at a deemed value of $10.00 per share), which, in the case of OTI Awards, were shares underlying awards based on Ouster common stock, representing a fully-diluted pre-transaction shares. Upon the closing of the Merger, the Company received gross proceeds of $299.9 million from the Merger and private offering, offset by $8.5 million of pre-merger costs relating to CLA and transaction costs of $26.6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Sense Acquisition</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October 22, 2021, we completed the acquisition of Sense Photonics, Inc. (“Sense”). Under the terms of the merger agreement, we acquired 100% of Sense and all of its property for approximately 10 million shares of Ouster common stock or approximately $63.0 million in equity value based on the closing price of $6.55 per share as of the day the transaction closed on October 22, 2021, inclusive of 0.8 million shares underlying assumed options, after closing adjustments. This acquisition is expected to help Ouster expand its presence in the automotive vertical by executing on our hiring goals and product roadmap on a faster timeline.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Beginning in 2020, the worldwide spread of the pandemic caused by the novel coronavirus (“COVID-19”), including its variants, and the measures intended to contain the spread of COVID-19, have resulted in a global slowdown of economic activity and caused disruptions to our business.</w:t>
      </w:r>
    </w:p>
    <w:p>
      <w:pPr>
        <w:spacing w:after="0" w:line="108" w:lineRule="exact"/>
        <w:rPr>
          <w:sz w:val="20"/>
          <w:szCs w:val="20"/>
          <w:color w:val="auto"/>
        </w:rPr>
      </w:pPr>
    </w:p>
    <w:p>
      <w:pPr>
        <w:ind w:right="480" w:firstLine="486"/>
        <w:spacing w:after="0" w:line="261" w:lineRule="auto"/>
        <w:rPr>
          <w:sz w:val="20"/>
          <w:szCs w:val="20"/>
          <w:color w:val="auto"/>
        </w:rPr>
      </w:pPr>
      <w:r>
        <w:rPr>
          <w:rFonts w:ascii="Times New Roman" w:cs="Times New Roman" w:eastAsia="Times New Roman" w:hAnsi="Times New Roman"/>
          <w:sz w:val="18"/>
          <w:szCs w:val="18"/>
          <w:color w:val="auto"/>
        </w:rPr>
        <w:t>Our suppliers are located worldwide, and some of our key suppliers have been affected by the pandemic resulting in persistent supply chain disruptions. We have experienced and continue to experience some unfavorable purchase price variance and situational expedite fees in order to meet production and delivery timelines. While we may experience additional and new pressures on our supply chain that may or may not be related to the pandemic, we are actively taking steps to mitigate the impact of the materials shortages on our business.</w:t>
      </w:r>
    </w:p>
    <w:p>
      <w:pPr>
        <w:spacing w:after="0" w:line="12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At times during the pandemic, some customers have delayed and continue to delay orders and production schedules. The pandemic continues to evolve, and the full extent to which it will directly or indirectly impact our business, results of operations and financial condition, including sales, expenses, reserves and allowances, manufacturing, research and development costs and personnel-related costs, will depend on future developments that are highly uncertain, including new information that may emerge concerning COVID-19, the impact of new variants of the disease and the actions taken to contain, prevent or treat COVID-19, rate and success of vaccination efforts, vaccination reticence, resurgence of the pandemic in areas where we, Benchmark or our suppliers operate, and the economic impact on local, regional, national and international customers and markets.</w:t>
      </w:r>
    </w:p>
    <w:p>
      <w:pPr>
        <w:spacing w:after="0" w:line="133"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Going forward, the situation remains uncertain, rapidly changing and hard to predict, and the COVID-19 pandemic may have a material negative impact on our future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3"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Supply Chain Continuity. </w:t>
      </w:r>
      <w:r>
        <w:rPr>
          <w:rFonts w:ascii="Times New Roman" w:cs="Times New Roman" w:eastAsia="Times New Roman" w:hAnsi="Times New Roman"/>
          <w:sz w:val="18"/>
          <w:szCs w:val="18"/>
          <w:color w:val="auto"/>
        </w:rPr>
        <w:t>Beginning in 2021, a surge in demand for electronics containing semiconductor chips and stockpiling of chips by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created disruptions in the supply chain, which continue to persist and have resulted in a global chip shortage impacting our industry. Some chip manufacturers are estimating that this supply shortage may continue through mid-2023. These chip manufacturers are working to increase capacity in the future, and we are managing our inventory and working closely with our regular suppliers and customers to minimize the potential impacts of any supply shortages including by securing additional inventory. While we do not expect the shortage to have a material near-term impact on our ability to meet existing demand for our current products, the shortage adversely impacted our gross margins for the year ended December 31, 2021 and the six months ended June 30, 2022 and may continue to do so. We anticipate fluctuation in our cost of goods sold over the next 12-18 months as a result of ongoing supply chain constraints. These constraints have caused and may in the future cause us to implement certain temporary price surcharges. Over time, we expect our overall average selling prices to decline as our volume increases. If our mitigating efforts are not successful or the shortage continues or worsens in ways we did not anticipate, our ability to supply or improve our current products as well as our development and rollout of future products could also be adversely affected.</w:t>
      </w:r>
    </w:p>
    <w:p>
      <w:pPr>
        <w:spacing w:after="0" w:line="13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Commercialization of Lidar Applications. </w:t>
      </w:r>
      <w:r>
        <w:rPr>
          <w:rFonts w:ascii="Times New Roman" w:cs="Times New Roman" w:eastAsia="Times New Roman" w:hAnsi="Times New Roman"/>
          <w:sz w:val="18"/>
          <w:szCs w:val="18"/>
          <w:color w:val="auto"/>
        </w:rPr>
        <w:t>We believe that lidar is approaching its inflection point of adoption across our target end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w:t>
      </w:r>
    </w:p>
    <w:p>
      <w:pPr>
        <w:spacing w:after="0" w:line="1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Number of Customers in Production. </w:t>
      </w:r>
      <w:r>
        <w:rPr>
          <w:rFonts w:ascii="Times New Roman" w:cs="Times New Roman" w:eastAsia="Times New Roman" w:hAnsi="Times New Roman"/>
          <w:sz w:val="18"/>
          <w:szCs w:val="18"/>
          <w:color w:val="auto"/>
        </w:rPr>
        <w:t>For certain strategic customers and markets, our products must be integrated into a broader platform, which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Customers’ Sales Volumes. </w:t>
      </w:r>
      <w:r>
        <w:rPr>
          <w:rFonts w:ascii="Times New Roman" w:cs="Times New Roman" w:eastAsia="Times New Roman" w:hAnsi="Times New Roman"/>
          <w:sz w:val="18"/>
          <w:szCs w:val="18"/>
          <w:color w:val="auto"/>
        </w:rPr>
        <w:t>Our customer base is diversified and we will continue to penetrate into diverse end markets to increase our sales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 as well as our ability to grow our sales force.</w:t>
      </w:r>
    </w:p>
    <w:p>
      <w:pPr>
        <w:spacing w:after="0" w:line="1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Average Selling Prices (“ASPs”), Product Costs and Margins. </w:t>
      </w:r>
      <w:r>
        <w:rPr>
          <w:rFonts w:ascii="Times New Roman" w:cs="Times New Roman" w:eastAsia="Times New Roman" w:hAnsi="Times New Roman"/>
          <w:sz w:val="18"/>
          <w:szCs w:val="18"/>
          <w:color w:val="auto"/>
        </w:rPr>
        <w:t>Our product costs and gross margins depend largely on the volumes of sensors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number and variety of solutions we provide to our customers. We expect that our selling prices will vary by target end market and application due to market-specific supply and demand dynamics. We expect to continue to experience some downward pressure on margins from signing anticipated large multi-year agreements (including our SCAs) in the near term with multi-year negotiated pricing, as well as the supply chain constraints discussed above.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lead to gross margin improvement as our sales volume increases.</w:t>
      </w:r>
    </w:p>
    <w:p>
      <w:pPr>
        <w:spacing w:after="0" w:line="1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Lidar is an emerging market, and there are competitors for the growing market. Competitors may offer lidar products at lower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ours, including pricing that may be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enter, and have entered, into commercial relationships with key customers and potential customers and have built relationships and dependencies between themselves and those key customers and potential customers. This has created downward pressure on our ASPs, particularly in the Asia and Pacific region. We expect this pressure to continue to push our ASPs lower in the coming years. However, we believe that because of our complementary metal-oxide-semiconductor (“CMOS”), digital lidar technology, we are in the position to scale more rapidly than our analog competitors and leverage our scale to deliver positive gross margins.</w:t>
      </w:r>
    </w:p>
    <w:p>
      <w:pPr>
        <w:spacing w:after="0" w:line="132"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Continued Investment and Innovation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that we are a leading digital lidar provider. Our financial performance is significantly dependent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12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Trends and Uncertainties. </w:t>
      </w:r>
      <w:r>
        <w:rPr>
          <w:rFonts w:ascii="Times New Roman" w:cs="Times New Roman" w:eastAsia="Times New Roman" w:hAnsi="Times New Roman"/>
          <w:sz w:val="18"/>
          <w:szCs w:val="18"/>
          <w:color w:val="auto"/>
        </w:rPr>
        <w:t>We anticipate robust demand for our digital lidar solution. We estimate a multibillion-dollar total addressable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spacing w:after="0" w:line="131"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Expansion. </w:t>
      </w:r>
      <w:r>
        <w:rPr>
          <w:rFonts w:ascii="Times New Roman" w:cs="Times New Roman" w:eastAsia="Times New Roman" w:hAnsi="Times New Roman"/>
          <w:sz w:val="18"/>
          <w:szCs w:val="18"/>
          <w:color w:val="auto"/>
        </w:rPr>
        <w:t>We view international expansion as an important element of our strategy to increase revenue and achieve profitability.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majority of our revenue comes from the sale of our digital lidar sensors and accessories both directly to end users and through distributors domestically and internationally. We recognize revenue from product sales when the performance obligation of transferring control of the product to the customer has been met, which is generally when the product is shipped. We also recognize revenue by performing services related to product development and validation,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product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13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Most of our customers are currently in the evaluation or early R&amp;D stage with our products. Currently, our product revenue consists of both customers ordering small volumes of our products that are in an evaluation phase and customers that order larger volumes of our products and have more predictable long-term production schedules. However,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 Over the coming years, as more of our customers move into their respective production phases, we expect the majority of our product revenue to shift to larger volume orders based on predictable production schedules.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Cost of revenue consists of the manufacturing cost of our digital lidar sensors, which primarily consists of sensor components, personnel-related costs directly associated with our manufacturing organization, and amounts paid to our third-party contract manufacturer and vendors. Our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gross profit equals total revenues less our total cost of revenues, and our gross margin is our gross profit expressed as a percentage of total revenue. Subject to quarterly fluctuations and volatility, we expect unit costs to improve as we manufacture higher unit volumes of sensors and a greater portion of our sensors are produced by our contract manufacturer in Thailand.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Research and development (“R&amp;D”) activities are primarily conducted at our San Francisco based headquarters and our additional R&amp;D facility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Edinburgh, Scotland and consist of the following activities:</w:t>
      </w:r>
    </w:p>
    <w:p>
      <w:pPr>
        <w:spacing w:after="0" w:line="99"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prototyping, and testing of proprietary electrical, optical, and mechanical subsystems for our digital lidar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testing for industrial and autonomous vehicle safety certifications;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26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enhancements to existing products in response to customer requirements including firmware development and software development of lidar integration products;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system-on-a-chip (“SoC”) design for Ouster’s digital lidar products;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custom manufacturing equipment.</w:t>
      </w:r>
    </w:p>
    <w:p>
      <w:pPr>
        <w:spacing w:after="0" w:line="17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R&amp;D expenses consist of personnel-related expenses, including salaries, benefits, and stock-based compensation, for all personnel directly involved in R&amp;D activities, third-party engineering and contractor costs, and prototype expenses.</w:t>
      </w:r>
    </w:p>
    <w:p>
      <w:pPr>
        <w:spacing w:after="0" w:line="10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R&amp;D costs are expensed as they are incurred. Our investment in R&amp;D will continue to grow as we invest in new lidar technology and related software. Our absolute amount of R&amp;D expense will grow over time; however, we expect R&amp;D as a percentage of revenue to decrease annually as our business grows.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Our investment in sales and marketing will continue to grow as we continue to expand our sales team globally, and our absolute amount of sales and marketing expenses will grow over time. We expect sales and marketing spend as a percentage of revenue to decrease over time as our business grows.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as well as insurance, and bank fees. Our absolute amount of general and administrative expense will grow over time; however, we expect the general and administrative spend as a percentage of revenue to decrease annually as our business grows. Near term increases in general and administrative expenses are expected to be related to hiring more personnel and consultants to support our growing international expansion and compliance with the applicable provisions of U.S. generally accepted accounting principles and other SEC rules and regulations.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measure stock options granted based on the fair value on the date of the grant and recognize compensation expense of those awards, over the requisite service period, which is the vesting period of the respective award. Forfeitures are accounted for as they occur. The fair value of each stock option grant is estimated on the date of grant using the Black-Scholes option pricing model. The grant date fair value of restricted stock unit awards is based on the grant date share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 Other income (expense), net consists primarily of realized and unrealized gains and losses on foreign currency transactions and balances, the change in fair value of financial instruments, including warrants issued in connection with a debt agreement, and private placement warrants acquired as part of the Merger.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its deferred tax assets as it is more likely than not that some, or all, of our deferred tax assets will not be realized. We continue to maintain a full valuation allowance against its net deferred tax assets. Income tax provision for the three and six months ended June 30, 2022 and 2021, respectively, was not material to the Company’s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w:t>
      </w:r>
      <w:r>
        <w:rPr>
          <w:rFonts w:ascii="Times New Roman" w:cs="Times New Roman" w:eastAsia="Times New Roman" w:hAnsi="Times New Roman"/>
          <w:sz w:val="18"/>
          <w:szCs w:val="18"/>
          <w:b w:val="1"/>
          <w:bCs w:val="1"/>
          <w:i w:val="1"/>
          <w:iCs w:val="1"/>
          <w:color w:val="auto"/>
        </w:rPr>
        <w:t>of</w:t>
      </w:r>
      <w:r>
        <w:rPr>
          <w:rFonts w:ascii="Times New Roman" w:cs="Times New Roman" w:eastAsia="Times New Roman" w:hAnsi="Times New Roman"/>
          <w:sz w:val="18"/>
          <w:szCs w:val="18"/>
          <w:b w:val="1"/>
          <w:bCs w:val="1"/>
          <w:color w:val="auto"/>
        </w:rPr>
        <w:t xml:space="preserve">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 data for the periods presented:</w:t>
      </w:r>
    </w:p>
    <w:p>
      <w:pPr>
        <w:sectPr>
          <w:pgSz w:w="11900" w:h="16838" w:orient="portrait"/>
          <w:cols w:equalWidth="0" w:num="1">
            <w:col w:w="11240"/>
          </w:cols>
          <w:pgMar w:left="320" w:top="121" w:right="339" w:bottom="1440" w:gutter="0" w:footer="0" w:header="0"/>
        </w:sectPr>
      </w:pPr>
    </w:p>
    <w:p>
      <w:pPr>
        <w:spacing w:after="0" w:line="27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33655</wp:posOffset>
            </wp:positionV>
            <wp:extent cx="1868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5" w:lineRule="exact"/>
        <w:rPr>
          <w:sz w:val="20"/>
          <w:szCs w:val="20"/>
          <w:color w:val="auto"/>
        </w:rPr>
      </w:pPr>
    </w:p>
    <w:p>
      <w:pPr>
        <w:ind w:left="5820"/>
        <w:spacing w:after="0"/>
        <w:tabs>
          <w:tab w:leader="none" w:pos="73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33655</wp:posOffset>
            </wp:positionV>
            <wp:extent cx="1868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33655</wp:posOffset>
            </wp:positionV>
            <wp:extent cx="18770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33655</wp:posOffset>
            </wp:positionV>
            <wp:extent cx="1877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53" w:lineRule="exact"/>
        <w:rPr>
          <w:sz w:val="20"/>
          <w:szCs w:val="20"/>
          <w:color w:val="auto"/>
        </w:rPr>
      </w:pPr>
    </w:p>
    <w:p>
      <w:pPr>
        <w:sectPr>
          <w:pgSz w:w="11900" w:h="16838" w:orient="portrait"/>
          <w:cols w:equalWidth="0" w:num="2">
            <w:col w:w="8140" w:space="720"/>
            <w:col w:w="2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r>
      <w:tr>
        <w:trPr>
          <w:trHeight w:val="229"/>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41,330</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(37,692)</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and comprehensive loss data as a percentage of revenue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5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840" w:type="dxa"/>
            <w:vAlign w:val="bottom"/>
            <w:gridSpan w:val="2"/>
          </w:tcPr>
          <w:p>
            <w:pPr>
              <w:spacing w:after="0"/>
              <w:rPr>
                <w:sz w:val="2"/>
                <w:szCs w:val="2"/>
                <w:color w:val="auto"/>
              </w:rPr>
            </w:pPr>
          </w:p>
        </w:tc>
        <w:tc>
          <w:tcPr>
            <w:tcW w:w="160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9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4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3"/>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920" w:type="dxa"/>
            <w:vAlign w:val="bottom"/>
          </w:tcPr>
          <w:p>
            <w:pPr>
              <w:spacing w:after="0"/>
              <w:rPr>
                <w:sz w:val="17"/>
                <w:szCs w:val="17"/>
                <w:color w:val="auto"/>
              </w:rPr>
            </w:pPr>
          </w:p>
        </w:tc>
      </w:tr>
      <w:tr>
        <w:trPr>
          <w:trHeight w:val="236"/>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9"/>
                <w:szCs w:val="9"/>
                <w:color w:val="auto"/>
              </w:rPr>
              <w:t>(1)</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5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7"/>
              </w:rPr>
              <w:t>(321)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7"/>
              </w:rPr>
              <w:t>(271)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60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84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Includes stock-based compensation expense as follows:</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33655</wp:posOffset>
            </wp:positionV>
            <wp:extent cx="18599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 w:lineRule="exact"/>
        <w:rPr>
          <w:sz w:val="20"/>
          <w:szCs w:val="20"/>
          <w:color w:val="auto"/>
        </w:rPr>
      </w:pPr>
    </w:p>
    <w:p>
      <w:pPr>
        <w:ind w:left="5820"/>
        <w:spacing w:after="0"/>
        <w:tabs>
          <w:tab w:leader="none" w:pos="73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33655</wp:posOffset>
            </wp:positionV>
            <wp:extent cx="18599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33655</wp:posOffset>
            </wp:positionV>
            <wp:extent cx="18770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33655</wp:posOffset>
            </wp:positionV>
            <wp:extent cx="18770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33" w:lineRule="exact"/>
        <w:rPr>
          <w:sz w:val="20"/>
          <w:szCs w:val="20"/>
          <w:color w:val="auto"/>
        </w:rPr>
      </w:pPr>
    </w:p>
    <w:p>
      <w:pPr>
        <w:sectPr>
          <w:pgSz w:w="11900" w:h="16838" w:orient="portrait"/>
          <w:cols w:equalWidth="0" w:num="2">
            <w:col w:w="8140" w:space="720"/>
            <w:col w:w="2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7"/>
        </w:trPr>
        <w:tc>
          <w:tcPr>
            <w:tcW w:w="5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w:t>
            </w:r>
          </w:p>
        </w:tc>
      </w:tr>
      <w:tr>
        <w:trPr>
          <w:trHeight w:val="248"/>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10,329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40 %</w:t>
            </w:r>
          </w:p>
        </w:tc>
      </w:tr>
      <w:tr>
        <w:trPr>
          <w:trHeight w:val="256"/>
        </w:trPr>
        <w:tc>
          <w:tcPr>
            <w:tcW w:w="5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 and South America, excluding United States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Asia and Pacific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7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Product revenue increased by $3.0 million, or 40%, to $10.3 million for the three months ended June 30, 2022 from $7.4 million for the comparable period in the prior year. The increase in product revenue was driven by a 38% increase in volume which we attribute primarily to the global expansion of our sales team and the increase of high volume, long-term agreements as some of our customers begin to move into a production stage with their autonomous products. Our average selling price increased by 1.5% when compared to the comparable period in the prior year. As our volumes increase we expect further reductions in our costs per unit.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7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Revenue increased across the geographic regions of the United States; North and South America, excluding the United States; Asia and Pacific; and Europe, Middle East and Africa by $0.4 million, $0.047 million, $0.9 million, and $1.6 million, respectively, as compared to the comparable period in the prior year. The revenue increases in those geographic regions was primarily attributable to our continued focus and investment in our global sales team and an expansion in the demand of our customers as only 11% of our revenue was from new customers during the three months ended June 30,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7,547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3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Cost of product revenue increased by $2.1 million, or 38%, to $7.5 million for the three months ended June 30, 2022 from $5.5 million for the comparable period in the prior year. The increase in cost of product revenue was primarily because of an increase of $0.8 million in purchase price variance due to the supply chain shortage, increases related to volume of $0.8 million in material costs, $0.1 million in freight costs and $0.6 million in manufacturing overhead costs. The increases were partially offset by a decrease of $0.2 million in per unit costs of materials, labor and overhead and other costs related to product revenue.</w:t>
      </w:r>
    </w:p>
    <w:p>
      <w:pPr>
        <w:spacing w:after="0" w:line="1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Product gross margin increased from 26% for the three months ended June 30, 2021 to 27% for the three months ended June 30, 2022. The increase in product gross margin was due to the 2% increase in average selling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$9.4 million, or 145%, to $15.9 million for the three months ended June 30, 2022 from $6.5 million for the comparable period in the prior year. The increase was primarily attributable to an increase of $2.2 million in stock-based compensation expense, $4.3 million in payroll-related expenses, $0.6 million in depreciation and amortization expense, $1.8 million increase in contractor, prototype, and equipment costs related to product development, and $0.6 million in other materials and supplies, facilities, professional fees and other miscellaneous costs attributable to research and development functions. The increase in employee-related costs was mainly due to the higher headcount associated with the Sense Photonics, Inc.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$2.9 million, or 64%, to $7.6 million for the three months ended June 30, 2022 from $4.6 million for the comparable period in the prior year. The increase was primarily attributable to an increase of $1.8 million in payroll and personnel-related costs and $1.1 million in stock-based compensation expense driven by the addition of sales personnel in all our global regions.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$0.3 million, or 3%, to $12.5 million for the three months ended June 30, 2022 from $12.2 million for the comparable period in the prior year. The increase was primarily due to an increase of $1.2 million in payroll and personnel-related costs, $0.5 million in depreciation expenses and $0.8 million in office, facility and other expenses partially offset by a decrease of $1.7 million in stock-based compensation expenses, $0.4 million in professional services fees and $0.1 million in insurance premiums.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interest income was primarily related to an increase in our cash and cash equivalent balances.</w:t>
      </w:r>
    </w:p>
    <w:p>
      <w:pPr>
        <w:spacing w:after="0" w:line="17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Interest expense was $0.4 million for the three months ended June 30, 2022 relating to term loan borrowings and amortization of debt issuance costs and discount under our Loan Agreement. There was no interest expense in the three months ended June 30, 2021 as we did not have outstanding debt in that period.</w:t>
      </w:r>
    </w:p>
    <w:p>
      <w:pPr>
        <w:spacing w:after="0" w:line="12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was $5.3 million for the three months ended June 30, 2022 compared to $(10.8) million for the comparable period in the prior year. During the three months ended June 30, 2022, we recorded a gain of $5.4 million for the fair value change of the private placement warrant liability. During the comparable period in the prior year, we recorded a loss of $10.7 million for the fair value change of the private placement warrant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260" w:firstLine="405"/>
        <w:spacing w:after="0" w:line="312" w:lineRule="auto"/>
        <w:rPr>
          <w:sz w:val="20"/>
          <w:szCs w:val="20"/>
          <w:color w:val="auto"/>
        </w:rPr>
      </w:pPr>
      <w:r>
        <w:rPr>
          <w:rFonts w:ascii="Times New Roman" w:cs="Times New Roman" w:eastAsia="Times New Roman" w:hAnsi="Times New Roman"/>
          <w:sz w:val="17"/>
          <w:szCs w:val="17"/>
          <w:color w:val="auto"/>
        </w:rPr>
        <w:t>We were subject to income taxes in the United States, California, and miscellaneous foreign jurisdictions for the three months ended June 30, 2022 and 2021. Our income tax expense for three months ended June 30, 2022 and 2021 was not material to our condensed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13,971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35 %</w:t>
            </w:r>
          </w:p>
        </w:tc>
      </w:tr>
      <w:tr>
        <w:trPr>
          <w:trHeight w:val="257"/>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Pr>
          <w:p>
            <w:pPr>
              <w:spacing w:after="0"/>
              <w:rPr>
                <w:sz w:val="19"/>
                <w:szCs w:val="19"/>
                <w:color w:val="auto"/>
              </w:rPr>
            </w:pP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North and South America, excluding United States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Asia and Pacific</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13,971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Pr>
          <w:p>
            <w:pPr>
              <w:spacing w:after="0"/>
              <w:rPr>
                <w:sz w:val="19"/>
                <w:szCs w:val="19"/>
                <w:color w:val="auto"/>
              </w:rPr>
            </w:pPr>
          </w:p>
        </w:tc>
        <w:tc>
          <w:tcPr>
            <w:tcW w:w="15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7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Product revenue increased by $4.9 million, or 35%, to $18.9 million for the six months ended June 30, 2022 from $14.0 million for the comparable period in the prior year. The increase in product revenue was driven by an increase in volume of 46%, which we attribute primarily to the global expansion of our sales team and the increase of high volume, long-term deals as some of our customers begin to move into a production stage with their autonomous products. Our average selling price declined by 8% when compared to the comparable period in the prior year. As our volumes increase we expect further reductions in our costs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7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Revenue increased across the geographic regions of the United States; North and South America, excluding the United States; Asia and Pacific; and Europe, Middle East and Africa by $1.4 million, $0.1 million, $2.0 million, and $1.4 million, respectively, as compared to the comparable period in the prior year. The revenue increases in those geographic regions were a result of our continued focus and investment in our global sales team and an expansion in the demand of our customers as only 16% of our revenue was from new customers during the six months ended June 30,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13,514</w:t>
            </w:r>
          </w:p>
        </w:tc>
        <w:tc>
          <w:tcPr>
            <w:tcW w:w="9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23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Cost of product revenue increased by $3.2 million, or 31%, to $13.5 million for the six months ended June 30, 2022 from $10.3 million for the comparable period in the prior year. The increase in cost of product revenue was primarily due to an increase of $2.0 million in purchase price variance due to the supply chain shortage, increases related to volume of $1.8 million in material costs, $0.2 million in freight costs and $1.6 million in manufacturing overhead costs. The increases were partially offset by a decrease of $2.4 million in per unit costs of materials, labor and overhead and other costs related to product revenue.</w:t>
      </w:r>
    </w:p>
    <w:p>
      <w:pPr>
        <w:spacing w:after="0" w:line="12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Product gross margin increased from 26% for the six months ended June 30, 2021 to 28% for the six months ended June 30, 2022. The increase in product gross margin was primarily due to the 11% decrease in cost per unit partially offset by the 8% decrease in average selling price.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$20.6 million, or 184%, to $31.8 million for the six months ended June 30, 2022 from $11.2 million for the comparable period in the prior year. The increase was primarily attributable to an increase of $8.9 million in payroll and benefits related costs, $5.1 million in stock-based compensation expense, $4.1 million in contractor, prototype, and equipment costs related to product development, $1.3 million in depreciation and amortization expense, and $1.3 million in other materials and supplies, facilities, professional fees and other miscellaneous costs attributable to research and development functions. The increase in employee-related costs was mainly due to the higher headcount associated with the Sense Photonics, Inc. acquisition.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$6.6 million, or 82%, to $14.7 million for the six months ended June 30, 2022 from $8.0 million for the comparable period in the prior year. The increase was primarily attributable to an increase of $4.0 million in payroll and personnel-related costs, $2.4 million in stock-based compensation expense driven by the addition of sales personnel in all our global regions, as well as a $0.3 million increase in other expenses associated with our marketing and business development programs.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$4.2 million, or 19%, to $26.3 million for the six months ended June 30, 2022 from $22.1 million for the comparable period in the prior year. The increase was primarily due to an increase of $2.6 million in payroll and personnel-related costs, $1.2 million in insurance premiums, $1.1 million in depreciation expenses, $0.1 million in professional services fees, and $1.6 million in office, facility and other expenses, partially offset by a decrease of $2.4 million in stock-based compensation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(147)</w:t>
            </w:r>
          </w:p>
        </w:tc>
      </w:tr>
    </w:tbl>
    <w:p>
      <w:pPr>
        <w:spacing w:after="0" w:line="238" w:lineRule="exact"/>
        <w:rPr>
          <w:sz w:val="20"/>
          <w:szCs w:val="20"/>
          <w:color w:val="auto"/>
        </w:rPr>
      </w:pPr>
    </w:p>
    <w:p>
      <w:pPr>
        <w:ind w:right="220" w:firstLine="405"/>
        <w:spacing w:after="0" w:line="312" w:lineRule="auto"/>
        <w:rPr>
          <w:sz w:val="20"/>
          <w:szCs w:val="20"/>
          <w:color w:val="auto"/>
        </w:rPr>
      </w:pPr>
      <w:r>
        <w:rPr>
          <w:rFonts w:ascii="Times New Roman" w:cs="Times New Roman" w:eastAsia="Times New Roman" w:hAnsi="Times New Roman"/>
          <w:sz w:val="17"/>
          <w:szCs w:val="17"/>
          <w:color w:val="auto"/>
        </w:rPr>
        <w:t>Interest income was $0.5 million for the six months ended June 30, 2022 compared to $0.1 million for the comparable period in the prior year. This increase in interest income was primarily related to an increase in our cash and cash equivalent balances after the Merger closed on March 11, 2021.</w:t>
      </w:r>
    </w:p>
    <w:p>
      <w:pPr>
        <w:spacing w:after="0" w:line="86"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Interest expense was $0.4 million for the six months ended June 30, 2022 compared to $0.5 million for the comparable period in the prior year. We recorded interest expense on our debt and amortization of debt issuance costs and discount in six months ended June 30, 2022 relating to term loan borrowings and amortization of debt issuance costs and discount under our loan and security agreement with Hercules Capital, Inc. Interest expense recorded in 2021 primarily consisted of interest and amortization of debt issuance cost and discount on the loan and security agreement with Runway Growth Credit and Fund Inc., which was terminated on March 26, 2021.</w:t>
      </w:r>
    </w:p>
    <w:p>
      <w:pPr>
        <w:spacing w:after="0" w:line="129"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Other income (expense), net was $7.0 million income for the six months ended June 30, 2022 compared to $(14.9) million in expense for the comparable period in the prior year. During the six months ended June 30, 2022, we recorded a gain of $7.1 million for the fair value change of private placement warrant liability. During the six months ended June 30, 2021, we recorded a loss of $8.8 million for the fair value change of redeemable convertible preferred stock warrant liability and a loss of $6.1 million for the fair value change of private placement warrant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were subject to income taxes in the United States, California, and miscellaneous foreign jurisdictions for the six months ended June 30, 2022 and</w:t>
      </w:r>
    </w:p>
    <w:p>
      <w:pPr>
        <w:spacing w:after="0" w:line="27"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2021. Our income tax expense for six months ended June 30, 2022 and 2021 was not material to the Company’s condensed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expected to be our cash and cash equivalents, cash generated from product revenues, sales of common stock under our at-the market equity offering program and our loan and security agreement with Hercules Capital, Inc.</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primary requirements for liquidity and capital are working capital, inventory management, capital expenditures, public company costs and general corporate needs. We expect these needs to continue as we develop and grow our business. Prior to the Merger, we primarily funded our operations from the net proceeds from sales of our preferred convertible stock and convertible notes, borrowing under our loan and security agreement with Runway Growth Credit Fund, Inc. and product revenue. Upon closing of the Merger, we received gross proceeds of $299.9 million from the Merger and private offering, offset by $8.5 million of pre-merger costs relating to CLA and transactions cost of $26.6 million.</w:t>
      </w:r>
    </w:p>
    <w:p>
      <w:pPr>
        <w:spacing w:after="0" w:line="1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 the market”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time, including, among other things, market conditions, the trading price of our common stock, capital needs and determinations by us of the appropriate sources of its funding. During the three months ended June 30, 2022, we sold 6,749,344 shares of common stock for net proceeds of $14.0 million under the ATM Agreement. We currently intend to use the net proceeds from any sale of shares pursuant to the ATM Agreement for working capital and general corporate purposes.</w:t>
      </w:r>
    </w:p>
    <w:p>
      <w:pPr>
        <w:spacing w:after="0" w:line="126"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On April 29, 2022, we entered into a loan and security agreement (the “Loan Agreement”) with Hercules Capital, Inc. (“Hercules”). The Loan Agreement provides us with the term loan of up to $50.0 million, subject to terms and conditions. $20.0 million has been drawn to date under the Loan Agreement, and can be used for general working capital purposes. For additional information, see “Debt Arrangements” below.</w:t>
      </w:r>
    </w:p>
    <w:p>
      <w:pPr>
        <w:spacing w:after="0" w:line="12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As of June 30, 2022, we had an accumulated deficit of $363.8 million and cash and cash equivalents of $159.7 million. We have experienced recurring losses from operations, and negative cash flows from operations, and we expect to continue operating at a loss and to have negative cash flows from operations for the foreseeable future. We believe our cash and cash equivalents on hand, together with cash we expect to generate from future operations, will be sufficient to meet our working capital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the widespread COVID-19 pandemic, including variants,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w:t>
      </w:r>
    </w:p>
    <w:p>
      <w:pPr>
        <w:spacing w:after="0" w:line="17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described above, on April 29, 2022, we entered into the Loan Agreement with Hercules, which provides us with a term loan facility of up to $50.0 million, subject to terms and conditions (the “Term Loan Facility”). As of June 30, 2022, $20.0 million has been drawn to date under the Loan Agreement, and can be used for general working capital purposes subject to certain terms and conditions. We may borrow an additional $20.0 million on or before March 15, 2023, subject satisfying certain conditions. An additional $10.0 million may be drawn on or before June 15, 2023, subject to satisfying certain conditions relating to the achievement of trailing twelve-month revenue and profit milestones.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additional information regarding the terms of the Loan Agreement, see Note 5,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7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June 30, 2022, while others are considered future commitments. Our contractual obligations primarily consist of non-cancelable purchase commitments with various parties to purchase goods or services, primarily inventory, entered into in the normal course of business, operating leases and obligations related to Loan Agreement with Hercules. For information regarding our other contractual obligations, refer to Note 7, Commitments and Contingencies and our Annual Report on Form 10-K as filed with the SEC on February 28,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3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39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39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3920" w:type="dxa"/>
            <w:vAlign w:val="bottom"/>
            <w:shd w:val="clear" w:color="auto" w:fill="CCEEFF"/>
          </w:tcPr>
          <w:p>
            <w:pPr>
              <w:jc w:val="center"/>
              <w:ind w:right="1530"/>
              <w:spacing w:after="0"/>
              <w:rPr>
                <w:sz w:val="20"/>
                <w:szCs w:val="20"/>
                <w:color w:val="auto"/>
              </w:rPr>
            </w:pPr>
            <w:r>
              <w:rPr>
                <w:rFonts w:ascii="Times New Roman" w:cs="Times New Roman" w:eastAsia="Times New Roman" w:hAnsi="Times New Roman"/>
                <w:sz w:val="18"/>
                <w:szCs w:val="18"/>
                <w:color w:val="auto"/>
                <w:w w:val="99"/>
              </w:rPr>
              <w:t>Net cash provided by (used in):</w:t>
            </w:r>
          </w:p>
        </w:tc>
        <w:tc>
          <w:tcPr>
            <w:tcW w:w="4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39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Operating activities</w:t>
            </w:r>
          </w:p>
        </w:tc>
        <w:tc>
          <w:tcPr>
            <w:tcW w:w="4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(28,346)</w:t>
            </w:r>
          </w:p>
        </w:tc>
      </w:tr>
      <w:tr>
        <w:trPr>
          <w:trHeight w:val="229"/>
        </w:trPr>
        <w:tc>
          <w:tcPr>
            <w:tcW w:w="3920" w:type="dxa"/>
            <w:vAlign w:val="bottom"/>
            <w:shd w:val="clear" w:color="auto" w:fill="CCEEFF"/>
          </w:tcPr>
          <w:p>
            <w:pPr>
              <w:jc w:val="center"/>
              <w:ind w:right="1550"/>
              <w:spacing w:after="0"/>
              <w:rPr>
                <w:sz w:val="20"/>
                <w:szCs w:val="20"/>
                <w:color w:val="auto"/>
              </w:rPr>
            </w:pPr>
            <w:r>
              <w:rPr>
                <w:rFonts w:ascii="Times New Roman" w:cs="Times New Roman" w:eastAsia="Times New Roman" w:hAnsi="Times New Roman"/>
                <w:sz w:val="18"/>
                <w:szCs w:val="18"/>
                <w:color w:val="auto"/>
                <w:w w:val="99"/>
              </w:rPr>
              <w:t>Investing activities</w:t>
            </w:r>
          </w:p>
        </w:tc>
        <w:tc>
          <w:tcPr>
            <w:tcW w:w="4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4"/>
        </w:trPr>
        <w:tc>
          <w:tcPr>
            <w:tcW w:w="392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Financing activities</w:t>
            </w:r>
          </w:p>
        </w:tc>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33,599</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257,791</w:t>
            </w:r>
          </w:p>
        </w:tc>
      </w:tr>
      <w:tr>
        <w:trPr>
          <w:trHeight w:val="900"/>
        </w:trPr>
        <w:tc>
          <w:tcPr>
            <w:tcW w:w="3920" w:type="dxa"/>
            <w:vAlign w:val="bottom"/>
          </w:tcPr>
          <w:p>
            <w:pPr>
              <w:spacing w:after="0"/>
              <w:rPr>
                <w:sz w:val="24"/>
                <w:szCs w:val="24"/>
                <w:color w:val="auto"/>
              </w:rPr>
            </w:pPr>
          </w:p>
        </w:tc>
        <w:tc>
          <w:tcPr>
            <w:tcW w:w="436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operating activities used $55.4 million in cash. The primary factors affecting our operating cash flows during this period were our net loss of $60.4 million, impacted by our non-cash charges of $16.6 million primarily consisting of stock-based compensation of $16.9 million, a $7.1 million change in fair value of warrant liabilities, depreciation and amortization of $4.7 million, change in right-of-use asset of $1.4 million, interest expense and amortization of debt issuance costs and debt discount of $0.4 million. The changes in our operating assets and liabilities of $11.6 million were primarily due to a decrease in operating lease liability of $1.6 million, an increase in accounts payable of $1.1 million, a decrease in accounts receivable of $1.3 million and an increase in accrued and other liabilities of $0.3 million.</w:t>
      </w:r>
    </w:p>
    <w:p>
      <w:pPr>
        <w:spacing w:after="0" w:line="133"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2021, operating activities used $28.3 million in cash. The primary factors affecting our operating cash flows during this period were our net loss of $53.0 million, impacted by our non-cash charges of $30.0 million primarily consisting of inventory write down of $0.1 million, interest expense and amortization of debt issuance costs and debt discount of $0.3 million, depreciation and amortization of $2.3 million, change in right-of-use asset of $1.0 million, stock-based compensation of $11.4 million. The changes in our operating assets and liabilities of $5.4 million were primarily due to an increase in accounts receivable of $2.3 million, an decrease of accounts payable of $3.3 million, and an increase in accrued and other current liabilities of $1.7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cash used in investing activities was $1.0 million, which was related to purchases of property, plant and equipment, partially offset by sales of property and equipment.</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cash used in investing activities was $0.7 million, which was related to purchases of property, plant and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right="660" w:firstLine="40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cash provided by financing activities was $33.6 million, consisting primarily of $19.1 million of proceeds from borrowings, net of debt discount and issuance costs, $14.6 million of proceeds from the issuance of common stock under the ATM Agreement, net of commissions and fees and proceeds from exercise of stock options of $0.3 million.</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2021, cash provided by financing activities was $257.8 million, consisting primarily of $291.5 million of net proceeds from the Merger and private placement that was consummated concurrent with the Merger offset by offering costs of $27.1 million, and proceeds from the exercise of stock options of $0.5 million, partially offset by repayment of debt of $7.0 million. There were promissory notes to related parties of $5.0 million that were issued and repaid during the six months ended June 30,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 in our Annual Report on Form 10-K for the year ended December 31, 2021. There have been no significant changes to our critical accounting policies since the filing of our Annual Report on Form 10-K for the year ended December 31, 2021 except for the addition of deferred debt financing costs as a significant accounting policy, which is described in Note 2 – Summary of Significant Accounting Policies to our unaudited condensed consolidated financial statements included in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Refer to Note 2 in our unaudited condensed consolidated financial statements contained elsewhere in this Quarterly Report on Form 10-Q for recently adopted accounting pronouncements and recently issued accounting pronouncements not yet adopted as of the date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7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For the year ending December 31, 2022, we expect that we will be considered a “smaller reporting company” and a “non-accelerated filer” as defined by Rule 12b-2 of the Exchange Act. We therefore would be exempt from certain disclosure requirements and permitted to rely on certain reduced disclosure requirements. For instance, smaller reporting companies are not required to obtain an auditor attestation report regarding management’s assessment of internal control over financial reporting; are not required to provide a compensation discussion and analysis; and may present only two years of audited financial statements and related MD&amp;A disclosure.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we had cash and cash equivalents of approximately $159.7 million, out of which $156.9 million consisted of institutional money market funds, which carries a degree of interest rate risk. A hypothetical 10% change in interest rates would not have a material impact on our financial condition or results of operations due to the short-term nature of our investment portfolio.</w:t>
      </w:r>
    </w:p>
    <w:p>
      <w:pPr>
        <w:spacing w:after="0" w:line="122" w:lineRule="exact"/>
        <w:rPr>
          <w:sz w:val="20"/>
          <w:szCs w:val="20"/>
          <w:color w:val="auto"/>
        </w:rPr>
      </w:pPr>
    </w:p>
    <w:p>
      <w:pPr>
        <w:jc w:val="both"/>
        <w:ind w:right="300" w:firstLine="405"/>
        <w:spacing w:after="0" w:line="257" w:lineRule="auto"/>
        <w:rPr>
          <w:sz w:val="20"/>
          <w:szCs w:val="20"/>
          <w:color w:val="auto"/>
        </w:rPr>
      </w:pPr>
      <w:r>
        <w:rPr>
          <w:rFonts w:ascii="Times New Roman" w:cs="Times New Roman" w:eastAsia="Times New Roman" w:hAnsi="Times New Roman"/>
          <w:sz w:val="18"/>
          <w:szCs w:val="18"/>
          <w:color w:val="auto"/>
        </w:rPr>
        <w:t>In addition, our operating results are subject to risk from interest rate fluctuations on borrowings under our Loan Agreement, which carry variable interest rates. Interest rate risk is the exposure to loss resulting from changes in the level of interest rates and the spread between different interest rates. Because our borrowings under our Loan Agreement bear interest at variable rates, we are exposed to market risks relating to changes in interest rates.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 As of June 30, 2022, we had $19.1 million of variable rate debt outstanding under our Loan Agreement. Based upon a sensitivity analysis of our debt levels on June 30, 2022, an increase or decrease of 1% in the effective interest rate would cause an increase or decrease in interest expense of approximately $0.2 million over the next 12 months. We do not use derivative financial instruments for speculative or trading purposes, but this does not preclude our adoption of specific hedging strategies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7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June 30, 2022 due to the material weaknesses in our internal control over financial reporting described below.</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and Remediation Plan</w:t>
      </w:r>
    </w:p>
    <w:p>
      <w:pPr>
        <w:spacing w:after="0" w:line="121"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68" w:lineRule="exact"/>
        <w:rPr>
          <w:sz w:val="20"/>
          <w:szCs w:val="20"/>
          <w:color w:val="auto"/>
        </w:rPr>
      </w:pPr>
    </w:p>
    <w:p>
      <w:pPr>
        <w:ind w:left="500" w:right="80" w:hanging="330"/>
        <w:spacing w:after="0" w:line="256"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79" w:lineRule="exact"/>
        <w:rPr>
          <w:rFonts w:ascii="Times New Roman" w:cs="Times New Roman" w:eastAsia="Times New Roman" w:hAnsi="Times New Roman"/>
          <w:sz w:val="18"/>
          <w:szCs w:val="18"/>
          <w:color w:val="auto"/>
        </w:rPr>
      </w:pPr>
    </w:p>
    <w:p>
      <w:pPr>
        <w:ind w:left="500" w:right="80" w:hanging="330"/>
        <w:spacing w:after="0" w:line="253"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8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taken several measures to remediate the foregoing material weaknesses. To date, our efforts have included the following:</w:t>
      </w:r>
    </w:p>
    <w:p>
      <w:pPr>
        <w:spacing w:after="0" w:line="117" w:lineRule="exact"/>
        <w:rPr>
          <w:sz w:val="20"/>
          <w:szCs w:val="20"/>
          <w:color w:val="auto"/>
        </w:rPr>
      </w:pPr>
    </w:p>
    <w:p>
      <w:pPr>
        <w:ind w:left="500" w:right="20" w:hanging="330"/>
        <w:spacing w:after="0" w:line="282"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additional personnel with appropriate internal controls and accounting knowledge and experience commensurate with our accounting and reporting requirements, in addition to engaging and utilizing third party consultants and specialists.</w:t>
      </w:r>
    </w:p>
    <w:p>
      <w:pPr>
        <w:spacing w:after="0" w:line="53" w:lineRule="exact"/>
        <w:rPr>
          <w:rFonts w:ascii="Times New Roman" w:cs="Times New Roman" w:eastAsia="Times New Roman" w:hAnsi="Times New Roman"/>
          <w:sz w:val="18"/>
          <w:szCs w:val="18"/>
          <w:color w:val="auto"/>
        </w:rPr>
      </w:pPr>
    </w:p>
    <w:p>
      <w:pPr>
        <w:ind w:left="500" w:right="580" w:hanging="330"/>
        <w:spacing w:after="0" w:line="282"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entity level controls (ELCs) including increasing Board and Audit Committee oversight, expanding senior management review of financial and business performance, creating an internal audit function and charter, and providing code of conduct trainings.</w:t>
      </w:r>
    </w:p>
    <w:p>
      <w:pPr>
        <w:spacing w:after="0" w:line="53" w:lineRule="exact"/>
        <w:rPr>
          <w:rFonts w:ascii="Times New Roman" w:cs="Times New Roman" w:eastAsia="Times New Roman" w:hAnsi="Times New Roman"/>
          <w:sz w:val="18"/>
          <w:szCs w:val="18"/>
          <w:color w:val="auto"/>
        </w:rPr>
      </w:pPr>
    </w:p>
    <w:p>
      <w:pPr>
        <w:ind w:left="500" w:right="520" w:hanging="330"/>
        <w:spacing w:after="0" w:line="282"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IT governance and designing IT general controls including restricted user access to our internal systems for financial reporting, change management, program development and computer operations.</w:t>
      </w:r>
    </w:p>
    <w:p>
      <w:pPr>
        <w:spacing w:after="0" w:line="53" w:lineRule="exact"/>
        <w:rPr>
          <w:rFonts w:ascii="Times New Roman" w:cs="Times New Roman" w:eastAsia="Times New Roman" w:hAnsi="Times New Roman"/>
          <w:sz w:val="18"/>
          <w:szCs w:val="18"/>
          <w:color w:val="auto"/>
        </w:rPr>
      </w:pPr>
    </w:p>
    <w:p>
      <w:pPr>
        <w:ind w:left="500" w:right="400" w:hanging="330"/>
        <w:spacing w:after="0" w:line="282"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additional controls for financial close and reporting including review of accounting policies, journal entry review controls, review of significant or non-routine transactions, period end close procedures, financial statement preparation, review, and reporting.</w:t>
      </w:r>
    </w:p>
    <w:p>
      <w:pPr>
        <w:spacing w:after="0" w:line="5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Other than execution of the material weakness remediation plan activities described above, there has been no change in our internal control over financial reporting (as that term is defined in Rules 13a-15(f) and 15d-15(f) under the Exchange Act) during the three months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On June 10, 2021, the Company received a letter from the SEC notifying us of an investigation and document subpoena. The subpoena seeks documents regarding projected financial information in CLA’s Form S-4 registration statement filed on December 22, 2020. The Company has complied with the SEC’s requests to date; however, the SEC may request additional documents or information.</w:t>
      </w:r>
    </w:p>
    <w:p>
      <w:pPr>
        <w:spacing w:after="0" w:line="12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June 14, 2022, Velodyne Lidar USA, Inc. (“Velodyne”) filed a lawsuit against the Company relating to two patents and requested an International Trade Commission proceeding with respect to the same two patents. On July 8, 2022, the Company filed a complaint against Velodyne, alleging multiple claims including intellectual property misappropriation and false advertising.</w:t>
      </w:r>
    </w:p>
    <w:p>
      <w:pPr>
        <w:spacing w:after="0" w:line="12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There is no material litigation, arbitration or governmental proceeding currently pending or to Ouster’s knowledge, threatened against us or any members of Ouster’s management team in their capacity as such. See Part I, Item 1 “Financial Statements (Unaudited) - Note 7. Commitments and Contingencies”.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the Company’s Annual Report on Form 10-K filed with the SEC on February 28, 2022, other than the following: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industries we target or the global economy more generally could have adverse effects on our results of operations.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While we make our strategic planning decisions based on the assumption that the markets we are targeting will grow, our business is dependent, in large part on, and directly affected by, business cycles and other factors affecting the robotics, industrial automation, smart infrastructure, and transportation industries and global economy generally. Our target markets are highly cyclical and depend on general economic conditions and other factors, including consumer spending and preferences, changes in interest rates and credit availability, consumer confidence, inflation, environmental impact, governmental incentives and regulatory requirements, political volatility, labor relations issues, trade agreements and other factors.</w:t>
      </w:r>
    </w:p>
    <w:p>
      <w:pPr>
        <w:spacing w:after="0" w:line="12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For example, general inflation in the United States,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become involved in legal and regulatory proceedings and commercial or contractual disputes, which could have a material adverse effect on our profitability and consolidated financial position.</w:t>
      </w:r>
    </w:p>
    <w:p>
      <w:pPr>
        <w:spacing w:after="0" w:line="10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have been and may in the future be, from time to time, involved in litigation, regulatory proceedings and commercial or contractual disputes and these matters may be significant. These matters may include, without limitation, disputes with our distributors, suppliers and customers, intellectual property claims, stockholder litigation, government investigations, class action lawsuits, personal injury claims, environmental issues, customs and value-added tax disputes and employment and tax issues. In addition, we have in the past and could face in the future a variety of labor and employment claims against us, which could include but is not limited to general discrimination, wage and hour, privacy, ERISA or disability claims. In such matters, government agencies or private parties may seek to recover from us large, indeterminate amounts in penalties or monetary damages (including, in some cases, treble or punitive damages) or seek to limit our operations in some way. These types of lawsuits could require significant management time and attention or could involve substantial legal liability, adverse regulatory outcomes, or substantial expenses to defend. Often these cases raise complex factual and legal issues and create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For example, on June 14, 2022, Velodyne filed a lawsuit against the Company in the District Court for the Northern District of California relating to two patents and requested an International Trade Commission proceeding alleging patent infringement with respect to the same two patents. On July 8, 2022, the Company filed a complaint against Velodyne in the Superior Court of California, alleging multiple claims including intellectual property misappropriation and false advertising.</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on June 10, 2021, we received a letter from the SEC notifying us of an investigation and document subpoena. The subpoena seeks documents regarding projected financial information in CLA’s Form S-4 registration statement filed on December 22, 2020. We are cooperating with the SEC’s subpoena. There can be no assurance whether there will be further information requests or potential litigation, which is necessarily uncertain.</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not possible to predict the outcome of the ongoing lawsuits, including when or how these matters will be resolved. Regardless of whether the Company is ultimately successful in these lawsuits, such matters could result in substantial costs and significantly and adversely impact the Company’s reputation and divert management’s attention and resources, which could have a material adverse effect on its business, operating results and financial condition, and negatively affect the price of the Company’s common stock. No assurances can be given that any proceedings and claims will not have a material adverse impact on our operating results and consolidated financial position or that our available insurance will mitigate this impact.</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or prevent competitors or other unauthorized parties from copying or reverse engineering our technology.</w:t>
      </w:r>
    </w:p>
    <w:p>
      <w:pPr>
        <w:spacing w:after="0" w:line="105"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patents and other intellectual property rights covering our technology and products, and to maintain adequate legal protection for our technology and products in the United States and worldwide. We rely on patent, trademark, copyright, and trade secret laws, as well as confidentiality procedures and contractual restrictions, to establish and protect our proprietary rights, all of which provide only limited protections.</w:t>
      </w:r>
    </w:p>
    <w:p>
      <w:pPr>
        <w:spacing w:after="0" w:line="12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can make no assurances whether any of our pending patent applications will mature into issued patents, or that any of our pending trademark applications will be registered, in a manner that gives us any or adequate defensive protection or competitive advantages. We also cannot assure whether any patents issued to us or any trademarks registered by us will not be challenged, invalidated or circumvented. Our portfolio of currently-issued patents and registered trademarks, and any patents that may be issued, any copyrights and trademarks that may be registered in the future, may not provide sufficiently broad protections to us, or may not prove to be enforceable in actions against third parties. We cannot be certain that the actions we have undertaken to protect our technology and products will prevent unauthorized use of our technology or the reverse engineering of our products. Moreover, others may independently develop technologies and products that compete with ours, or infringe our intellectual property.</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filed for patents and trademarks in the United States and in certain international jurisdictions, but such protections may not be available, and we may not have applied for protections in all countries in which we operate or sell our products. Though we may have obtained intellectual property and related proprietary rights in various jurisdictions, it may prove difficult to enforce our intellectual property rights in practice. Discovering and protecting against unauthorized use of our intellectual property, products and other proprietary rights is expensive and difficult, particularly internationally. We believe that our patents are foundational in the area of lidar products, and intend to enforce our intellectual property rights. Competitors and other unauthorized parties may attempt to copy or reverse engineer our lidar technology and other aspects of our solutions that we consider proprietary. Litigation may be necessary in the future to enforce or defend our intellectual property rights, to prevent unauthorized parties from copying or reverse engineering our products, to determine the validity and scope of the proprietary rights of others or to block the importation of infringing products into the United States or other markets. Failure to adequately protect our intellectual property rights could result in our competitors offering similar products, potentially resulting in the loss of some of our competitive advantage, market share and a decrease in our revenue, which would adversely affect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we are infringing third-party intellectual property, whether successful or not, could subject us to costly and time-consuming litigation or expensive licenses, and adversely affect our business.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intellectual property and related contractual litigation, if it is initiated in the future by us or a third party, such as the Velodyne actions, would result in substantial costs and diversion of management resources, either of which could materially and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attempts to enforce our rights against third parties could also lead these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Lidar is a heavily populated intellectual property field, in which many companies, both within and outside of the lidar industry, hold patents covering lidar products and other adjacent technologies. In addition to patents, companies in the lidar industry typically rely on copyrights and trade secrets to protect their technology. As a result, there has been frequent litigation in the lidar industry based on allegations of patent infringement, misappropriation or other violations of intellectual property rights. We have, and in the future may, receive inquiries from other intellectual property holders and we are subject and may become subject to claims that we infringe others’ intellectual property rights, particularly as our market presence increases, as our products expand to new use cases and geographies, and as we face increasing competition. In addition, parties may claim that our name and the branding of our products infringe their trademark rights in certain countries or territories. If such a claim were to prevail, we may have to change the names of and branding of our products in the affected territories which would be costly and could cause market confusion.</w:t>
      </w:r>
    </w:p>
    <w:p>
      <w:pPr>
        <w:spacing w:after="0" w:line="13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currently have various agreements in effect pursuant to which we have agreed to defend, indemnify and hold harmless our customers, suppliers, and other partners from damages and costs which may arise from the infringement by our products of third-party patents or other intellectual property rights. The scope of these indemnity obligations may vary and in some instances, include indemnification for damages and expenses, including attorneys’ fees. Our insurance does not typically cover intellectual property infringement claims. A claim that our products infringe a third party’s intellectual property rights, even if unsuccessful, could adversely affect our relationships with our customers and deter future customers from purchasing our products. Our defense of intellectual property rights claims brought against us, or our customers, suppliers or partners, with or without merit, could be time-consuming and expensive to litigate or settle.</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Even if we are not a party to any litigation between a customer and a third party relating to infringement of its products, an adverse outcome in any such litigation could make it more difficult for us to defend our products against intellectual property infringement claims in any subsequent litigation matter in which we are a named party. Any of these results could adversely affect our brand and operating results.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intellectual property and related contractual litigation, if it is initiated in the future by us or a third party, would result in substantial costs and diversion of management resources, either of which could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rights against third parties could also lead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any securities during the three months ended June 30, 2022 that were not registered under the Securities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purchase any of our equity securities that are registered under Section 12(b) of the Exchange Act during the three months ended June 30,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33"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480" w:type="dxa"/>
            <w:vAlign w:val="bottom"/>
            <w:gridSpan w:val="3"/>
            <w:vMerge w:val="continue"/>
          </w:tcPr>
          <w:p>
            <w:pPr>
              <w:spacing w:after="0"/>
              <w:rPr>
                <w:sz w:val="21"/>
                <w:szCs w:val="21"/>
                <w:color w:val="auto"/>
              </w:rPr>
            </w:pPr>
          </w:p>
        </w:tc>
        <w:tc>
          <w:tcPr>
            <w:tcW w:w="3620" w:type="dxa"/>
            <w:vAlign w:val="bottom"/>
            <w:gridSpan w:val="3"/>
            <w:vMerge w:val="continue"/>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0</wp:posOffset>
            </wp:positionV>
            <wp:extent cx="720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89"/>
        </w:trPr>
        <w:tc>
          <w:tcPr>
            <w:tcW w:w="320" w:type="dxa"/>
            <w:vAlign w:val="bottom"/>
            <w:tcBorders>
              <w:bottom w:val="single" w:sz="8" w:color="0000FF"/>
            </w:tcBorders>
            <w:gridSpan w:val="2"/>
          </w:tcPr>
          <w:p>
            <w:pPr>
              <w:spacing w:after="0" w:line="149"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80" w:type="dxa"/>
            <w:vAlign w:val="bottom"/>
            <w:tcBorders>
              <w:bottom w:val="single" w:sz="8" w:color="0000FF"/>
            </w:tcBorders>
            <w:gridSpan w:val="12"/>
          </w:tcPr>
          <w:p>
            <w:pPr>
              <w:spacing w:after="0" w:line="163"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Agreement and Plan of Merger, dated as of December</w:t>
              </w:r>
            </w:hyperlink>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S-4/A</w:t>
            </w:r>
          </w:p>
        </w:tc>
        <w:tc>
          <w:tcPr>
            <w:tcW w:w="10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333-251611</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2/10/2021</w:t>
            </w:r>
          </w:p>
        </w:tc>
      </w:tr>
      <w:tr>
        <w:trPr>
          <w:trHeight w:val="189"/>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20" w:type="dxa"/>
            <w:vAlign w:val="bottom"/>
            <w:tcBorders>
              <w:bottom w:val="single" w:sz="8" w:color="0000FF"/>
            </w:tcBorders>
            <w:gridSpan w:val="11"/>
          </w:tcPr>
          <w:p>
            <w:pPr>
              <w:spacing w:after="0" w:line="189"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21, 2020, by and among the Company, Beam Merger</w:t>
              </w:r>
            </w:hyperlink>
          </w:p>
        </w:tc>
        <w:tc>
          <w:tcPr>
            <w:tcW w:w="42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73">
              <w:r>
                <w:rPr>
                  <w:rFonts w:ascii="Times New Roman" w:cs="Times New Roman" w:eastAsia="Times New Roman" w:hAnsi="Times New Roman"/>
                  <w:sz w:val="18"/>
                  <w:szCs w:val="18"/>
                  <w:color w:val="0000FF"/>
                  <w:w w:val="98"/>
                </w:rPr>
                <w:t>Sub, Inc. and Ouster, Inc.</w:t>
              </w:r>
            </w:hyperlink>
          </w:p>
        </w:tc>
        <w:tc>
          <w:tcPr>
            <w:tcW w:w="2400" w:type="dxa"/>
            <w:vAlign w:val="bottom"/>
            <w:gridSpan w:val="13"/>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7"/>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7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Certificate of Incorporation of Ouster, Inc.</w:t>
              </w:r>
            </w:hyperlink>
          </w:p>
        </w:tc>
        <w:tc>
          <w:tcPr>
            <w:tcW w:w="1180" w:type="dxa"/>
            <w:vAlign w:val="bottom"/>
            <w:gridSpan w:val="9"/>
          </w:tcPr>
          <w:p>
            <w:pPr>
              <w:spacing w:after="0"/>
              <w:rPr>
                <w:sz w:val="22"/>
                <w:szCs w:val="22"/>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S-4 POS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333-251611</w:t>
            </w:r>
          </w:p>
        </w:tc>
        <w:tc>
          <w:tcPr>
            <w:tcW w:w="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3/10/2021</w:t>
            </w:r>
          </w:p>
        </w:tc>
      </w:tr>
      <w:tr>
        <w:trPr>
          <w:trHeight w:val="250"/>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7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75">
              <w:r>
                <w:rPr>
                  <w:rFonts w:ascii="Times New Roman" w:cs="Times New Roman" w:eastAsia="Times New Roman" w:hAnsi="Times New Roman"/>
                  <w:sz w:val="18"/>
                  <w:szCs w:val="18"/>
                  <w:color w:val="0000FF"/>
                  <w:w w:val="98"/>
                </w:rPr>
                <w:t>Bylaws of Ouster, Inc.</w:t>
              </w:r>
            </w:hyperlink>
          </w:p>
        </w:tc>
        <w:tc>
          <w:tcPr>
            <w:tcW w:w="2620" w:type="dxa"/>
            <w:vAlign w:val="bottom"/>
            <w:gridSpan w:val="14"/>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S-4 POS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333-251611</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3/10/2021</w:t>
            </w:r>
          </w:p>
        </w:tc>
      </w:tr>
      <w:tr>
        <w:trPr>
          <w:trHeight w:val="230"/>
        </w:trPr>
        <w:tc>
          <w:tcPr>
            <w:tcW w:w="340" w:type="dxa"/>
            <w:vAlign w:val="bottom"/>
            <w:gridSpan w:val="3"/>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720" w:type="dxa"/>
            <w:vAlign w:val="bottom"/>
          </w:tcPr>
          <w:p>
            <w:pPr>
              <w:spacing w:after="0"/>
              <w:rPr>
                <w:sz w:val="20"/>
                <w:szCs w:val="20"/>
                <w:color w:val="auto"/>
              </w:rPr>
            </w:pPr>
          </w:p>
        </w:tc>
        <w:tc>
          <w:tcPr>
            <w:tcW w:w="4240" w:type="dxa"/>
            <w:vAlign w:val="bottom"/>
            <w:gridSpan w:val="15"/>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Ouster, Inc. 2022 Employee Stock Purchase Plan</w:t>
              </w:r>
            </w:hyperlink>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001-39463</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6/14/2022</w:t>
            </w:r>
          </w:p>
        </w:tc>
      </w:tr>
      <w:tr>
        <w:trPr>
          <w:trHeight w:val="27"/>
        </w:trPr>
        <w:tc>
          <w:tcPr>
            <w:tcW w:w="340" w:type="dxa"/>
            <w:vAlign w:val="bottom"/>
            <w:gridSpan w:val="3"/>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52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20" w:type="dxa"/>
            <w:vAlign w:val="bottom"/>
          </w:tcPr>
          <w:p>
            <w:pPr>
              <w:spacing w:after="0"/>
              <w:rPr>
                <w:sz w:val="21"/>
                <w:szCs w:val="21"/>
                <w:color w:val="auto"/>
              </w:rPr>
            </w:pPr>
          </w:p>
        </w:tc>
        <w:tc>
          <w:tcPr>
            <w:tcW w:w="4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Rules 13a-14(a)/15d-14(a) under the Securities</w:t>
            </w:r>
          </w:p>
        </w:tc>
        <w:tc>
          <w:tcPr>
            <w:tcW w:w="22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820" w:type="dxa"/>
            <w:vAlign w:val="bottom"/>
            <w:tcBorders>
              <w:top w:val="single" w:sz="8" w:color="0000FF"/>
            </w:tcBorders>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26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9"/>
        </w:trPr>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20" w:type="dxa"/>
            <w:vAlign w:val="bottom"/>
          </w:tcPr>
          <w:p>
            <w:pPr>
              <w:spacing w:after="0"/>
              <w:rPr>
                <w:sz w:val="18"/>
                <w:szCs w:val="18"/>
                <w:color w:val="auto"/>
              </w:rPr>
            </w:pPr>
          </w:p>
        </w:tc>
        <w:tc>
          <w:tcPr>
            <w:tcW w:w="4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Rules 13a-14(a)/15d-14(a) under the Securities</w:t>
            </w:r>
          </w:p>
        </w:tc>
        <w:tc>
          <w:tcPr>
            <w:tcW w:w="26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820" w:type="dxa"/>
            <w:vAlign w:val="bottom"/>
            <w:tcBorders>
              <w:top w:val="single" w:sz="8" w:color="0000FF"/>
            </w:tcBorders>
            <w:gridSpan w:val="2"/>
          </w:tcPr>
          <w:p>
            <w:pPr>
              <w:spacing w:after="0"/>
              <w:rPr>
                <w:sz w:val="14"/>
                <w:szCs w:val="14"/>
                <w:color w:val="auto"/>
              </w:rPr>
            </w:pPr>
          </w:p>
        </w:tc>
        <w:tc>
          <w:tcPr>
            <w:tcW w:w="560" w:type="dxa"/>
            <w:vAlign w:val="bottom"/>
            <w:gridSpan w:val="6"/>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4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4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540" w:type="dxa"/>
            <w:vAlign w:val="bottom"/>
            <w:tcBorders>
              <w:top w:val="single" w:sz="8" w:color="0000FF"/>
            </w:tcBorders>
            <w:gridSpan w:val="10"/>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9"/>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w:t>
            </w:r>
          </w:p>
        </w:tc>
        <w:tc>
          <w:tcPr>
            <w:tcW w:w="3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4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560" w:type="dxa"/>
            <w:vAlign w:val="bottom"/>
            <w:tcBorders>
              <w:top w:val="single" w:sz="8" w:color="0000FF"/>
            </w:tcBorders>
            <w:gridSpan w:val="11"/>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0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42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40" w:type="dxa"/>
            <w:vAlign w:val="bottom"/>
            <w:gridSpan w:val="15"/>
          </w:tcPr>
          <w:p>
            <w:pPr>
              <w:spacing w:after="0" w:line="204"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ind w:left="1080"/>
        <w:spacing w:after="0" w:line="203" w:lineRule="auto"/>
        <w:rPr>
          <w:sz w:val="20"/>
          <w:szCs w:val="20"/>
          <w:color w:val="auto"/>
        </w:rPr>
      </w:pPr>
      <w:r>
        <w:rPr>
          <w:rFonts w:ascii="Times New Roman" w:cs="Times New Roman" w:eastAsia="Times New Roman" w:hAnsi="Times New Roman"/>
          <w:sz w:val="18"/>
          <w:szCs w:val="18"/>
          <w:color w:val="auto"/>
        </w:rPr>
        <w:t>because its XBRL tags are embedded within the Inline</w:t>
      </w:r>
    </w:p>
    <w:p>
      <w:pPr>
        <w:ind w:left="1080"/>
        <w:spacing w:after="0"/>
        <w:rPr>
          <w:sz w:val="20"/>
          <w:szCs w:val="20"/>
          <w:color w:val="auto"/>
        </w:rPr>
      </w:pPr>
      <w:r>
        <w:rPr>
          <w:rFonts w:ascii="Times New Roman" w:cs="Times New Roman" w:eastAsia="Times New Roman" w:hAnsi="Times New Roman"/>
          <w:sz w:val="18"/>
          <w:szCs w:val="18"/>
          <w:color w:val="auto"/>
        </w:rPr>
        <w:t>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553" w:lineRule="exact"/>
        <w:rPr>
          <w:sz w:val="20"/>
          <w:szCs w:val="20"/>
          <w:color w:val="auto"/>
        </w:rPr>
      </w:pPr>
    </w:p>
    <w:p>
      <w:pPr>
        <w:sectPr>
          <w:pgSz w:w="11900" w:h="16838" w:orient="portrait"/>
          <w:cols w:equalWidth="0" w:num="2">
            <w:col w:w="10020" w:space="560"/>
            <w:col w:w="6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6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820" w:type="dxa"/>
            <w:vAlign w:val="bottom"/>
          </w:tcPr>
          <w:p>
            <w:pPr>
              <w:spacing w:after="0"/>
              <w:rPr>
                <w:sz w:val="19"/>
                <w:szCs w:val="19"/>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101.DEF</w:t>
            </w:r>
          </w:p>
        </w:tc>
        <w:tc>
          <w:tcPr>
            <w:tcW w:w="702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225"/>
        </w:trPr>
        <w:tc>
          <w:tcPr>
            <w:tcW w:w="86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820" w:type="dxa"/>
            <w:vAlign w:val="bottom"/>
          </w:tcPr>
          <w:p>
            <w:pPr>
              <w:spacing w:after="0"/>
              <w:rPr>
                <w:sz w:val="19"/>
                <w:szCs w:val="19"/>
                <w:color w:val="auto"/>
              </w:rPr>
            </w:pPr>
          </w:p>
        </w:tc>
      </w:tr>
      <w:tr>
        <w:trPr>
          <w:trHeight w:val="24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6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Linkbase Document</w:t>
            </w:r>
          </w:p>
        </w:tc>
        <w:tc>
          <w:tcPr>
            <w:tcW w:w="2820" w:type="dxa"/>
            <w:vAlign w:val="bottom"/>
          </w:tcPr>
          <w:p>
            <w:pPr>
              <w:spacing w:after="0"/>
              <w:rPr>
                <w:sz w:val="19"/>
                <w:szCs w:val="19"/>
                <w:color w:val="auto"/>
              </w:rPr>
            </w:pPr>
          </w:p>
        </w:tc>
      </w:tr>
      <w:tr>
        <w:trPr>
          <w:trHeight w:val="203"/>
        </w:trPr>
        <w:tc>
          <w:tcPr>
            <w:tcW w:w="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702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2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820" w:type="dxa"/>
            <w:vAlign w:val="bottom"/>
          </w:tcPr>
          <w:p>
            <w:pPr>
              <w:spacing w:after="0"/>
              <w:rPr>
                <w:sz w:val="20"/>
                <w:szCs w:val="20"/>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560" w:hanging="534"/>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this Exhibit have been omitted pursuant to Item 601(b)(2) of Regulation S-K.</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40"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82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Ouster, Inc.</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Anna Brunelle</w:t>
            </w:r>
          </w:p>
        </w:tc>
      </w:tr>
      <w:tr>
        <w:trPr>
          <w:trHeight w:val="216"/>
        </w:trPr>
        <w:tc>
          <w:tcPr>
            <w:tcW w:w="3000" w:type="dxa"/>
            <w:vAlign w:val="bottom"/>
          </w:tcPr>
          <w:p>
            <w:pPr>
              <w:spacing w:after="0"/>
              <w:rPr>
                <w:sz w:val="18"/>
                <w:szCs w:val="18"/>
                <w:color w:val="auto"/>
              </w:rPr>
            </w:pP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Name:</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Anna Brunelle</w:t>
            </w:r>
          </w:p>
        </w:tc>
      </w:tr>
      <w:tr>
        <w:trPr>
          <w:trHeight w:val="182"/>
        </w:trPr>
        <w:tc>
          <w:tcPr>
            <w:tcW w:w="3000" w:type="dxa"/>
            <w:vAlign w:val="bottom"/>
          </w:tcPr>
          <w:p>
            <w:pPr>
              <w:spacing w:after="0"/>
              <w:rPr>
                <w:sz w:val="15"/>
                <w:szCs w:val="15"/>
                <w:color w:val="auto"/>
              </w:rPr>
            </w:pPr>
          </w:p>
        </w:tc>
        <w:tc>
          <w:tcPr>
            <w:tcW w:w="2200" w:type="dxa"/>
            <w:vAlign w:val="bottom"/>
          </w:tcPr>
          <w:p>
            <w:pPr>
              <w:ind w:left="1440"/>
              <w:spacing w:after="0" w:line="182" w:lineRule="exact"/>
              <w:rPr>
                <w:sz w:val="20"/>
                <w:szCs w:val="20"/>
                <w:color w:val="auto"/>
              </w:rPr>
            </w:pPr>
            <w:r>
              <w:rPr>
                <w:rFonts w:ascii="Times New Roman" w:cs="Times New Roman" w:eastAsia="Times New Roman" w:hAnsi="Times New Roman"/>
                <w:sz w:val="18"/>
                <w:szCs w:val="18"/>
                <w:color w:val="auto"/>
              </w:rPr>
              <w:t>Title:</w:t>
            </w:r>
          </w:p>
        </w:tc>
        <w:tc>
          <w:tcPr>
            <w:tcW w:w="6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 and principal accounting</w:t>
            </w:r>
          </w:p>
        </w:tc>
      </w:tr>
      <w:tr>
        <w:trPr>
          <w:trHeight w:val="236"/>
        </w:trPr>
        <w:tc>
          <w:tcPr>
            <w:tcW w:w="3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r>
      <w:tr>
        <w:trPr>
          <w:trHeight w:val="911"/>
        </w:trPr>
        <w:tc>
          <w:tcPr>
            <w:tcW w:w="3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49</w:t>
            </w:r>
          </w:p>
        </w:tc>
      </w:tr>
    </w:tbl>
    <w:p>
      <w:pPr>
        <w:sectPr>
          <w:pgSz w:w="11900" w:h="16838" w:orient="portrait"/>
          <w:cols w:equalWidth="0" w:num="1">
            <w:col w:w="11220"/>
          </w:cols>
          <w:pgMar w:left="320" w:top="121"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jc w:val="both"/>
        <w:ind w:left="540" w:right="240" w:hanging="51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00" w:hanging="51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20" w:hanging="51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280" w:hanging="521"/>
        <w:spacing w:after="0" w:line="266"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1060" w:right="440" w:hanging="521"/>
        <w:spacing w:after="0" w:line="282"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120" w:hanging="51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75" w:lineRule="exact"/>
        <w:rPr>
          <w:sz w:val="20"/>
          <w:szCs w:val="20"/>
          <w:color w:val="auto"/>
        </w:rPr>
      </w:pPr>
    </w:p>
    <w:p>
      <w:pPr>
        <w:ind w:left="1040" w:right="320" w:hanging="521"/>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40" w:hanging="521"/>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5200" w:val="left"/>
          <w:tab w:leader="none" w:pos="588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34290</wp:posOffset>
            </wp:positionV>
            <wp:extent cx="33858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Brunelle, certify that:</w:t>
      </w:r>
    </w:p>
    <w:p>
      <w:pPr>
        <w:spacing w:after="0" w:line="306" w:lineRule="exact"/>
        <w:rPr>
          <w:sz w:val="20"/>
          <w:szCs w:val="20"/>
          <w:color w:val="auto"/>
        </w:rPr>
      </w:pPr>
    </w:p>
    <w:p>
      <w:pPr>
        <w:ind w:left="540" w:hanging="51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jc w:val="both"/>
        <w:ind w:left="540" w:right="240" w:hanging="514"/>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00" w:hanging="51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220" w:hanging="514"/>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280" w:hanging="521"/>
        <w:spacing w:after="0" w:line="266" w:lineRule="auto"/>
        <w:tabs>
          <w:tab w:leader="none" w:pos="10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jc w:val="both"/>
        <w:ind w:left="1060" w:right="440" w:hanging="521"/>
        <w:spacing w:after="0" w:line="282" w:lineRule="auto"/>
        <w:tabs>
          <w:tab w:leader="none" w:pos="10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60" w:right="160" w:hanging="521"/>
        <w:spacing w:after="0" w:line="266" w:lineRule="auto"/>
        <w:tabs>
          <w:tab w:leader="none" w:pos="10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40" w:right="120" w:hanging="51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75" w:lineRule="exact"/>
        <w:rPr>
          <w:sz w:val="20"/>
          <w:szCs w:val="20"/>
          <w:color w:val="auto"/>
        </w:rPr>
      </w:pPr>
    </w:p>
    <w:p>
      <w:pPr>
        <w:ind w:left="1040" w:right="320" w:hanging="521"/>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040" w:hanging="521"/>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5200" w:val="left"/>
          <w:tab w:leader="none" w:pos="588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34290</wp:posOffset>
            </wp:positionV>
            <wp:extent cx="33858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Anna Brunelle</w:t>
      </w:r>
    </w:p>
    <w:p>
      <w:pPr>
        <w:spacing w:after="0" w:line="6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0840"/>
          </w:cols>
          <w:pgMar w:left="340" w:top="1440" w:right="719" w:bottom="1440" w:gutter="0" w:footer="0" w:header="0"/>
        </w:sectPr>
      </w:pPr>
    </w:p>
    <w:bookmarkStart w:id="54" w:name="page55"/>
    <w:bookmarkEnd w:id="54"/>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Ouster, Inc. (the “Company”) for the period ended June 30, 2022 as filed with the Securities and Exchange Commission on the date hereof (the “Report”), I certify, pursuant to 18 U.S.C. § 1350, as adopted pursuant to § 906 of the Sarbanes-Oxley Act of 2002, that:</w:t>
      </w:r>
    </w:p>
    <w:p>
      <w:pPr>
        <w:spacing w:after="0" w:line="257" w:lineRule="exact"/>
        <w:rPr>
          <w:sz w:val="20"/>
          <w:szCs w:val="20"/>
          <w:color w:val="auto"/>
        </w:rPr>
      </w:pPr>
    </w:p>
    <w:p>
      <w:pPr>
        <w:ind w:left="1060" w:hanging="521"/>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2" w:lineRule="exact"/>
        <w:rPr>
          <w:rFonts w:ascii="Times New Roman" w:cs="Times New Roman" w:eastAsia="Times New Roman" w:hAnsi="Times New Roman"/>
          <w:sz w:val="18"/>
          <w:szCs w:val="18"/>
          <w:color w:val="auto"/>
        </w:rPr>
      </w:pPr>
    </w:p>
    <w:p>
      <w:pPr>
        <w:ind w:left="1060" w:right="520" w:hanging="521"/>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5220" w:val="left"/>
          <w:tab w:leader="none" w:pos="590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Ouster, Inc. (the “Company”) for the period ended June 30, 2022 as filed with the Securities and Exchange Commission on the date hereof (the “Report”), I certify, pursuant to 18 U.S.C. § 1350, as adopted pursuant to § 906 of the Sarbanes-Oxley Act of 2002, that:</w:t>
      </w:r>
    </w:p>
    <w:p>
      <w:pPr>
        <w:spacing w:after="0" w:line="257" w:lineRule="exact"/>
        <w:rPr>
          <w:sz w:val="20"/>
          <w:szCs w:val="20"/>
          <w:color w:val="auto"/>
        </w:rPr>
      </w:pPr>
    </w:p>
    <w:p>
      <w:pPr>
        <w:ind w:left="1060" w:hanging="521"/>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2" w:lineRule="exact"/>
        <w:rPr>
          <w:rFonts w:ascii="Times New Roman" w:cs="Times New Roman" w:eastAsia="Times New Roman" w:hAnsi="Times New Roman"/>
          <w:sz w:val="18"/>
          <w:szCs w:val="18"/>
          <w:color w:val="auto"/>
        </w:rPr>
      </w:pPr>
    </w:p>
    <w:p>
      <w:pPr>
        <w:ind w:left="1060" w:right="520" w:hanging="521"/>
        <w:spacing w:after="0" w:line="282"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5220" w:val="left"/>
          <w:tab w:leader="none" w:pos="590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Anna Brunelle</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73" Type="http://schemas.openxmlformats.org/officeDocument/2006/relationships/hyperlink" Target="https://www.sec.gov/Archives/edgar/data/1816581/000119312521036740/d10549ds4a.htm#rom10549_42" TargetMode="External"/><Relationship Id="rId74" Type="http://schemas.openxmlformats.org/officeDocument/2006/relationships/hyperlink" Target="https://www.sec.gov/Archives/edgar/data/0001816581/000119312521076326/d149743dex31.htm" TargetMode="External"/><Relationship Id="rId75" Type="http://schemas.openxmlformats.org/officeDocument/2006/relationships/hyperlink" Target="https://www.sec.gov/Archives/edgar/data/0001816581/000119312521076326/d149743dex32.htm" TargetMode="External"/><Relationship Id="rId76" Type="http://schemas.openxmlformats.org/officeDocument/2006/relationships/hyperlink" Target="https://www.sec.gov/Archives/edgar/data/1816581/000119312522173918/d3263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2022-08-05T14:39:45Z</dcterms:created>
  <dcterms:modified xsi:type="dcterms:W3CDTF">2022-08-05T14:39:45Z</dcterms:modified>
</cp:coreProperties>
</file>