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01562d424b5.htm"/>
        <w:bookmarkStart w:id="1" w:name="ksd101562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Registration Statement No. 333-297220</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sz w:val="20"/>
        </w:rPr>
      </w:pPr>
      <w:r>
        <w:rPr>
          <w:rFonts w:ascii="Times New Roman" w:hAnsi="Times New Roman"/>
          <w:sz w:val="20"/>
        </w:rPr>
        <w:t xml:space="preserve">(To prospectus dated July 1,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62100" cy="8204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8204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3,621,876 Shares </w:t>
      </w:r>
    </w:p>
    <w:p>
      <w:pPr>
        <w:pStyle w:val="TextBody"/>
        <w:bidi w:val="0"/>
        <w:spacing w:before="240" w:after="0"/>
        <w:jc w:val="center"/>
        <w:rPr>
          <w:rFonts w:ascii="Times New Roman" w:hAnsi="Times New Roman"/>
          <w:b/>
          <w:sz w:val="28"/>
        </w:rPr>
      </w:pPr>
      <w:r>
        <w:rPr>
          <w:rFonts w:ascii="Times New Roman" w:hAnsi="Times New Roman"/>
          <w:b/>
          <w:sz w:val="28"/>
        </w:rPr>
        <w:t>Common Stock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3,621,876 shares of our common stock. Our common stock is listed on The Nasdaq Global Select Market under the symbol “OUST.” </w:t>
      </w:r>
    </w:p>
    <w:p>
      <w:pPr>
        <w:pStyle w:val="TextBody"/>
        <w:bidi w:val="0"/>
        <w:spacing w:before="240" w:after="0"/>
        <w:jc w:val="left"/>
        <w:rPr>
          <w:rFonts w:ascii="Times New Roman" w:hAnsi="Times New Roman"/>
          <w:sz w:val="20"/>
        </w:rPr>
      </w:pPr>
      <w:r>
        <w:rPr>
          <w:rFonts w:ascii="Times New Roman" w:hAnsi="Times New Roman"/>
          <w:sz w:val="20"/>
        </w:rPr>
        <w:t xml:space="preserve">The last reported sale price of our common stock on the Nasdaq Global Select Market on July 1, 2026 was $60.02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34"/>
        <w:gridCol w:w="346"/>
        <w:gridCol w:w="149"/>
        <w:gridCol w:w="927"/>
        <w:gridCol w:w="60"/>
        <w:gridCol w:w="346"/>
        <w:gridCol w:w="144"/>
        <w:gridCol w:w="1384"/>
        <w:gridCol w:w="65"/>
      </w:tblGrid>
      <w:tr>
        <w:trPr/>
        <w:tc>
          <w:tcPr>
            <w:tcW w:w="433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34"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4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27" w:type="dxa"/>
            <w:tcBorders/>
            <w:shd w:fill="CCEEFF" w:val="clear"/>
            <w:vAlign w:val="bottom"/>
          </w:tcPr>
          <w:p>
            <w:pPr>
              <w:pStyle w:val="TableContents"/>
              <w:bidi w:val="0"/>
              <w:spacing w:before="0" w:after="283"/>
              <w:jc w:val="right"/>
              <w:rPr/>
            </w:pPr>
            <w:r>
              <w:rPr/>
              <w:t>55.22</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384" w:type="dxa"/>
            <w:tcBorders/>
            <w:shd w:fill="CCEEFF" w:val="clear"/>
            <w:vAlign w:val="bottom"/>
          </w:tcPr>
          <w:p>
            <w:pPr>
              <w:pStyle w:val="TableContents"/>
              <w:bidi w:val="0"/>
              <w:spacing w:before="0" w:after="283"/>
              <w:jc w:val="right"/>
              <w:rPr/>
            </w:pPr>
            <w:r>
              <w:rPr/>
              <w:t>199,999,992</w:t>
            </w:r>
          </w:p>
        </w:tc>
        <w:tc>
          <w:tcPr>
            <w:tcW w:w="65" w:type="dxa"/>
            <w:tcBorders/>
            <w:shd w:fill="CCEEFF" w:val="clear"/>
            <w:vAlign w:val="bottom"/>
          </w:tcPr>
          <w:p>
            <w:pPr>
              <w:pStyle w:val="TableContents"/>
              <w:bidi w:val="0"/>
              <w:spacing w:before="0" w:after="283"/>
              <w:jc w:val="left"/>
              <w:rPr/>
            </w:pPr>
            <w:r>
              <w:rPr/>
              <w:t> </w:t>
            </w:r>
          </w:p>
        </w:tc>
      </w:tr>
      <w:tr>
        <w:trPr/>
        <w:tc>
          <w:tcPr>
            <w:tcW w:w="4334"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4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2.2088</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384" w:type="dxa"/>
            <w:tcBorders/>
            <w:vAlign w:val="bottom"/>
          </w:tcPr>
          <w:p>
            <w:pPr>
              <w:pStyle w:val="TableContents"/>
              <w:bidi w:val="0"/>
              <w:spacing w:before="0" w:after="283"/>
              <w:jc w:val="right"/>
              <w:rPr/>
            </w:pPr>
            <w:r>
              <w:rPr/>
              <w:t>7,999,999</w:t>
            </w:r>
          </w:p>
        </w:tc>
        <w:tc>
          <w:tcPr>
            <w:tcW w:w="65" w:type="dxa"/>
            <w:tcBorders/>
            <w:vAlign w:val="bottom"/>
          </w:tcPr>
          <w:p>
            <w:pPr>
              <w:pStyle w:val="TableContents"/>
              <w:bidi w:val="0"/>
              <w:spacing w:before="0" w:after="283"/>
              <w:jc w:val="left"/>
              <w:rPr/>
            </w:pPr>
            <w:r>
              <w:rPr/>
              <w:t> </w:t>
            </w:r>
          </w:p>
        </w:tc>
      </w:tr>
      <w:tr>
        <w:trPr/>
        <w:tc>
          <w:tcPr>
            <w:tcW w:w="4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34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27" w:type="dxa"/>
            <w:tcBorders/>
            <w:shd w:fill="CCEEFF" w:val="clear"/>
            <w:vAlign w:val="bottom"/>
          </w:tcPr>
          <w:p>
            <w:pPr>
              <w:pStyle w:val="TableContents"/>
              <w:bidi w:val="0"/>
              <w:spacing w:before="0" w:after="283"/>
              <w:jc w:val="right"/>
              <w:rPr/>
            </w:pPr>
            <w:r>
              <w:rPr/>
              <w:t>53.0112</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384" w:type="dxa"/>
            <w:tcBorders/>
            <w:shd w:fill="CCEEFF" w:val="clear"/>
            <w:vAlign w:val="bottom"/>
          </w:tcPr>
          <w:p>
            <w:pPr>
              <w:pStyle w:val="TableContents"/>
              <w:bidi w:val="0"/>
              <w:spacing w:before="0" w:after="283"/>
              <w:jc w:val="right"/>
              <w:rPr/>
            </w:pPr>
            <w:r>
              <w:rPr/>
              <w:t>191,999,993</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“Underwriting” for additional disclosure regarding underwriting discounts, commissions and estimated offering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granted the underwriter an option for a period of 30 days from the date of this prospectus supplement to purchase up to 543,281 additional shares of our common stock from us at the public offering price less the underwriting discounts and commissions, solely for the purpose of covering over-allotments, if 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a high degree of risk. See “</w:t>
      </w:r>
      <w:hyperlink w:anchor="supptoc101562_4">
        <w:r>
          <w:rPr>
            <w:rStyle w:val="InternetLink"/>
            <w:rFonts w:ascii="Times New Roman" w:hAnsi="Times New Roman"/>
            <w:b/>
            <w:sz w:val="24"/>
          </w:rPr>
          <w:t>Risk Factors</w:t>
        </w:r>
      </w:hyperlink>
      <w:r>
        <w:rPr>
          <w:rFonts w:ascii="Times New Roman" w:hAnsi="Times New Roman"/>
          <w:b/>
          <w:sz w:val="24"/>
        </w:rPr>
        <w:t>” on page S-5 of this prospectus supplement and in the documents incorporated by reference in this prospectus supplement concerning factors you should consider before investing in our common stock.</w:t>
      </w:r>
    </w:p>
    <w:p>
      <w:pPr>
        <w:pStyle w:val="TextBody"/>
        <w:bidi w:val="0"/>
        <w:spacing w:before="240" w:after="0"/>
        <w:jc w:val="left"/>
        <w:rPr>
          <w:rFonts w:ascii="Times New Roman" w:hAnsi="Times New Roman"/>
          <w:b/>
          <w:sz w:val="20"/>
        </w:rPr>
      </w:pPr>
      <w:r>
        <w:rPr>
          <w:rFonts w:ascii="Times New Roman" w:hAnsi="Times New Roman"/>
          <w:b/>
          <w:sz w:val="20"/>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expects to deliver the shares of common stock to purchasers on or about July 6,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Northland Capital Markets </w:t>
      </w:r>
    </w:p>
    <w:p>
      <w:pPr>
        <w:pStyle w:val="TextBody"/>
        <w:bidi w:val="0"/>
        <w:spacing w:before="240" w:after="0"/>
        <w:jc w:val="center"/>
        <w:rPr>
          <w:rFonts w:ascii="Times New Roman" w:hAnsi="Times New Roman"/>
          <w:b/>
          <w:sz w:val="20"/>
        </w:rPr>
      </w:pPr>
      <w:r>
        <w:rPr>
          <w:rFonts w:ascii="Times New Roman" w:hAnsi="Times New Roman"/>
          <w:b/>
          <w:sz w:val="20"/>
        </w:rPr>
        <w:t>The date of this prospectus supplement is July 2, 2026</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TABLE OF CONTENTS</w:t>
      </w:r>
    </w:p>
    <w:p>
      <w:pPr>
        <w:pStyle w:val="TextBody"/>
        <w:bidi w:val="0"/>
        <w:spacing w:before="240" w:after="0"/>
        <w:jc w:val="left"/>
        <w:rPr>
          <w:rFonts w:ascii="Times New Roman" w:hAnsi="Times New Roman"/>
          <w:b/>
          <w:sz w:val="20"/>
        </w:rPr>
      </w:pPr>
      <w:r>
        <w:rPr>
          <w:rFonts w:ascii="Times New Roman" w:hAnsi="Times New Roman"/>
          <w:b/>
          <w:sz w:val="20"/>
        </w:rPr>
        <w:t>Prospectus Supplement</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toc101562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5">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6">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7">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8">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11">
              <w:r>
                <w:rPr>
                  <w:rStyle w:val="InternetLink"/>
                  <w:rFonts w:ascii="Times New Roman" w:hAnsi="Times New Roman"/>
                  <w:sz w:val="20"/>
                </w:rPr>
                <w:t>WHERE YOU CAN FIND MORE INFORMATION;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Prospectus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6002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2">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3">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9">
              <w:r>
                <w:rPr>
                  <w:rStyle w:val="InternetLink"/>
                  <w:rFonts w:ascii="Times New Roman" w:hAnsi="Times New Roman"/>
                  <w:sz w:val="20"/>
                </w:rPr>
                <w:t>DESCRIPTION OF OTHER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0">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101562_1"/>
      <w:bookmarkEnd w:id="3"/>
      <w:r>
        <w:rPr>
          <w:rFonts w:ascii="Times New Roman" w:hAnsi="Times New Roman"/>
          <w:b/>
          <w:sz w:val="20"/>
        </w:rPr>
        <w:t>ABOUT THIS PROSPECTUS SUPPLEMENT</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“shelf” registration statement on Form S-3 (File No. 333-297220).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is the accompanying prospectus dated July 1, 2026, along with the documents incorporated by reference therein, which provides more general information about our common stock. Generally, when we refer to the prospectus, we are referring to this prospectus supplement and the accompanying prospectus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into this prospectus supplement)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 have authorized anyone to provide you with information that is different from that contained in this prospectus supplement, the accompanying prospectus, the documents incorporated by reference herein or in any free writing prospectus we may authorize to be delivered or made available to you. We take no responsibility for, and can provide no assurance as to the reliability of, any other information that others may give you. We and the underwriter are offering to sell shares of common stock and seeking offers to buy shares of common stock only in jurisdictions where offers and sales are permitted. The information contained in this prospectus supplement, the accompanying prospectus and the documents incorporated by reference herein is accurate only as of the date on the front of this prospectus supplement, or such documents, as applicable, regardless of the time of delivery of this prospectus supplement, such documents or any sale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“Ouster,” “we,” “our,” “us” and the “Company,” we mean Ouster, Inc., unless otherwise specified. When we refer to “you,” we mean the holders of common stock of the Company. This prospectus supplement, the accompanying prospectus and the documents incorporated by reference herein also include trademarks, tradenames and service marks that are the property of other organizations. Solely for convenience, our trademarks and tradenames referred to in this prospectus supplement appear without the ® and  symbols,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documents incorporated by reference herein contain industry and market data obtained from periodic industry publications, third-party surveys and studies, and government and industry sources. Industry publications and surveys generally state that the information contained therein has been obtained from sources believed to be reliable. Although we believe the industry and market data to be reliable as of the date of this prospectus supplement,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Each publication, study and report speaks as of its original publication date (and not as of the date of this prospectus supplement). In addition, we do not know all of the assumptions regarding general economic conditions or growth that were used in preparing the forecasts from the sources relied upon or cited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101562_2"/>
      <w:bookmarkEnd w:id="4"/>
      <w:r>
        <w:rPr>
          <w:rFonts w:ascii="Times New Roman" w:hAnsi="Times New Roman"/>
          <w:b/>
          <w:sz w:val="20"/>
          <w:bdr w:val="single" w:sz="8" w:space="1" w:color="000000"/>
        </w:rPr>
        <w:t>PROSPECTUS SUPPLEMENT SUMMARY</w:t>
      </w:r>
    </w:p>
    <w:p>
      <w:pPr>
        <w:pStyle w:val="TextBody"/>
        <w:bidi w:val="0"/>
        <w:spacing w:before="240" w:after="0"/>
        <w:jc w:val="left"/>
        <w:rPr/>
      </w:pPr>
      <w:r>
        <w:rPr>
          <w:rFonts w:ascii="Times New Roman" w:hAnsi="Times New Roman"/>
          <w:i/>
          <w:sz w:val="20"/>
          <w:bdr w:val="single" w:sz="8" w:space="1" w:color="000000"/>
        </w:rPr>
        <w:t xml:space="preserve">This summary highlights certain information about us, this offering and selected information contained elsewhere in or incorporated by reference in this prospectus supplement or the accompanying prospectus. This summary provides an overview of selected information and does not contain all of the information you should consider before buying our common stock. Therefore, you should read the entire prospectus supplement, the section titled Risk Factors in our </w:t>
      </w:r>
      <w:hyperlink r:id="rId3">
        <w:r>
          <w:rPr>
            <w:rStyle w:val="InternetLink"/>
            <w:rFonts w:ascii="Times New Roman" w:hAnsi="Times New Roman"/>
            <w:i/>
            <w:sz w:val="20"/>
            <w:bdr w:val="single" w:sz="8" w:space="1" w:color="000000"/>
          </w:rPr>
          <w:t>Annual Report on Form 10-K for the year ended December 31, 2025</w:t>
        </w:r>
      </w:hyperlink>
      <w:r>
        <w:rPr>
          <w:rFonts w:ascii="Times New Roman" w:hAnsi="Times New Roman"/>
          <w:i/>
          <w:sz w:val="20"/>
          <w:bdr w:val="single" w:sz="8" w:space="1" w:color="000000"/>
        </w:rPr>
        <w:t xml:space="preserve"> and in our Quarterly Report on Form  10-Q for the quarter ended </w:t>
      </w:r>
      <w:hyperlink r:id="rId4">
        <w:r>
          <w:rPr>
            <w:rStyle w:val="InternetLink"/>
            <w:rFonts w:ascii="Times New Roman" w:hAnsi="Times New Roman"/>
            <w:i/>
            <w:sz w:val="20"/>
            <w:bdr w:val="single" w:sz="8" w:space="1" w:color="000000"/>
          </w:rPr>
          <w:t>March 31, 2026</w:t>
        </w:r>
      </w:hyperlink>
      <w:r>
        <w:rPr>
          <w:rFonts w:ascii="Times New Roman" w:hAnsi="Times New Roman"/>
          <w:i/>
          <w:sz w:val="20"/>
          <w:bdr w:val="single" w:sz="8" w:space="1" w:color="000000"/>
        </w:rPr>
        <w:t>, each of which is incorporated by reference herein, and the accompanying prospectus carefully, especially the “Risk Factors” section beginning on page S-5 of this prospectus supplement and our consolidated financial statements and the related notes that are incorporated by reference herein, before deciding to invest in our common stock.</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leader in sensing and perception for Physical AI across industrial, robotics, automotive, and smart infrastructure. With a unified platform of high-performance digital lidar, cameras, AI compute, sensor fusion and perception software, and AI models, we deliver solutions that improve quality of life by enabling machines to sense, think, act, and learn in the physical world.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global provider of lidar sensors and solutions. We design and manufacture high-resolution digital lidar sensors that offer advanced 3D vision to machinery, vehicles, robots, and fixed infrastructure assets, which allows each to understand and visualize the surrounding world and enable safe operation and autonomy. We believe our sensors are one of the highest-performing, lowest-cost lidar solutions available today.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wholly-owned subsidiary, Stereolabs, which we acquired on February 4, 2026, is a pioneer in AI vision and perception solutions that has developed a leading portfolio of industrial-grade ZED-cameras, AI compute powered by NVIDIA’s platform, and in-house AI vision software to power solutions across robotics, industrials, and smart infrastructure. Its high-performance ZED cameras provide best-in-class 2D and 3D color data with ultra-low latency, and its embedded AI compute hardware facilitates native, real-time sensor fusion at the edge. We believe Stereolabs’s perception software, built on proprietary AI models, is the foundation for thousands of developers’ autonomy workflows.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hardware product offerings include a broad portfolio of digital lidar sensors, monocular and stereo cameras, and AI compute. On May 4, 2026, we announced the launch of the Rev8 OS family of digital lidar sensors. Powered by our next-generation L4 and L4 Max Ouster Silicon, the Rev8 family features upgraded OS0, OS1, and OSDome sensors and adds the flagship 256-channel OS1 Max. Rev8 introduces the world’s first native color lidar sensors, provides up to double the range and resolution of the previous generation, and is designed for functional safety, reliability, affordability, and scale. Within our OS sensor models, we offer numerous customization options, all enabled by embedded software.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our portfolio has expanded to include Stereolabs’s growing product line, which now includes the ZED X, ZED X Mini, and ZED X Nano stereo cameras, the ZED X One monocular camera, and the ZED Box edge compute. We are currently developing our solid-state digital flash (“DF”) sensors, which is a suite of short, mid, and long-range solid-state digital lidar sensors that provide uniform precision imaging without motion blur across an entire field of 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Physical AI solutions tailored for smart infrastructure applications. Our software solutions, built on proprietary AI models, enable real-time people and object detection, classification, and tracking for actionable, intuitive, and customizable insights while preserving personally identifiable information. Ouster Gemini is our digital lidar powered perception platform designed for security and crowd analytics, logistics, and intelligent transportation systems. Ouster BlueCity is our turnkey real-time traffic management solution for analytics and signal actuation to improve traffic flow, road safety, and urban planning.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initially incorporated under the name “Colonnade Acquisition Corp.” on June 4, 2020 as a Cayman Islands exempted company for purposes of effecting a merger, share exchange, asset acquisition, share purchase, reorganization or similar business combination with one or more businesses. On March 10, 2021, we domesticated into a Delaware corporation and changed our name to “Ouster, Inc.” in connection with the consummation of the business combination with Ouster Technologies,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350 Treat Avenue, San Francisco, CA 94110. Our telephone number is (415) 949-0108. Our website address is </w:t>
      </w:r>
      <w:r>
        <w:rPr>
          <w:rFonts w:ascii="Times New Roman" w:hAnsi="Times New Roman"/>
          <w:i/>
          <w:sz w:val="20"/>
          <w:bdr w:val="single" w:sz="8" w:space="1" w:color="000000"/>
        </w:rPr>
        <w:t>www.ouster.com</w:t>
      </w:r>
      <w:r>
        <w:rPr>
          <w:rFonts w:ascii="Times New Roman" w:hAnsi="Times New Roman"/>
          <w:sz w:val="20"/>
          <w:bdr w:val="single" w:sz="8" w:space="1" w:color="000000"/>
        </w:rPr>
        <w:t xml:space="preserve">. Information contained on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101562_3"/>
      <w:bookmarkEnd w:id="5"/>
      <w:r>
        <w:rPr>
          <w:rFonts w:ascii="Times New Roman" w:hAnsi="Times New Roman"/>
          <w:b/>
          <w:sz w:val="20"/>
          <w:bdr w:val="single" w:sz="8" w:space="1" w:color="000000"/>
        </w:rPr>
        <w:t>THE OFFERING</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Ouster,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9" w:type="dxa"/>
            <w:tcBorders/>
          </w:tcPr>
          <w:p>
            <w:pPr>
              <w:pStyle w:val="TableContents"/>
              <w:bidi w:val="0"/>
              <w:spacing w:before="0" w:after="283"/>
              <w:jc w:val="left"/>
              <w:rPr/>
            </w:pPr>
            <w:r>
              <w:rPr/>
              <w:t xml:space="preserve">3,621,876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over-allotment option to purchase additional shares </w:t>
            </w:r>
          </w:p>
        </w:tc>
        <w:tc>
          <w:tcPr>
            <w:tcW w:w="6328" w:type="dxa"/>
            <w:tcBorders/>
          </w:tcPr>
          <w:p>
            <w:pPr>
              <w:pStyle w:val="TableContents"/>
              <w:bidi w:val="0"/>
              <w:spacing w:before="0" w:after="283"/>
              <w:jc w:val="left"/>
              <w:rPr/>
            </w:pPr>
            <w:r>
              <w:rPr/>
              <w:t xml:space="preserve">We have granted the underwriter a 30-day option to purchase up to 543,281 additional shares of our common stock at the public offering price, less underwriting discounts and commissions, solely for the purpose of covering over-allotments,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We estimate that the net proceeds to us from this offering will be approximately $191.5 million, or approximately $220.3 million if the underwriter exercises their over-allotment option to purchase additional shares in full, after deducting the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intend to use the net proceeds from this offering for working capital and other general corporate purposes. See “Use of Proceeds” on page S-10.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the sections titled “Risk Factors” beginning on page S-5 of this prospectus supplement and in our Annual Report on Form 10-K for the year ended December 31, 2025 which is incorporated by reference herein, and other information included in, or incorporated by reference into, this prospectus supplement, for a discussion of factors that you should consider carefully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7" w:type="dxa"/>
            <w:tcBorders/>
          </w:tcPr>
          <w:p>
            <w:pPr>
              <w:pStyle w:val="TableContents"/>
              <w:bidi w:val="0"/>
              <w:spacing w:before="0" w:after="283"/>
              <w:jc w:val="left"/>
              <w:rPr/>
            </w:pPr>
            <w:r>
              <w:rPr/>
              <w:t>“</w:t>
            </w:r>
            <w:r>
              <w:rPr/>
              <w:t xml:space="preserve">OUST”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101562_4"/>
      <w:bookmarkEnd w:id="6"/>
      <w:r>
        <w:rPr>
          <w:rFonts w:ascii="Times New Roman" w:hAnsi="Times New Roman"/>
          <w:b/>
          <w:sz w:val="20"/>
        </w:rPr>
        <w:t>RISK FACTORS</w:t>
      </w:r>
    </w:p>
    <w:p>
      <w:pPr>
        <w:pStyle w:val="TextBody"/>
        <w:bidi w:val="0"/>
        <w:spacing w:before="240" w:after="0"/>
        <w:jc w:val="left"/>
        <w:rPr>
          <w:rFonts w:ascii="Times New Roman" w:hAnsi="Times New Roman"/>
          <w:i/>
          <w:sz w:val="20"/>
        </w:rPr>
      </w:pPr>
      <w:r>
        <w:rPr>
          <w:rFonts w:ascii="Times New Roman" w:hAnsi="Times New Roman"/>
          <w:i/>
          <w:sz w:val="20"/>
        </w:rPr>
        <w:t>Investing in our common stock involves a high degree of risk. Before deciding whether to invest in our common stock, you should consider carefully the risks described below. You should also consider the risks, uncertainties and assumptions discussed under the heading “Risk Factors” included in our Annual Report on Form 10-K for the year ended December 31, 2025 which is incorporated by reference herein,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below titled “Special Note Regarding Forward-Looking Statements.”</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Common Stock and this Offering </w:t>
      </w:r>
    </w:p>
    <w:p>
      <w:pPr>
        <w:pStyle w:val="TextBody"/>
        <w:bidi w:val="0"/>
        <w:spacing w:before="120" w:after="0"/>
        <w:jc w:val="left"/>
        <w:rPr>
          <w:rFonts w:ascii="Times New Roman" w:hAnsi="Times New Roman"/>
          <w:b/>
          <w:i/>
          <w:sz w:val="20"/>
        </w:rPr>
      </w:pPr>
      <w:r>
        <w:rPr>
          <w:rFonts w:ascii="Times New Roman" w:hAnsi="Times New Roman"/>
          <w:b/>
          <w:i/>
          <w:sz w:val="20"/>
        </w:rPr>
        <w:t>The market price of our common stock may be volatile, and purchasers of our common stock could incur substantial losses.</w:t>
      </w:r>
    </w:p>
    <w:p>
      <w:pPr>
        <w:pStyle w:val="TextBody"/>
        <w:bidi w:val="0"/>
        <w:spacing w:before="120" w:after="0"/>
        <w:jc w:val="left"/>
        <w:rPr>
          <w:rFonts w:ascii="Times New Roman" w:hAnsi="Times New Roman"/>
          <w:sz w:val="20"/>
        </w:rPr>
      </w:pPr>
      <w:r>
        <w:rPr>
          <w:rFonts w:ascii="Times New Roman" w:hAnsi="Times New Roman"/>
          <w:sz w:val="20"/>
        </w:rPr>
        <w:t xml:space="preserve">The price of our common stock may fluctuate due to a variety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industries in which we and our customers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involving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regulations and trade policies affecting our business and the businesses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operating performance and the performance of our competitors in 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quarterly or annual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by securities analysts about us or our competitors or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public’s reaction to our press releases, our other public announcements and our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stockholders, including the sale by significant stockholders of any of their 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and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commencement of, or involvement in, litigation involving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capital structure, such as future issuances of securities or the incurrence of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volume of shares of our common stock available for public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political and social conditions, such as the effects of public health crises, recessions, interest rates, local and national elections, tariffs, fuel prices, international currency fluctuations, corruption, political instability and acts of war or terrorism.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market and industry factors may materially reduce the market price of our common stock regardless of our operating performance. </w:t>
      </w:r>
    </w:p>
    <w:p>
      <w:pPr>
        <w:pStyle w:val="TextBody"/>
        <w:bidi w:val="0"/>
        <w:spacing w:before="360" w:after="0"/>
        <w:jc w:val="left"/>
        <w:rPr>
          <w:rFonts w:ascii="Times New Roman" w:hAnsi="Times New Roman"/>
          <w:b/>
          <w:i/>
          <w:sz w:val="20"/>
        </w:rPr>
      </w:pPr>
      <w:r>
        <w:rPr>
          <w:rFonts w:ascii="Times New Roman" w:hAnsi="Times New Roman"/>
          <w:b/>
          <w:i/>
          <w:sz w:val="20"/>
        </w:rPr>
        <w:t>You will experience immediate and substantial dilution in the net tangible book value per share of the common stock you purchase.</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of our common stock being offered will be higher than the as adjusted net tangible book value per share of our common stock outstanding prior to this offering, which was $4.47 per share as of March 31, 2026. As a result of such dilution to investors purchasing shares in this offering, investors may receive significantly less than the purchase price paid in this offering, if anything, in the event of our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before="120" w:after="0"/>
        <w:jc w:val="left"/>
        <w:rPr>
          <w:rFonts w:ascii="Times New Roman" w:hAnsi="Times New Roman"/>
          <w:sz w:val="20"/>
        </w:rPr>
      </w:pPr>
      <w:r>
        <w:rPr>
          <w:rFonts w:ascii="Times New Roman" w:hAnsi="Times New Roman"/>
          <w:sz w:val="20"/>
        </w:rPr>
        <w:t xml:space="preserve">We may need additional capital in the future to continue our planned operations and execute our growth strategy. To the extent that we raise additional capital by issuing equity securities, our stockholders may experience substantial dilution. Similar to prior or ongoing financing transactions like our at-the-market equity offering program, we may sell common stock, convertible securities or other equity securities in one or more transactions at prices and in a manner we determine from time to time. If we sell common stock, convertible securities or other equity securities in more than one transaction, whether to raise additional capital or for other strategic reasons, investors may be materially diluted by subsequent sales. These sales may also result in material dilution to our existing stockholders, and new investors could gain rights superior to our existing stockholders. </w:t>
      </w:r>
    </w:p>
    <w:p>
      <w:pPr>
        <w:pStyle w:val="TextBody"/>
        <w:bidi w:val="0"/>
        <w:spacing w:before="360" w:after="0"/>
        <w:jc w:val="left"/>
        <w:rPr>
          <w:rFonts w:ascii="Times New Roman" w:hAnsi="Times New Roman"/>
          <w:b/>
          <w:i/>
          <w:sz w:val="20"/>
        </w:rPr>
      </w:pPr>
      <w:r>
        <w:rPr>
          <w:rFonts w:ascii="Times New Roman" w:hAnsi="Times New Roman"/>
          <w:b/>
          <w:i/>
          <w:sz w:val="20"/>
        </w:rPr>
        <w:t>We will have broad discretion in the use of the net proceeds to us from this offering and we may not use the offering proceeds that we receive effectively.</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to us from this offering, including for any of the purposes described in the section of this prospectus supplement titled “Use of Proceeds,” and you will not have the opportunity as part of your investment decision to assess whether the net proceeds are being used appropriately. Because of the number and variability of factors that will determine our use of the net proceeds to us from this offering, their ultimate use may vary from their currently intended use. The failure by our management to apply these funds effectively could harm our business. Pending their use, we may invest the net proceeds to us from this offering in investment-grade, interest-bearing securities. These investments may not yield a favorable return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We do not intend to pay cash dividends for the foreseeable future so any returns will be limited to the value of our stock.</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Any return to stockholders will therefore be limited to the appreciation of their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101562_5"/>
      <w:bookmarkEnd w:id="7"/>
      <w:r>
        <w:rPr>
          <w:rFonts w:ascii="Times New Roman" w:hAnsi="Times New Roman"/>
          <w:b/>
          <w:sz w:val="20"/>
        </w:rPr>
        <w:t>SPECIAL NOTE REGARDING FORWARD-LOOKING STATEMENTS</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contain forward-looking statements within the meaning of the Private Securities Litigation Reform Act of 1995 that involve substantial risks and uncertainties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words such as “aim,” “anticipate,” “assume,” “believe,” “contemplate,” “continue,” “could,” “due,” “estimate,” “expect,” “goal,” “intend,” “may,” “objective,” “plan,” “predict,”, “potential,” “seek,” “should,” “will,” “would” and other similar expressions that are predictions of or indicate future events and future trends, or the negative of these terms or other comparable terminology. These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contractual obligations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capabilities of and demand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new product launches and developments, including software-related solutions systems, and the timing for those launches and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benefits and synergies of strategic transactions, including the Stereolabs acquisition, and expected integration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tariffs and trade policy actions on our costs, supply chain, and customer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its sales and marketing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results of operations, cash reserve and financial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industry and business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remediation of material weaknesses;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risks of inventory obsolescence;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business strategy, plans, distribution partnerships, market growth and its objectives for future operations, including executing towards profitability;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market position within its industry and the impact of market conditions and other macroeconomic factors on our business, financial condition and results of operation, foreign currency exchange rate fluctuations and the effectiveness of hedging activities.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in this prospectus supplement, the accompanying prospectus and the documents incorporated by reference herein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“Risk Factors” and elsewhere in this prospectus supplement and in the documents that are incorporated by reference herein. Potential investors are urged to consider these factors carefully in evaluating the forward-looking statements. These forward-looking statements speak only as of the date of this prospectus supplement.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Securities and Exchange Commission, or SEC, after the date of this prospectus supplement.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101562_6"/>
      <w:bookmarkEnd w:id="8"/>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immediately diluted to the extent of the difference between the public offering price per share of our common stock and the as adjusted net tangible book value per share of our common stock immediately after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Historical net tangible book value per share represents our total tangible assets less our liabilities and preferred stock that is not included in equity divided by the total number of shares of common stock outstanding. As of March 31, 2026, our historical net tangible book value was approximately $202.1 million, or $3.18 per share of common stock, based on 63,461,091 shares of common stock outstanding as of that date. After giving effect to our sale of 3,649,000 shares of common stock after March 31, 2026 in an at-the-market facility for net proceeds of approximately $98.0 million, our as adjusted net tangible book value was approximately $300.1 million, or $4.47 per share.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our sale in this offering of 3,621,876 shares of common stock at the public offering price of $55.22 per share, and after deducting underwriting discounts and commissions and estimated offering expenses payable by us, our as further adjusted net tangible book value as of March 31, 2026 would have been approximately $491.6 million, or $6.95 per share of our common stock. This amount represents an immediate increase in net tangible book value of $2.48 per share to our existing stockholders and an immediate dilution of $48.27 per share to investors participating in this offering. Net tangible book value dilution per share to new investors participating in this offering represents the difference between the amount per share paid by purchaser of common stock in this offering and the as further adjusted net tangible book value per share of common stock immediately after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to new investors on a per share basis (without giving effect to any exercise by the underwriter of its option to purchase additional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59"/>
        <w:gridCol w:w="382"/>
        <w:gridCol w:w="144"/>
        <w:gridCol w:w="444"/>
        <w:gridCol w:w="60"/>
        <w:gridCol w:w="382"/>
        <w:gridCol w:w="144"/>
        <w:gridCol w:w="577"/>
        <w:gridCol w:w="63"/>
      </w:tblGrid>
      <w:tr>
        <w:trPr/>
        <w:tc>
          <w:tcPr>
            <w:tcW w:w="5559"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38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55.22</w:t>
            </w:r>
          </w:p>
        </w:tc>
        <w:tc>
          <w:tcPr>
            <w:tcW w:w="63" w:type="dxa"/>
            <w:tcBorders/>
            <w:shd w:fill="CCEEFF" w:val="clear"/>
            <w:vAlign w:val="bottom"/>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March 31, 2026</w:t>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4.47</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(decrease) in net tangible book value per share attributable to new investors in this offering</w:t>
            </w:r>
          </w:p>
        </w:tc>
        <w:tc>
          <w:tcPr>
            <w:tcW w:w="38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2.48</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55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As further adjusted net tangible book value per share as of March 31, 2026, giving effect to this offering</w:t>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6.95</w:t>
            </w:r>
          </w:p>
        </w:tc>
        <w:tc>
          <w:tcPr>
            <w:tcW w:w="63" w:type="dxa"/>
            <w:tcBorders/>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w:t>
            </w:r>
          </w:p>
        </w:tc>
        <w:tc>
          <w:tcPr>
            <w:tcW w:w="38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48.27</w:t>
            </w:r>
          </w:p>
        </w:tc>
        <w:tc>
          <w:tcPr>
            <w:tcW w:w="63" w:type="dxa"/>
            <w:tcBorders/>
            <w:shd w:fill="CCEEFF" w:val="clear"/>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option to purchase additional shares in this offering is exercised in full, the as further adjusted net tangible book value would be $7.30 per share, the increase in the net tangible book value per share for existing stockholders would be $2.83 per share and the dilution to new investors participating in this offering would be $47.92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and calculations are based on 67,110,091 shares of our common stock outstanding as of March 31, 2026, after giving effect to the sale of 3,649,000 shares of common stock subsequent to March 31, 2026 in an at-the-market facility for net proceeds of approximately $98.0 million, and unless otherwise indicated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1,666,074 shares of our common stock issuable upon the exercise of all stock options outstanding as of March 31, 2026, at a weighted-average exercise price of $7.84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3,557,390 shares of our common stock issuable upon vesting and settlement of restricted stock units (RSUs) outstanding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11,542,969 shares of our common stock reserved for future issuance under our equity plans as of March 31, 2026, as well as any annual automatic increases in the number of shares of our common stock reserved for future issuance under such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1,626,197 shares of our common stock reserved for future issuance under our Amended and Restated 2022 Employee Stock Purchase Plan (the “2022 ESPP”) as of March 31, 2026, as well as any annual automatic increases in the number of shares of our common stock reserved for future issuance under the 2022 ESPP;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3,277,155 shares of our common stock reserved for future issuance as of March 31, 2026 under a warrant held by Amazon.com NV Investment Holdings LLC at an exercise price of $50.49, in addition to any additional shares that may become issuable and any adjustment to exercise price that may occur as a result of anti-dilution protections in such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warrants or RSUs are exercised or settled,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or issue equity securities in another form of strategic transaction, your ownership will be further diluted.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101562_7"/>
      <w:bookmarkEnd w:id="9"/>
      <w:r>
        <w:rPr>
          <w:rFonts w:ascii="Times New Roman" w:hAnsi="Times New Roman"/>
          <w:b/>
          <w:sz w:val="20"/>
        </w:rPr>
        <w:t>USE OF PROCEEDS</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this offering will be approximately $191.5 million, after deducting the underwriting discounts and commissions and estimated offering expenses payable by us. If the underwriter exercises its over-allotment option to purchase additional shares in full, we estimate that our net proceeds will be approximately $220.3 million, after deducting the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for working capital and other general corporate purposes. We may also use a portion of our net proceeds to co-develop, acquire or invest in products, technologies or businesses that are complementary to our business. However, we currently have no agreements or commitments to complete any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in the application of the net proceeds to us from this offering, including for any of the purposes described above. Pending the use of the net proceeds from this offering, we intend to invest the net proceeds in investment grade, interest bearing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101562_8"/>
      <w:bookmarkEnd w:id="10"/>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shares of common stock described in this prospectus supplement and the accompanying prospectus through the underwriter listed below. Northland Securities, Inc. is acting as the sole bookrunning manager for this offering. The underwriter has agreed to buy, subject to the terms of the underwriting agreement, the number of shares of common stock listed opposite its name below. The underwriter is committed to purchase and pay for all of the shares if any are purchased, other than those shares covered by the over-allotment option described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62"/>
        <w:gridCol w:w="630"/>
        <w:gridCol w:w="108"/>
        <w:gridCol w:w="1777"/>
        <w:gridCol w:w="62"/>
      </w:tblGrid>
      <w:tr>
        <w:trPr/>
        <w:tc>
          <w:tcPr>
            <w:tcW w:w="4362" w:type="dxa"/>
            <w:tcBorders/>
            <w:vAlign w:val="center"/>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3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630" w:type="dxa"/>
            <w:tcBorders/>
            <w:vAlign w:val="bottom"/>
          </w:tcPr>
          <w:p>
            <w:pPr>
              <w:pStyle w:val="TableContents"/>
              <w:bidi w:val="0"/>
              <w:spacing w:before="0" w:after="283"/>
              <w:jc w:val="left"/>
              <w:rPr/>
            </w:pPr>
            <w:r>
              <w:rPr/>
              <w:t>  </w:t>
            </w:r>
          </w:p>
        </w:tc>
        <w:tc>
          <w:tcPr>
            <w:tcW w:w="1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2" w:type="dxa"/>
            <w:tcBorders/>
            <w:vAlign w:val="bottom"/>
          </w:tcPr>
          <w:p>
            <w:pPr>
              <w:pStyle w:val="TableContents"/>
              <w:bidi w:val="0"/>
              <w:spacing w:before="0" w:after="283"/>
              <w:jc w:val="left"/>
              <w:rPr/>
            </w:pPr>
            <w:r>
              <w:rPr/>
              <w:t> </w:t>
            </w:r>
          </w:p>
        </w:tc>
      </w:tr>
      <w:tr>
        <w:trPr/>
        <w:tc>
          <w:tcPr>
            <w:tcW w:w="4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Northland Securities, Inc.</w:t>
            </w:r>
          </w:p>
        </w:tc>
        <w:tc>
          <w:tcPr>
            <w:tcW w:w="63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7" w:type="dxa"/>
            <w:tcBorders/>
            <w:shd w:fill="CCEEFF" w:val="clear"/>
            <w:vAlign w:val="bottom"/>
          </w:tcPr>
          <w:p>
            <w:pPr>
              <w:pStyle w:val="TableContents"/>
              <w:bidi w:val="0"/>
              <w:spacing w:before="0" w:after="283"/>
              <w:jc w:val="right"/>
              <w:rPr/>
            </w:pPr>
            <w:r>
              <w:rPr/>
              <w:t>3,621,876</w:t>
            </w:r>
          </w:p>
        </w:tc>
        <w:tc>
          <w:tcPr>
            <w:tcW w:w="62" w:type="dxa"/>
            <w:tcBorders/>
            <w:shd w:fill="CCEEFF" w:val="clear"/>
            <w:vAlign w:val="bottom"/>
          </w:tcPr>
          <w:p>
            <w:pPr>
              <w:pStyle w:val="TableContents"/>
              <w:bidi w:val="0"/>
              <w:spacing w:before="0" w:after="283"/>
              <w:jc w:val="left"/>
              <w:rPr/>
            </w:pPr>
            <w:r>
              <w:rPr/>
              <w:t> </w:t>
            </w:r>
          </w:p>
        </w:tc>
      </w:tr>
      <w:tr>
        <w:trPr/>
        <w:tc>
          <w:tcPr>
            <w:tcW w:w="436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3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right"/>
              <w:rPr/>
            </w:pPr>
            <w:r>
              <w:rPr/>
              <w:t>3,621,876</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they propose to offer the shares of common stock to the public at a price of $55.22 per share. The underwriter proposes to offer the shares of common stock to certain dealers at the same price less a concession of not more than $1.33 per share. After the offering, these figures may be changed by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The shares sold in this offering are expected to be ready for delivery on or about July 6, 2026, against payment in immediately available funds. The underwriter may reject all or part of any order.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to the underwriter an option to purchase up to an additional 543,281 shares of common stock from us at the same price to the public, and with the same underwriting discount, as set forth in the table below. The underwriter may exercise this option any time during the 30-day period after the date of this prospectus supplement. To the extent the underwriter exercises the option, the underwriter will become obligated, subject to certain conditions, to purchase the shares for which they exercise the option.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underwriting discounts that we will pay to the underwriter. These amounts are shown assuming both no exercise and full exercise of the over-allotment option. In addition to the underwriting discount, we have agreed to pay up to $150,000 of the fees and expenses of the underwriter, which may include the fees and expenses of counsel to the underwriter. The fees and expenses of the underwriter that we have agreed to reimburse are not included in the underwriting discounts set forth in the table below. The underwriting discount and reimbursable expenses the underwriter will receive were determined through arms’ length negotiations between us and the underwriter.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10"/>
        <w:gridCol w:w="259"/>
        <w:gridCol w:w="157"/>
        <w:gridCol w:w="917"/>
        <w:gridCol w:w="60"/>
        <w:gridCol w:w="259"/>
        <w:gridCol w:w="165"/>
        <w:gridCol w:w="1547"/>
        <w:gridCol w:w="60"/>
        <w:gridCol w:w="259"/>
        <w:gridCol w:w="165"/>
        <w:gridCol w:w="1547"/>
        <w:gridCol w:w="67"/>
      </w:tblGrid>
      <w:tr>
        <w:trPr/>
        <w:tc>
          <w:tcPr>
            <w:tcW w:w="311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11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with no</w:t>
              <w:br/>
              <w:t>Over-Allotment</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with</w:t>
              <w:br/>
              <w:t>Over-Allotment</w:t>
            </w:r>
          </w:p>
        </w:tc>
        <w:tc>
          <w:tcPr>
            <w:tcW w:w="67" w:type="dxa"/>
            <w:tcBorders/>
            <w:vAlign w:val="bottom"/>
          </w:tcPr>
          <w:p>
            <w:pPr>
              <w:pStyle w:val="TableContents"/>
              <w:bidi w:val="0"/>
              <w:spacing w:before="0" w:after="283"/>
              <w:jc w:val="left"/>
              <w:rPr/>
            </w:pPr>
            <w:r>
              <w:rPr/>
              <w:t> </w:t>
            </w:r>
          </w:p>
        </w:tc>
      </w:tr>
      <w:tr>
        <w:trPr/>
        <w:tc>
          <w:tcPr>
            <w:tcW w:w="3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to the public:</w:t>
            </w:r>
          </w:p>
        </w:tc>
        <w:tc>
          <w:tcPr>
            <w:tcW w:w="25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55.22</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547" w:type="dxa"/>
            <w:tcBorders/>
            <w:shd w:fill="CCEEFF" w:val="clear"/>
            <w:vAlign w:val="bottom"/>
          </w:tcPr>
          <w:p>
            <w:pPr>
              <w:pStyle w:val="TableContents"/>
              <w:bidi w:val="0"/>
              <w:spacing w:before="0" w:after="283"/>
              <w:jc w:val="right"/>
              <w:rPr/>
            </w:pPr>
            <w:r>
              <w:rPr/>
              <w:t>199,999,992</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547" w:type="dxa"/>
            <w:tcBorders/>
            <w:shd w:fill="CCEEFF" w:val="clear"/>
            <w:vAlign w:val="bottom"/>
          </w:tcPr>
          <w:p>
            <w:pPr>
              <w:pStyle w:val="TableContents"/>
              <w:bidi w:val="0"/>
              <w:spacing w:before="0" w:after="283"/>
              <w:jc w:val="right"/>
              <w:rPr/>
            </w:pPr>
            <w:r>
              <w:rPr/>
              <w:t>229,999,969</w:t>
            </w:r>
          </w:p>
        </w:tc>
        <w:tc>
          <w:tcPr>
            <w:tcW w:w="67" w:type="dxa"/>
            <w:tcBorders/>
            <w:shd w:fill="CCEEFF" w:val="clear"/>
            <w:vAlign w:val="bottom"/>
          </w:tcPr>
          <w:p>
            <w:pPr>
              <w:pStyle w:val="TableContents"/>
              <w:bidi w:val="0"/>
              <w:spacing w:before="0" w:after="283"/>
              <w:jc w:val="left"/>
              <w:rPr/>
            </w:pPr>
            <w:r>
              <w:rPr/>
              <w:t> </w:t>
            </w:r>
          </w:p>
        </w:tc>
      </w:tr>
      <w:tr>
        <w:trPr/>
        <w:tc>
          <w:tcPr>
            <w:tcW w:w="311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 to be paid by us</w:t>
            </w:r>
          </w:p>
        </w:tc>
        <w:tc>
          <w:tcPr>
            <w:tcW w:w="25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2.2088</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547" w:type="dxa"/>
            <w:tcBorders/>
            <w:vAlign w:val="bottom"/>
          </w:tcPr>
          <w:p>
            <w:pPr>
              <w:pStyle w:val="TableContents"/>
              <w:bidi w:val="0"/>
              <w:spacing w:before="0" w:after="283"/>
              <w:jc w:val="right"/>
              <w:rPr/>
            </w:pPr>
            <w:r>
              <w:rPr/>
              <w:t>7,999,999</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547" w:type="dxa"/>
            <w:tcBorders/>
            <w:vAlign w:val="bottom"/>
          </w:tcPr>
          <w:p>
            <w:pPr>
              <w:pStyle w:val="TableContents"/>
              <w:bidi w:val="0"/>
              <w:spacing w:before="0" w:after="283"/>
              <w:jc w:val="right"/>
              <w:rPr/>
            </w:pPr>
            <w:r>
              <w:rPr/>
              <w:t>9,199,998</w:t>
            </w:r>
          </w:p>
        </w:tc>
        <w:tc>
          <w:tcPr>
            <w:tcW w:w="67" w:type="dxa"/>
            <w:tcBorders/>
            <w:vAlign w:val="bottom"/>
          </w:tcPr>
          <w:p>
            <w:pPr>
              <w:pStyle w:val="TableContents"/>
              <w:bidi w:val="0"/>
              <w:spacing w:before="0" w:after="283"/>
              <w:jc w:val="left"/>
              <w:rPr/>
            </w:pPr>
            <w:r>
              <w:rPr/>
              <w:t> </w:t>
            </w:r>
          </w:p>
        </w:tc>
      </w:tr>
      <w:tr>
        <w:trPr/>
        <w:tc>
          <w:tcPr>
            <w:tcW w:w="3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5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53.0112</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547" w:type="dxa"/>
            <w:tcBorders/>
            <w:shd w:fill="CCEEFF" w:val="clear"/>
            <w:vAlign w:val="bottom"/>
          </w:tcPr>
          <w:p>
            <w:pPr>
              <w:pStyle w:val="TableContents"/>
              <w:bidi w:val="0"/>
              <w:spacing w:before="0" w:after="283"/>
              <w:jc w:val="right"/>
              <w:rPr/>
            </w:pPr>
            <w:r>
              <w:rPr/>
              <w:t>191,999,993</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547" w:type="dxa"/>
            <w:tcBorders/>
            <w:shd w:fill="CCEEFF" w:val="clear"/>
            <w:vAlign w:val="bottom"/>
          </w:tcPr>
          <w:p>
            <w:pPr>
              <w:pStyle w:val="TableContents"/>
              <w:bidi w:val="0"/>
              <w:spacing w:before="0" w:after="283"/>
              <w:jc w:val="right"/>
              <w:rPr/>
            </w:pPr>
            <w:r>
              <w:rPr/>
              <w:t>220,799,970</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excluding underwriting discounts, will be $0.5 million. This includes $150,000 of the fees and expenses of the underwriter. These expenses are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also have agreed to indemnify the underwriter against certain liabilities, including civil liabilities under the Securities Act or to contribute to payments that the underwriter may be required to make in respect of those liabilities. </w:t>
      </w:r>
    </w:p>
    <w:p>
      <w:pPr>
        <w:pStyle w:val="TextBody"/>
        <w:bidi w:val="0"/>
        <w:spacing w:before="360" w:after="0"/>
        <w:jc w:val="left"/>
        <w:rPr>
          <w:rFonts w:ascii="Times New Roman" w:hAnsi="Times New Roman"/>
          <w:b/>
          <w:sz w:val="20"/>
        </w:rPr>
      </w:pPr>
      <w:r>
        <w:rPr>
          <w:rFonts w:ascii="Times New Roman" w:hAnsi="Times New Roman"/>
          <w:b/>
          <w:sz w:val="20"/>
        </w:rPr>
        <w:t>No Sales of Similar Securities</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limited exceptions, each of our directors and officers have agreed not to offer, sell, agree to sell, directly or indirectly, or otherwise dispose of any shares of common stock or any securities convertible into or exchangeable for shares of common stock for a period of 60 days after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The lock-up agreements that our directors and officers have entered into and the Company lock-up pursuant to the underwriting agreement provide limited exceptions and their restrictions may be waived at any time by the underwriter.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bidi w:val="0"/>
        <w:spacing w:before="120" w:after="0"/>
        <w:jc w:val="left"/>
        <w:rPr>
          <w:rFonts w:ascii="Times New Roman" w:hAnsi="Times New Roman"/>
          <w:sz w:val="20"/>
        </w:rPr>
      </w:pPr>
      <w:r>
        <w:rPr>
          <w:rFonts w:ascii="Times New Roman" w:hAnsi="Times New Roman"/>
          <w:sz w:val="20"/>
        </w:rPr>
        <w:t xml:space="preserve">To facilitate this offering, the underwriter may engage in transactions that stabilize, maintain or otherwise affect the price of our common stock during and after the offering. Specifically, the underwriter may create a short position in our common stock for their own accounts by selling more shares of common stock than we have sold to such underwriter. The underwriter may close out any short position by purchasing shares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underwriter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Nasdaq or otherwise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 and selling group members may also engage in passive market making transactions in our common stock on Nasdaq. Passive market making consists of displaying bids on Nasdaq limited by the prices of independent market makers and effecting purchases limited by those prices in response to order flow. Rule 103 of Regulation M promulgated by the Securities and Exchange Commission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 make any representation or prediction as to the direction or magnitude of any effect that the transactions described above may have on the price of our common stock. In addition, neither we nor the underwriter make any representation that the underwriter will engage in these transactions or that any transaction, if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“OUST.”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and its affiliates are full-service financial institutions engaged in various activities, which may include securities trading, commercial and investment banking, financial advisory, investment management, investment research, principal investment, hedging, financing and brokerage activities. The underwriter may in the future engage in investment banking and other commercial dealings in the ordinary course of business with us or our affiliates. The underwriter may in the future receive customary fees and commissions for these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its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the issuer. The underwriter and its affiliates may also make investment recommendations and/or publish or express independent research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views in respect of such securities or instruments and may at any time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Offer, Sale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the underwriter or certain of the securities dealers may distribute prospectuses by electronic means, such as e-mail. In addition, the underwriter may facilitate Internet distribution for this offering to certain of its Internet subscription customers. The underwriter may allocate a limited number of shares for sale to their online brokerage customers. An electronic prospectus is available on the Internet websites maintained by any such underwriter. Other than the prospectus in electronic format, the information on the websites of the underwriter are not part of this prospectus supplement or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r>
              <w:rPr>
                <w:rFonts w:ascii="Times New Roman" w:hAnsi="Times New Roman"/>
                <w:i/>
                <w:sz w:val="20"/>
              </w:rPr>
              <w:t>provided</w:t>
            </w:r>
            <w:r>
              <w:rPr>
                <w:rFonts w:ascii="Times New Roman" w:hAnsi="Times New Roman"/>
                <w:sz w:val="20"/>
              </w:rPr>
              <w:t xml:space="preserve"> that no such offer of securities shall require us or any of the representative to publish a prospectus pursuant to Article 3 of the Prospectus Regulation or supplement a prospectus pursuant to Article 23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(the “FMSA”),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securities shall require us or any representative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or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101562_9"/>
      <w:bookmarkEnd w:id="11"/>
      <w:r>
        <w:rPr>
          <w:rFonts w:ascii="Times New Roman" w:hAnsi="Times New Roman"/>
          <w:b/>
          <w:sz w:val="20"/>
        </w:rPr>
        <w:t>LEGAL MATTERS</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our common stock offered in this prospectus supplement will be passed upon for us by Latham &amp; Watkins LLP. Faegre Drinker Biddle  &amp; Reath LLP is acting as counsel for the underwriter in connection with this offering. </w:t>
      </w:r>
    </w:p>
    <w:p>
      <w:pPr>
        <w:pStyle w:val="TextBody"/>
        <w:bidi w:val="0"/>
        <w:spacing w:before="480" w:after="0"/>
        <w:jc w:val="center"/>
        <w:rPr>
          <w:rFonts w:ascii="Times New Roman" w:hAnsi="Times New Roman"/>
          <w:b/>
          <w:sz w:val="20"/>
        </w:rPr>
      </w:pPr>
      <w:bookmarkStart w:id="12" w:name="supptoc101562_10"/>
      <w:bookmarkEnd w:id="12"/>
      <w:r>
        <w:rPr>
          <w:rFonts w:ascii="Times New Roman" w:hAnsi="Times New Roman"/>
          <w:b/>
          <w:sz w:val="20"/>
        </w:rPr>
        <w:t>EXPERTS</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101562_11"/>
      <w:bookmarkEnd w:id="13"/>
      <w:r>
        <w:rPr>
          <w:rFonts w:ascii="Times New Roman" w:hAnsi="Times New Roman"/>
          <w:b/>
          <w:sz w:val="20"/>
        </w:rPr>
        <w:t>WHERE YOU CAN FIND MORE INFORMATION; INCORPORATION BY REFERENCE</w:t>
      </w:r>
    </w:p>
    <w:p>
      <w:pPr>
        <w:pStyle w:val="TextBody"/>
        <w:bidi w:val="0"/>
        <w:spacing w:before="240" w:after="0"/>
        <w:jc w:val="left"/>
        <w:rPr>
          <w:rFonts w:ascii="Times New Roman" w:hAnsi="Times New Roman"/>
          <w:b/>
          <w:sz w:val="20"/>
        </w:rPr>
      </w:pPr>
      <w:r>
        <w:rPr>
          <w:rFonts w:ascii="Times New Roman" w:hAnsi="Times New Roman"/>
          <w:b/>
          <w:sz w:val="20"/>
        </w:rPr>
        <w:t>Available Information</w:t>
      </w:r>
    </w:p>
    <w:p>
      <w:pPr>
        <w:pStyle w:val="TextBody"/>
        <w:bidi w:val="0"/>
        <w:spacing w:before="12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of which this prospectus supplement and the accompanying prospectus form a part. This prospectus supplement and the accompanying prospectus, which constitutes a part of the registration statement, does not contain all of the information set forth in the registration statement or the exhibits filed with the registration statement. For further information about us and the securities we are offering under this prospectus supplement and the accompanying prospectus,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reporting requirements of the Exchange Act of 1934, as amended, or the Exchange Act, and, in accordance with this law, are required to file periodic reports, proxy statements and other information with the SEC. We file annual, quarterly and current reports, proxy statements and other information with the SEC. Our SEC filings are available to the public at the SEC’s website at www.sec.gov. </w:t>
      </w:r>
    </w:p>
    <w:p>
      <w:pPr>
        <w:pStyle w:val="TextBody"/>
        <w:bidi w:val="0"/>
        <w:spacing w:before="360" w:after="0"/>
        <w:jc w:val="left"/>
        <w:rPr>
          <w:rFonts w:ascii="Times New Roman" w:hAnsi="Times New Roman"/>
          <w:b/>
          <w:sz w:val="20"/>
        </w:rPr>
      </w:pPr>
      <w:r>
        <w:rPr>
          <w:rFonts w:ascii="Times New Roman" w:hAnsi="Times New Roman"/>
          <w:b/>
          <w:sz w:val="20"/>
        </w:rPr>
        <w:t>Incorporation by Reference</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accompanying prospectus, which means that we can disclose important information to you by referring you to another document filed separately with the SEC. The information incorporated by reference is deemed to be part of this prospectus supplement and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and any future filings made by us with the SEC under Sections 13(a), 13(c), 14 or 15(d) of the Securities Exchange Act of 1934, as amended, which we refer to as the “Exchange Act” in this prospectus supplement,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5">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w:t>
            </w:r>
            <w:hyperlink r:id="rId6">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7">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8">
              <w:r>
                <w:rPr>
                  <w:rStyle w:val="InternetLink"/>
                  <w:rFonts w:ascii="Times New Roman" w:hAnsi="Times New Roman"/>
                  <w:sz w:val="20"/>
                </w:rPr>
                <w:t>May 8, 2026</w:t>
              </w:r>
            </w:hyperlink>
            <w:r>
              <w:rPr>
                <w:rFonts w:ascii="Times New Roman" w:hAnsi="Times New Roman"/>
                <w:sz w:val="20"/>
              </w:rPr>
              <w:t xml:space="preserve"> and </w:t>
            </w:r>
            <w:hyperlink r:id="rId9">
              <w:r>
                <w:rPr>
                  <w:rStyle w:val="InternetLink"/>
                  <w:rFonts w:ascii="Times New Roman" w:hAnsi="Times New Roman"/>
                  <w:sz w:val="20"/>
                </w:rPr>
                <w:t>June 18,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0">
              <w:r>
                <w:rPr>
                  <w:rStyle w:val="InternetLink"/>
                  <w:rFonts w:ascii="Times New Roman" w:hAnsi="Times New Roman"/>
                  <w:sz w:val="20"/>
                </w:rPr>
                <w:t>Form 8-A</w:t>
              </w:r>
            </w:hyperlink>
            <w:r>
              <w:rPr>
                <w:rFonts w:ascii="Times New Roman" w:hAnsi="Times New Roman"/>
                <w:sz w:val="20"/>
              </w:rPr>
              <w:t xml:space="preserve">, filed with the SEC on December 20, 2024, as updated in Exhibit 4.3 to our annual report on Form 10-K for the year ended December 31, 2025, filed with the SEC on March 2, 2026, as well as any additional amendments or reports filed with the SEC for the purpose of updating the description.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deemed to be part of this prospectus supplement from the date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supplement (other than exhibits, unless they are specifically incorporated by reference in the documents)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Ouster, Inc. </w:t>
      </w:r>
    </w:p>
    <w:p>
      <w:pPr>
        <w:pStyle w:val="TextBody"/>
        <w:bidi w:val="0"/>
        <w:spacing w:before="0" w:after="0"/>
        <w:jc w:val="center"/>
        <w:rPr>
          <w:rFonts w:ascii="Times New Roman" w:hAnsi="Times New Roman"/>
          <w:sz w:val="20"/>
        </w:rPr>
      </w:pPr>
      <w:r>
        <w:rPr>
          <w:rFonts w:ascii="Times New Roman" w:hAnsi="Times New Roman"/>
          <w:sz w:val="20"/>
        </w:rPr>
        <w:t xml:space="preserve">350 Treat Avenue </w:t>
      </w:r>
    </w:p>
    <w:p>
      <w:pPr>
        <w:pStyle w:val="TextBody"/>
        <w:bidi w:val="0"/>
        <w:spacing w:before="0" w:after="0"/>
        <w:jc w:val="center"/>
        <w:rPr>
          <w:rFonts w:ascii="Times New Roman" w:hAnsi="Times New Roman"/>
          <w:sz w:val="20"/>
        </w:rPr>
      </w:pPr>
      <w:r>
        <w:rPr>
          <w:rFonts w:ascii="Times New Roman" w:hAnsi="Times New Roman"/>
          <w:sz w:val="20"/>
        </w:rPr>
        <w:t xml:space="preserve">San Francisco, California 94110 </w:t>
      </w:r>
    </w:p>
    <w:p>
      <w:pPr>
        <w:pStyle w:val="TextBody"/>
        <w:bidi w:val="0"/>
        <w:spacing w:before="0" w:after="0"/>
        <w:jc w:val="center"/>
        <w:rPr>
          <w:rFonts w:ascii="Times New Roman" w:hAnsi="Times New Roman"/>
          <w:sz w:val="20"/>
        </w:rPr>
      </w:pPr>
      <w:r>
        <w:rPr>
          <w:rFonts w:ascii="Times New Roman" w:hAnsi="Times New Roman"/>
          <w:sz w:val="20"/>
        </w:rPr>
        <w:t>(415) 949-0108</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417320" cy="7505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417320" cy="7505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Ouster,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pPr>
      <w:r>
        <w:rPr>
          <w:rFonts w:ascii="Times New Roman" w:hAnsi="Times New Roman"/>
          <w:b/>
          <w:sz w:val="24"/>
        </w:rPr>
        <w:t>INVESTING IN OUR SECURITIES INVOLVES RISKS. SEE THE “</w:t>
      </w:r>
      <w:hyperlink w:anchor="toc160029_5">
        <w:r>
          <w:rPr>
            <w:rStyle w:val="InternetLink"/>
            <w:rFonts w:ascii="Times New Roman" w:hAnsi="Times New Roman"/>
            <w:b/>
            <w:sz w:val="24"/>
          </w:rPr>
          <w:t>RISK FACTORS</w:t>
        </w:r>
      </w:hyperlink>
      <w:r>
        <w:rPr>
          <w:rFonts w:ascii="Times New Roman" w:hAnsi="Times New Roman"/>
          <w:b/>
          <w:sz w:val="24"/>
        </w:rPr>
        <w:t xml:space="preserve">” ON PAGE 6 OF THIS PROSPECTUS AND ANY SIMILAR SECTION CONTAINED IN THE APPLICABLE PROSPECTUS SUPPLEMENT AND IN THE DOCUMENTS INCORPORATED BY REFERENCE HEREIN OR THEREIN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“OUST.” On June 30, 2026, the last reported sale price of our common stock on the Nasdaq Global Select Market was $62.52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July 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
      <w:bookmarkEnd w:id="1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6002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2">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3">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9">
              <w:r>
                <w:rPr>
                  <w:rStyle w:val="InternetLink"/>
                  <w:rFonts w:ascii="Times New Roman" w:hAnsi="Times New Roman"/>
                  <w:sz w:val="20"/>
                </w:rPr>
                <w:t>DESCRIPTION OF OTHER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0">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60029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“Ouster,” “we,” “our,” “us” and the “Company” in this prospectus, we mean Ouster, Inc. and its consolidated subsidiaries, unless otherwise specified. When we refer to “you,” we mean the potential holders of the applicable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60029_2"/>
      <w:bookmarkEnd w:id="1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contain forward-looking statements, which reflect our current views with respect to, among other things, our operations and financial performance. All statements other than statements of historical facts contained in this prospectus and any applicable prospectus supplement are forward-looking statements, including any statements regarding our ability to maintain or grow our global sales and bolster our financial position; our expected contractual obligations and capital expenditures; the capabilities of and demand for our products; our anticipated new product launches and anticipated impacts from recent product launches; our future results of operations and financial position; industry and business trends; the remediation of material weaknesses; the impact of market conditions and other macroeconomic factors on our business, financial condition and results of operation; expectations regarding legal proceedings; our future business strategy, plans, distribution partnerships, market growth and our objectives for future operations.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“should,” “expects,” “might,” “plans,” “anticipates,” “could,” “intends,” “target,”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the risks described under the heading “Risk Factors” contained in this prospectus, the applicable prospectus supplement and any applicable free writing prospectus, and under similar headings in other documents that are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60029_3"/>
      <w:bookmarkEnd w:id="17"/>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hAnsi="Times New Roman"/>
          <w:i/>
          <w:sz w:val="20"/>
        </w:rPr>
        <w:t>http://www.sec.gov</w:t>
      </w:r>
      <w:r>
        <w:rPr>
          <w:rFonts w:ascii="Times New Roman" w:hAnsi="Times New Roman"/>
          <w:sz w:val="20"/>
        </w:rPr>
        <w:t xml:space="preserve">. You may access these materials free of charge as soon as reasonably practicable after they are electronically filed with or furnished to the SEC. </w:t>
      </w:r>
    </w:p>
    <w:p>
      <w:pPr>
        <w:pStyle w:val="TextBody"/>
        <w:bidi w:val="0"/>
        <w:spacing w:before="240" w:after="0"/>
        <w:jc w:val="left"/>
        <w:rPr>
          <w:rFonts w:ascii="Times New Roman" w:hAnsi="Times New Roman"/>
          <w:sz w:val="20"/>
        </w:rPr>
      </w:pPr>
      <w:r>
        <w:rPr>
          <w:rFonts w:ascii="Times New Roman" w:hAnsi="Times New Roman"/>
          <w:sz w:val="20"/>
        </w:rPr>
        <w:t xml:space="preserve">Our web site address is </w:t>
      </w:r>
      <w:r>
        <w:rPr>
          <w:rFonts w:ascii="Times New Roman" w:hAnsi="Times New Roman"/>
          <w:i/>
          <w:sz w:val="20"/>
        </w:rPr>
        <w:t>www.ouster.com</w:t>
      </w:r>
      <w:r>
        <w:rPr>
          <w:rFonts w:ascii="Times New Roman" w:hAnsi="Times New Roman"/>
          <w:sz w:val="20"/>
        </w:rPr>
        <w:t xml:space="preserve">. The information on our web site, however, is not, and should not be deemed to be, a part of, or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w:t>
            </w:r>
            <w:hyperlink r:id="rId13">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4">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5">
              <w:r>
                <w:rPr>
                  <w:rStyle w:val="InternetLink"/>
                  <w:rFonts w:ascii="Times New Roman" w:hAnsi="Times New Roman"/>
                  <w:sz w:val="20"/>
                </w:rPr>
                <w:t>May  8, 2026</w:t>
              </w:r>
            </w:hyperlink>
            <w:r>
              <w:rPr>
                <w:rFonts w:ascii="Times New Roman" w:hAnsi="Times New Roman"/>
                <w:sz w:val="20"/>
              </w:rPr>
              <w:t xml:space="preserve"> and </w:t>
            </w:r>
            <w:hyperlink r:id="rId16">
              <w:r>
                <w:rPr>
                  <w:rStyle w:val="InternetLink"/>
                  <w:rFonts w:ascii="Times New Roman" w:hAnsi="Times New Roman"/>
                  <w:sz w:val="20"/>
                </w:rPr>
                <w:t>June 18,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the our Registration Statement on </w:t>
            </w:r>
            <w:hyperlink r:id="rId17">
              <w:r>
                <w:rPr>
                  <w:rStyle w:val="InternetLink"/>
                  <w:rFonts w:ascii="Times New Roman" w:hAnsi="Times New Roman"/>
                  <w:sz w:val="20"/>
                </w:rPr>
                <w:t>Form 8-A</w:t>
              </w:r>
            </w:hyperlink>
            <w:r>
              <w:rPr>
                <w:rFonts w:ascii="Times New Roman" w:hAnsi="Times New Roman"/>
                <w:sz w:val="20"/>
              </w:rPr>
              <w:t xml:space="preserve">, filed with the SEC on December 20, 2024, as updated in Exhibit 4.3 to our annual report on Form 10-K for the year ended December 31, 2025, filed with the SEC on March 2, 2026, as well as any additional amendments or reports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Ouster, Inc. </w:t>
      </w:r>
    </w:p>
    <w:p>
      <w:pPr>
        <w:pStyle w:val="TextBody"/>
        <w:bidi w:val="0"/>
        <w:spacing w:before="0" w:after="0"/>
        <w:jc w:val="center"/>
        <w:rPr>
          <w:rFonts w:ascii="Times New Roman" w:hAnsi="Times New Roman"/>
          <w:sz w:val="20"/>
        </w:rPr>
      </w:pPr>
      <w:r>
        <w:rPr>
          <w:rFonts w:ascii="Times New Roman" w:hAnsi="Times New Roman"/>
          <w:sz w:val="20"/>
        </w:rPr>
        <w:t xml:space="preserve">350 Treat Avenue </w:t>
      </w:r>
    </w:p>
    <w:p>
      <w:pPr>
        <w:pStyle w:val="TextBody"/>
        <w:bidi w:val="0"/>
        <w:spacing w:before="0" w:after="0"/>
        <w:jc w:val="center"/>
        <w:rPr>
          <w:rFonts w:ascii="Times New Roman" w:hAnsi="Times New Roman"/>
          <w:sz w:val="20"/>
        </w:rPr>
      </w:pPr>
      <w:r>
        <w:rPr>
          <w:rFonts w:ascii="Times New Roman" w:hAnsi="Times New Roman"/>
          <w:sz w:val="20"/>
        </w:rPr>
        <w:t xml:space="preserve">San Francisco, California 94110 </w:t>
      </w:r>
    </w:p>
    <w:p>
      <w:pPr>
        <w:pStyle w:val="TextBody"/>
        <w:bidi w:val="0"/>
        <w:spacing w:before="0" w:after="0"/>
        <w:jc w:val="center"/>
        <w:rPr>
          <w:rFonts w:ascii="Times New Roman" w:hAnsi="Times New Roman"/>
          <w:sz w:val="20"/>
        </w:rPr>
      </w:pPr>
      <w:r>
        <w:rPr>
          <w:rFonts w:ascii="Times New Roman" w:hAnsi="Times New Roman"/>
          <w:sz w:val="20"/>
        </w:rPr>
        <w:t>(415) 949-0108</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60029_4"/>
      <w:bookmarkEnd w:id="18"/>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leader in sensing and perception for Physical AI across industrial, robotics, automotive, and smart infrastructure. With a unified platform of high-performance digital lidar, cameras, AI compute, sensor fusion and perception software, and AI models, we deliver solutions that improve quality of life by enabling machines to sense, think, act, and learn in the physical world.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global provider of lidar sensors and solutions. We design and manufacture high-resolution digital lidar sensors that offer advanced 3D vision to machinery, vehicles, robots, and fixed infrastructure assets, which allows each to understand and visualize the surrounding world and enable safe operation and autonomy. We believe our sensors are one of the highest-performing, lowest-cost lidar solutions available today. </w:t>
      </w:r>
    </w:p>
    <w:p>
      <w:pPr>
        <w:pStyle w:val="TextBody"/>
        <w:bidi w:val="0"/>
        <w:spacing w:before="240" w:after="0"/>
        <w:jc w:val="left"/>
        <w:rPr>
          <w:rFonts w:ascii="Times New Roman" w:hAnsi="Times New Roman"/>
          <w:sz w:val="20"/>
        </w:rPr>
      </w:pPr>
      <w:r>
        <w:rPr>
          <w:rFonts w:ascii="Times New Roman" w:hAnsi="Times New Roman"/>
          <w:sz w:val="20"/>
        </w:rPr>
        <w:t xml:space="preserve">Our wholly-owned subsidiary, Stereolabs, which we acquired on February 4, 2026, is a pioneer in AI vision and perception solutions that has developed a leading portfolio of industrial-grade ZED-cameras, AI compute powered by NVIDIA’s platform, and in-house AI vision software to power solutions across robotics, industrials, and smart infrastructure. Its high-performance ZED cameras provide best-in-class 2D and 3D color data with ultra-low latency, and its embedded AI compute hardware facilitates native, real-time sensor fusion at the edge. We believe Stereolabs’s perception software, built on proprietary AI models, is the foundation for thousands of developers’ autonomy workflows. </w:t>
      </w:r>
    </w:p>
    <w:p>
      <w:pPr>
        <w:pStyle w:val="TextBody"/>
        <w:bidi w:val="0"/>
        <w:spacing w:before="240" w:after="0"/>
        <w:jc w:val="left"/>
        <w:rPr>
          <w:rFonts w:ascii="Times New Roman" w:hAnsi="Times New Roman"/>
          <w:sz w:val="20"/>
        </w:rPr>
      </w:pPr>
      <w:r>
        <w:rPr>
          <w:rFonts w:ascii="Times New Roman" w:hAnsi="Times New Roman"/>
          <w:sz w:val="20"/>
        </w:rPr>
        <w:t xml:space="preserve">Our hardware product offerings include a broad portfolio of digital lidar sensors, monocular and stereo cameras, and AI compute. On May 4, 2026, we announced the launch of the Rev8 OS family of digital lidar sensors. Powered by our next-generation L4 and L4 Max Ouster Silicon, the Rev8 family features upgraded OS0, OS1, and OSDome sensors and adds the flagship 256-channel OS1 Max. Rev8 introduces the world’s first native color lidar sensors, provides up to double the range and resolution of the previous generation, and is designed for functional safety, reliability, affordability, and scale. Within our OS sensor models, we offer numerous customization options, all enabled by embedded software.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portfolio has expanded to include Stereolabs’s growing product line, which now includes the ZED X, ZED X Mini, and ZED X Nano stereo cameras, the ZED X One monocular camera, and the ZED Box edge compute. We are currently developing our solid-state digital flash (“DF”) sensors, which is a suite of short, mid, and long-range solid-state digital lidar sensors that provide uniform precision imaging without motion blur across an entire field of view. </w:t>
      </w:r>
    </w:p>
    <w:p>
      <w:pPr>
        <w:pStyle w:val="TextBody"/>
        <w:bidi w:val="0"/>
        <w:spacing w:before="240" w:after="0"/>
        <w:jc w:val="left"/>
        <w:rPr>
          <w:rFonts w:ascii="Times New Roman" w:hAnsi="Times New Roman"/>
          <w:sz w:val="20"/>
        </w:rPr>
      </w:pPr>
      <w:r>
        <w:rPr>
          <w:rFonts w:ascii="Times New Roman" w:hAnsi="Times New Roman"/>
          <w:sz w:val="20"/>
        </w:rPr>
        <w:t xml:space="preserve">We provide Physical AI solutions tailored for smart infrastructure applications. Our software solutions, built on proprietary AI models, enable real-time people and object detection, classification, and tracking for actionable, intuitive, and customizable insights while preserving personally identifiable information. Ouster Gemini is our digital lidar powered perception platform designed for security and crowd analytics, logistics, and intelligent transportation systems. Ouster BlueCity is our turnkey real-time traffic management solution for analytics and signal actuation to improve traffic flow, road safety, and urban planning. </w:t>
      </w:r>
    </w:p>
    <w:p>
      <w:pPr>
        <w:pStyle w:val="TextBody"/>
        <w:bidi w:val="0"/>
        <w:spacing w:before="240" w:after="0"/>
        <w:jc w:val="left"/>
        <w:rPr>
          <w:rFonts w:ascii="Times New Roman" w:hAnsi="Times New Roman"/>
          <w:sz w:val="20"/>
        </w:rPr>
      </w:pPr>
      <w:r>
        <w:rPr>
          <w:rFonts w:ascii="Times New Roman" w:hAnsi="Times New Roman"/>
          <w:sz w:val="20"/>
        </w:rPr>
        <w:t xml:space="preserve">We were initially incorporated under the name “Colonnade Acquisition Corp.” on June 4, 2020 as a Cayman Islands exempted company for purposes of effecting a merger, share exchange, asset acquisition, share purchase, reorganization or similar business combination with one or more businesses. On March 10, 2021, we domesticated into a Delaware corporation and changed our name to “Ouster, Inc.” in connection with the consummation of the business combination with Ouster Technologies, Inc.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350 Treat Avenue, San Francisco, CA 94110. Our telephone number is (415) 949-0108. Our website address is </w:t>
      </w:r>
      <w:r>
        <w:rPr>
          <w:rFonts w:ascii="Times New Roman" w:hAnsi="Times New Roman"/>
          <w:i/>
          <w:sz w:val="20"/>
        </w:rPr>
        <w:t>www.ouster.com</w:t>
      </w:r>
      <w:r>
        <w:rPr>
          <w:rFonts w:ascii="Times New Roman" w:hAnsi="Times New Roman"/>
          <w:sz w:val="20"/>
        </w:rPr>
        <w:t xml:space="preserve">. Information contained on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60029_5"/>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60029_6"/>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60029_7"/>
      <w:bookmarkEnd w:id="2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terms of our capital stock and warrants is not complete and is qualified in its entirety by reference to our Certificate of Incorporation, as amended (the “Certificate of Incorporation”), our Second Amended and Restated Bylaws (the “Bylaws”) and the warrant agreements, all of which are attached as exhibits to our Annual Report on Form 10-K. References to “our”, “we”, “us”, the “Company”, and “Ouster” refer to Ouster, Inc.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Authorized Capitalization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total amount of our authorized capital stock consists of 200,000,000 shares of common stock, par value $0.0001 per share, and 100,000,000 shares of preferred stock, par value $0.0001 per share. </w:t>
      </w:r>
    </w:p>
    <w:p>
      <w:pPr>
        <w:pStyle w:val="TextBody"/>
        <w:bidi w:val="0"/>
        <w:spacing w:before="360" w:after="0"/>
        <w:jc w:val="left"/>
        <w:rPr>
          <w:rFonts w:ascii="Times New Roman" w:hAnsi="Times New Roman"/>
          <w:i/>
          <w:sz w:val="20"/>
        </w:rPr>
      </w:pPr>
      <w:r>
        <w:rPr>
          <w:rFonts w:ascii="Times New Roman" w:hAnsi="Times New Roman"/>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(the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DGCL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360" w:after="0"/>
        <w:jc w:val="left"/>
        <w:rPr>
          <w:rFonts w:ascii="Times New Roman" w:hAnsi="Times New Roman"/>
          <w:i/>
          <w:sz w:val="20"/>
        </w:rPr>
      </w:pPr>
      <w:r>
        <w:rPr>
          <w:rFonts w:ascii="Times New Roman" w:hAnsi="Times New Roman"/>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does not entitle its holders to preemptive or other similar subscription rights to purchase any of our securities. Our common stock is neither convertible nor redeemable. Unless our Board determines otherwise, we will issue all of our capital stock in uncertificated form.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our common stock is entitled to one vote per share on each matter submitted to a vote of stockholders, as provided by the Certificate of Incorporation. The Bylaws provide that the holders of one-third (1/3) in voting power of the stock issued and outstanding and entitled to vote, present in person, or by remote communication, if applicable, or represented by proxy, shall constitute a quorum for the transaction of business. When a quorum is present, the affirmative vote of a majority of the votes cast (excluding abstentions and broker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non-votes) is required to take action, unless otherwise specified by law, the Bylaws or the Certificate of Incorporation, and except for the election of directors, which is determined by a plurality vote. There are no cumulative voting rights. </w:t>
      </w:r>
    </w:p>
    <w:p>
      <w:pPr>
        <w:pStyle w:val="TextBody"/>
        <w:bidi w:val="0"/>
        <w:spacing w:before="360" w:after="0"/>
        <w:jc w:val="left"/>
        <w:rPr>
          <w:rFonts w:ascii="Times New Roman" w:hAnsi="Times New Roman"/>
          <w:i/>
          <w:sz w:val="20"/>
        </w:rPr>
      </w:pPr>
      <w:r>
        <w:rPr>
          <w:rFonts w:ascii="Times New Roman" w:hAnsi="Times New Roman"/>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shares of our capital stock is entitled to the payment of dividends and other distributions as may be declared by Board from time to time out of our assets or funds legally available for dividends or other distributions. These rights are subject to the preferential rights of the holders of our preferred stock, if any, and any contractual limitations on our ability to declare and pay dividends.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 rights of each holder of our common stock are subject to, and may be adversely affected by, the rights of the holders of any series of our preferred stock that we may designate and issue in the future.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Effects of the Certificate of Incorporation and the Bylaws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the Board, which we believe may result in an improvement of the terms of any such acquisition in favor of our stockholders. However, they also give the Board the power to discourage mergers that some stockholders may favor.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a special meeting of stockholders may be called by (a) the Chairperson of the Board, (b) the Board, (c) our Chief Executive Officer or (d) our President, provided that such special meeting may be postponed, rescheduled or cancelled by the Board or other person calling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any action required or permitted to be taken by our stockholders must be effected at an annual or special meeting of the stockholders, and may not be taken by written consent in lieu of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our Board is divided into three classes, with the classes as nearly equal in number as possible and each class serving three-year staggered terms. The Board or any individual director may be removed from office at any time, but only for cause and only by the affirmative vote of the holders of at least a majority of the voting power of all of the then outstanding shares of our voting stock entitled to vote at an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Election of Directors and Vacancies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any series of preferred stock to elect additional directors under specified circumstances, the number of directors of our Board is fixed exclusively by the Board. Our Board is divided into three classes, designated Class I, II and III, with each class to be elected by our stockholders every three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the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Board is expressly authorized to adopt, amend or repeal the Bylaws, subject to the power of our stockholders entitled to vote with respect thereto to adopt, amend or repeal the Bylaws. Our stockholders have the power to adopt, amend or repeal the Bylaws; provided, that in addition to any vote of the holders of any class or series of our stock required by applicable law or by our Certificate of Incorporation or Bylaws, the adoption, amendment or repeal of our Bylaws by our stockholders shall require the affirmative vote of the holders of at least two-thirds of the voting power of all of the then outstanding shares of our voting stock entitled to vote generally in an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vote of at least 66 2/3% of the total voting power of our outstanding shares entitled to vote thereon, voting together as a single class, is required to amend certain provisions of our Certificate of Incorporation, including those relating to the terms of our authorized preferred stock (Article V(B)), the authority and composition of our Board (Article VII), special meetings of our stockholders and the ability of our stockholders to act by written consent (Article VIII), limitation of liability of our directors (Article IX), restrictions similar to Section 203 of the DGCL (Article X), our obligation to indemnify our directors and officers to the fullest extent permitted by law (Article XI), exclusive jurisdiction of certain legal proceedings involving our stockholders (Article XII) and the requirements for amendments to our Certificate of Incorporation (Article XIII).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(a) the board of directors of such corporation approves the acquisition of stock or the merger transaction before the time that the person becomes an interested stockholder, (b) the interested stockholder owns at least 85% of the outstanding voting stock of such corporation at the time the merger transaction commences (excluding voting stock owned by directors who are also officers and certain employee stock plans), or (c) the merger transaction is approved by the board of directors and at a meeting of stockholders, not by written consent, by the affirmative vote of at least two-thirds of the outstanding voting stock which is not owned by the interested stockholder. A Delaware corporation may elect in its certificate of incorporation or bylaws not to be governed by this particular Delaware law. Under the Certificate of Incorporation, we have opted out of Section 203 of the DGCL, but the Certificate of Incorporation provides other similar restrictions regarding takeovers by interested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we are to indemnify our directors to the fullest extent authorized or permitted by applicable law. We have entered and expect to continue to enter into agreements to indemnify our directors, executive officers and other employees as determined by the Board. Under the Bylaws, we are required to indemnify each of our directors and officers if the basis of the indemnitee’s involvement was by reason of the fact that the indemnitee is or was our director or officer or was serving at our request as a director, officer, employee or agent for another entity. We must indemnify our officers and directors against all expenses (including attorneys’ fees), judgments, fines and amounts paid in settlement actually and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incurred by the indemnitee in connection with such action, suit or proceeding if the indemnitee acted in good faith and in a manner the indemnitee reasonably believed to be in or not opposed to our best interests, and, with respect to any criminal action or proceeding, had no reasonable cause to believe the indemnitee’s conduct was unlawful. The Bylaws also require us to advance expenses (including attorneys’ fees) incurred by a director or officer in defending any civil, criminal, administrative or investigative action, suit or proceeding, provided that such person will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of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the Bylaws or the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 and, if brought outside of Delaware, the stockholder bringing the suit will be deemed to have consented to (a) the personal jurisdiction of the state and federal courts in the State of Delaware in connection with any action brought in any such court to enforce the exclusive jurisdiction provisions of the Certificate of Incorporation and (b) service of process on such stockholder’s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22 of the Securities Act of 1933, as amended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also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these provisions would benefit us by providing increased consistency in the application of applicable law in the types of lawsuits to which they apply, these provisions may have the effect of discouraging lawsuits against our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common stock is Continental Stock Transfer &amp; Trust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“OUST.”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60029_8"/>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“Ouster,” “we,” “our” or “us” refer to Ouster, Inc., excluding our subsidiaries,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(Section 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(Article IV)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entity or the successor person (if other than Ouster) is a corporation, partnership, trust or other entity organized and validly existing under the laws of Delaware and expressly assumes our obligations on the debt securities and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(Section 5.1)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Ouster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Ouster;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(Section 6.1)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(Section 9.1)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(Section 9.3)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60029_9"/>
      <w:bookmarkEnd w:id="23"/>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depositary shares, warrants, purchase contracts or units issued by us that may be offered and sold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60029_10"/>
      <w:bookmarkEnd w:id="24"/>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24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60029_11"/>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60029_12"/>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will pass upon certain legal matters relating to the issuance and sale of the securities offered hereby on behalf of Ouster, Inc.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7" w:name="toc160029_13"/>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3,621,876 Shares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62100" cy="8204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1562100" cy="8204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920" w:after="0"/>
        <w:jc w:val="center"/>
        <w:rPr>
          <w:rFonts w:ascii="Times New Roman" w:hAnsi="Times New Roman"/>
          <w:b/>
          <w:sz w:val="32"/>
        </w:rPr>
      </w:pPr>
      <w:r>
        <w:rPr>
          <w:rFonts w:ascii="Times New Roman" w:hAnsi="Times New Roman"/>
          <w:b/>
          <w:sz w:val="32"/>
        </w:rPr>
        <w:t xml:space="preserve">Northland Capital Markets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000" w:after="0"/>
        <w:jc w:val="center"/>
        <w:rPr>
          <w:rFonts w:ascii="Times New Roman" w:hAnsi="Times New Roman"/>
          <w:b/>
          <w:sz w:val="20"/>
        </w:rPr>
      </w:pPr>
      <w:r>
        <w:rPr>
          <w:rFonts w:ascii="Times New Roman" w:hAnsi="Times New Roman"/>
          <w:b/>
          <w:sz w:val="20"/>
        </w:rPr>
        <w:t xml:space="preserve">July 2,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8" w:name="d101562dexfilingfees.htm"/>
      <w:bookmarkStart w:id="29" w:name="ksd101562dexfilingfees"/>
      <w:bookmarkStart w:id="30" w:name="d101562dexfilingfees.htm"/>
      <w:bookmarkStart w:id="31" w:name="ksd101562dexfilingfees"/>
      <w:bookmarkEnd w:id="30"/>
      <w:bookmarkEnd w:id="31"/>
      <w:r>
        <w:br w:type="page"/>
      </w:r>
    </w:p>
    <w:tbl>
      <w:tblPr>
        <w:tblW w:w="3548" w:type="dxa"/>
        <w:jc w:val="left"/>
        <w:tblInd w:w="0" w:type="dxa"/>
        <w:tblLayout w:type="fixed"/>
        <w:tblCellMar>
          <w:top w:w="28" w:type="dxa"/>
          <w:left w:w="28" w:type="dxa"/>
          <w:bottom w:w="28" w:type="dxa"/>
          <w:right w:w="28" w:type="dxa"/>
        </w:tblCellMar>
      </w:tblPr>
      <w:tblGrid>
        <w:gridCol w:w="3394"/>
        <w:gridCol w:w="154"/>
      </w:tblGrid>
      <w:tr>
        <w:trPr/>
        <w:tc>
          <w:tcPr>
            <w:tcW w:w="354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94" w:type="dxa"/>
            <w:tcBorders/>
            <w:vAlign w:val="center"/>
          </w:tcPr>
          <w:p>
            <w:pPr>
              <w:pStyle w:val="TableContents"/>
              <w:bidi w:val="0"/>
              <w:spacing w:before="0" w:after="283"/>
              <w:jc w:val="left"/>
              <w:rPr>
                <w:b/>
              </w:rPr>
            </w:pPr>
            <w:r>
              <w:rPr>
                <w:b/>
              </w:rPr>
              <w:t xml:space="preserve">Ouster,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4,165,157 </w:t>
            </w:r>
          </w:p>
        </w:tc>
        <w:tc>
          <w:tcPr>
            <w:tcW w:w="1156" w:type="dxa"/>
            <w:tcBorders/>
            <w:shd w:fill="E7E7E2" w:val="clear"/>
            <w:vAlign w:val="center"/>
          </w:tcPr>
          <w:p>
            <w:pPr>
              <w:pStyle w:val="TableContents"/>
              <w:bidi w:val="0"/>
              <w:spacing w:before="0" w:after="283"/>
              <w:jc w:val="right"/>
              <w:rPr/>
            </w:pPr>
            <w:r>
              <w:rPr/>
              <w:t xml:space="preserve">$ 55.22 </w:t>
            </w:r>
          </w:p>
        </w:tc>
        <w:tc>
          <w:tcPr>
            <w:tcW w:w="1786" w:type="dxa"/>
            <w:tcBorders/>
            <w:shd w:fill="E7E7E2" w:val="clear"/>
            <w:vAlign w:val="center"/>
          </w:tcPr>
          <w:p>
            <w:pPr>
              <w:pStyle w:val="TableContents"/>
              <w:bidi w:val="0"/>
              <w:spacing w:before="0" w:after="283"/>
              <w:jc w:val="right"/>
              <w:rPr/>
            </w:pPr>
            <w:r>
              <w:rPr/>
              <w:t xml:space="preserve">$ 229,999,969.54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$ 31,763.00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2" w:name="MaxAggtOfferingPrice"/>
            <w:bookmarkEnd w:id="32"/>
            <w:r>
              <w:rPr/>
              <w:t xml:space="preserve">$ 229,999,969.54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$ 31,763.00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$ 31,763.00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5"/>
        <w:gridCol w:w="8702"/>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(1) This registration fee table shall be deemed to update the "Calculation of Filing Fee Tables" in the registration statement on Form S-3 (File No. 333-297220) of Ouster, Inc. filed on July 2, 2026 in accordance with Rules 456(b) and 457(r) under the Securities Act of 1933, as amended. (2) Includes up to 543,281 shares of common stock that may be offered and sold pursuant to the underwriter's option to purchase additional shares of common stock.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$229,999,969.54.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6581/000162828026013313/oust-20251231.htm" TargetMode="External"/><Relationship Id="rId4" Type="http://schemas.openxmlformats.org/officeDocument/2006/relationships/hyperlink" Target="http://www.sec.gov/Archives/edgar/data/../../../ix?doc=/Archives/edgar/data/1816581/000162828026030722/oust-20260331.htm" TargetMode="External"/><Relationship Id="rId5" Type="http://schemas.openxmlformats.org/officeDocument/2006/relationships/hyperlink" Target="http://www.sec.gov/Archives/edgar/data/../../../ix?doc=/Archives/edgar/data/1816581/000162828026013313/oust-20251231.htm" TargetMode="External"/><Relationship Id="rId6" Type="http://schemas.openxmlformats.org/officeDocument/2006/relationships/hyperlink" Target="http://www.sec.gov/Archives/edgar/data/../../../ix?doc=/Archives/edgar/data/1816581/000114036126017433/ny20066227x2_def14a.htm" TargetMode="External"/><Relationship Id="rId7" Type="http://schemas.openxmlformats.org/officeDocument/2006/relationships/hyperlink" Target="http://www.sec.gov/Archives/edgar/data/../../../ix?doc=/Archives/edgar/data/1816581/000162828026030722/oust-20260331.htm" TargetMode="External"/><Relationship Id="rId8" Type="http://schemas.openxmlformats.org/officeDocument/2006/relationships/hyperlink" Target="http://www.sec.gov/Archives/edgar/data/../../../ix?doc=/Archives/edgar/data/1816581/000119312526215081/d132439d8k.htm" TargetMode="External"/><Relationship Id="rId9" Type="http://schemas.openxmlformats.org/officeDocument/2006/relationships/hyperlink" Target="http://www.sec.gov/Archives/edgar/data/../../../ix?doc=/Archives/edgar/data/1816581/000119312526275810/d163903d8k.htm" TargetMode="External"/><Relationship Id="rId10" Type="http://schemas.openxmlformats.org/officeDocument/2006/relationships/hyperlink" Target="http://www.sec.gov/Archives/edgar/data/1816581/000119312524283129/d915146d8a12b.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1816581/000162828026013313/oust-20251231.htm" TargetMode="External"/><Relationship Id="rId13" Type="http://schemas.openxmlformats.org/officeDocument/2006/relationships/hyperlink" Target="http://www.sec.gov/Archives/edgar/data/../../../ix?doc=/Archives/edgar/data/1816581/000114036126017433/ny20066227x2_def14a.htm" TargetMode="External"/><Relationship Id="rId14" Type="http://schemas.openxmlformats.org/officeDocument/2006/relationships/hyperlink" Target="http://www.sec.gov/Archives/edgar/data/../../../ix?doc=/Archives/edgar/data/1816581/000162828026030722/oust-20260331.htm" TargetMode="External"/><Relationship Id="rId15" Type="http://schemas.openxmlformats.org/officeDocument/2006/relationships/hyperlink" Target="http://www.sec.gov/Archives/edgar/data/../../../ix?doc=/Archives/edgar/data/1816581/000119312526215081/d132439d8k.htm" TargetMode="External"/><Relationship Id="rId16" Type="http://schemas.openxmlformats.org/officeDocument/2006/relationships/hyperlink" Target="http://www.sec.gov/Archives/edgar/data/../../../ix?doc=/Archives/edgar/data/1816581/000119312526275810/d163903d8k.htm" TargetMode="External"/><Relationship Id="rId17" Type="http://schemas.openxmlformats.org/officeDocument/2006/relationships/hyperlink" Target="http://www.sec.gov/Archives/edgar/data/1816581/000119312524283129/d915146d8a12b.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21734</Words>
  <Characters>116152</Characters>
  <CharactersWithSpaces>138254</CharactersWithSpaces>
  <Paragraphs>1468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