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-232410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107315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7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3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424"/>
        <w:spacing w:after="0"/>
        <w:rPr>
          <w:sz w:val="20"/>
          <w:szCs w:val="20"/>
          <w:color w:val="auto"/>
        </w:rPr>
      </w:pPr>
      <w:r>
        <w:rPr>
          <w:rFonts w:ascii="Arial" w:cs="Arial" w:eastAsia="Arial" w:hAnsi="Arial"/>
          <w:sz w:val="22"/>
          <w:szCs w:val="22"/>
          <w:b w:val="1"/>
          <w:bCs w:val="1"/>
          <w:color w:val="auto"/>
        </w:rPr>
        <w:t>1934</w:t>
      </w:r>
    </w:p>
    <w:tbl>
      <w:tblPr>
        <w:tblLayout w:type="fixed"/>
        <w:tblInd w:w="2924" w:type="dxa"/>
        <w:tblCellMar>
          <w:top w:w="0" w:type="dxa"/>
          <w:left w:w="0" w:type="dxa"/>
          <w:bottom w:w="0" w:type="dxa"/>
          <w:right w:w="0" w:type="dxa"/>
        </w:tblCellMar>
      </w:tblPr>
      <w:tr>
        <w:trPr>
          <w:trHeight w:val="196"/>
        </w:trPr>
        <w:tc>
          <w:tcPr>
            <w:tcW w:w="3380" w:type="dxa"/>
            <w:vAlign w:val="bottom"/>
          </w:tcPr>
          <w:p>
            <w:pPr>
              <w:spacing w:after="0" w:line="196" w:lineRule="exact"/>
              <w:rPr>
                <w:sz w:val="20"/>
                <w:szCs w:val="20"/>
                <w:color w:val="auto"/>
              </w:rPr>
            </w:pPr>
            <w:r>
              <w:rPr>
                <w:rFonts w:ascii="Arial" w:cs="Arial" w:eastAsia="Arial" w:hAnsi="Arial"/>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300" w:type="dxa"/>
            <w:vAlign w:val="bottom"/>
          </w:tcPr>
          <w:p>
            <w:pPr>
              <w:ind w:left="40"/>
              <w:spacing w:after="0" w:line="196" w:lineRule="exact"/>
              <w:rPr>
                <w:sz w:val="20"/>
                <w:szCs w:val="20"/>
                <w:color w:val="auto"/>
              </w:rPr>
            </w:pPr>
            <w:r>
              <w:rPr>
                <w:rFonts w:ascii="Arial" w:cs="Arial" w:eastAsia="Arial" w:hAnsi="Arial"/>
                <w:sz w:val="18"/>
                <w:szCs w:val="18"/>
                <w:b w:val="1"/>
                <w:bCs w:val="1"/>
                <w:color w:val="auto"/>
                <w:w w:val="95"/>
              </w:rPr>
              <w:t>TO</w:t>
            </w:r>
          </w:p>
        </w:tc>
      </w:tr>
      <w:tr>
        <w:trPr>
          <w:trHeight w:val="277"/>
        </w:trPr>
        <w:tc>
          <w:tcPr>
            <w:tcW w:w="4400" w:type="dxa"/>
            <w:vAlign w:val="bottom"/>
            <w:gridSpan w:val="3"/>
          </w:tcPr>
          <w:p>
            <w:pPr>
              <w:ind w:left="900"/>
              <w:spacing w:after="0"/>
              <w:rPr>
                <w:sz w:val="20"/>
                <w:szCs w:val="20"/>
                <w:color w:val="auto"/>
              </w:rPr>
            </w:pPr>
            <w:r>
              <w:rPr>
                <w:rFonts w:ascii="Arial" w:cs="Arial" w:eastAsia="Arial" w:hAnsi="Arial"/>
                <w:sz w:val="18"/>
                <w:szCs w:val="18"/>
                <w:b w:val="1"/>
                <w:bCs w:val="1"/>
                <w:color w:val="auto"/>
              </w:rPr>
              <w:t>COMMISSION FILE NUMBER 001-39463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93980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-187960</wp:posOffset>
            </wp:positionV>
            <wp:extent cx="457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3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Ouster,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2" w:lineRule="exact"/>
        <w:rPr>
          <w:sz w:val="24"/>
          <w:szCs w:val="24"/>
          <w:color w:val="auto"/>
        </w:rPr>
      </w:pPr>
    </w:p>
    <w:tbl>
      <w:tblPr>
        <w:tblLayout w:type="fixed"/>
        <w:tblInd w:w="1584" w:type="dxa"/>
        <w:tblCellMar>
          <w:top w:w="0" w:type="dxa"/>
          <w:left w:w="0" w:type="dxa"/>
          <w:bottom w:w="0" w:type="dxa"/>
          <w:right w:w="0" w:type="dxa"/>
        </w:tblCellMar>
      </w:tblPr>
      <w:tr>
        <w:trPr>
          <w:trHeight w:val="212"/>
        </w:trPr>
        <w:tc>
          <w:tcPr>
            <w:tcW w:w="6020" w:type="dxa"/>
            <w:vAlign w:val="bottom"/>
          </w:tcPr>
          <w:p>
            <w:pPr>
              <w:jc w:val="center"/>
              <w:ind w:right="3540"/>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201"/>
              <w:spacing w:after="0"/>
              <w:rPr>
                <w:sz w:val="20"/>
                <w:szCs w:val="20"/>
                <w:color w:val="auto"/>
              </w:rPr>
            </w:pPr>
            <w:r>
              <w:rPr>
                <w:rFonts w:ascii="Arial" w:cs="Arial" w:eastAsia="Arial" w:hAnsi="Arial"/>
                <w:sz w:val="18"/>
                <w:szCs w:val="18"/>
                <w:b w:val="1"/>
                <w:bCs w:val="1"/>
                <w:color w:val="auto"/>
              </w:rPr>
              <w:t>86-2528989</w:t>
            </w:r>
          </w:p>
        </w:tc>
      </w:tr>
      <w:tr>
        <w:trPr>
          <w:trHeight w:val="148"/>
        </w:trPr>
        <w:tc>
          <w:tcPr>
            <w:tcW w:w="6020" w:type="dxa"/>
            <w:vAlign w:val="bottom"/>
          </w:tcPr>
          <w:p>
            <w:pPr>
              <w:jc w:val="center"/>
              <w:ind w:right="35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20" w:type="dxa"/>
            <w:vAlign w:val="bottom"/>
          </w:tcPr>
          <w:p>
            <w:pPr>
              <w:jc w:val="center"/>
              <w:ind w:right="3540"/>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Number)</w:t>
            </w:r>
          </w:p>
        </w:tc>
      </w:tr>
      <w:tr>
        <w:trPr>
          <w:trHeight w:val="412"/>
        </w:trPr>
        <w:tc>
          <w:tcPr>
            <w:tcW w:w="6020" w:type="dxa"/>
            <w:vAlign w:val="bottom"/>
          </w:tcPr>
          <w:p>
            <w:pPr>
              <w:jc w:val="center"/>
              <w:ind w:right="3560"/>
              <w:spacing w:after="0"/>
              <w:rPr>
                <w:sz w:val="20"/>
                <w:szCs w:val="20"/>
                <w:color w:val="auto"/>
              </w:rPr>
            </w:pPr>
            <w:r>
              <w:rPr>
                <w:rFonts w:ascii="Arial" w:cs="Arial" w:eastAsia="Arial" w:hAnsi="Arial"/>
                <w:sz w:val="18"/>
                <w:szCs w:val="18"/>
                <w:b w:val="1"/>
                <w:bCs w:val="1"/>
                <w:color w:val="auto"/>
                <w:w w:val="89"/>
              </w:rPr>
              <w:t>350 Treat Avenue</w:t>
            </w:r>
          </w:p>
        </w:tc>
        <w:tc>
          <w:tcPr>
            <w:tcW w:w="1460" w:type="dxa"/>
            <w:vAlign w:val="bottom"/>
          </w:tcPr>
          <w:p>
            <w:pPr>
              <w:spacing w:after="0"/>
              <w:rPr>
                <w:sz w:val="24"/>
                <w:szCs w:val="24"/>
                <w:color w:val="auto"/>
              </w:rPr>
            </w:pPr>
          </w:p>
        </w:tc>
      </w:tr>
      <w:tr>
        <w:trPr>
          <w:trHeight w:val="212"/>
        </w:trPr>
        <w:tc>
          <w:tcPr>
            <w:tcW w:w="6020" w:type="dxa"/>
            <w:vAlign w:val="bottom"/>
          </w:tcPr>
          <w:p>
            <w:pPr>
              <w:jc w:val="center"/>
              <w:ind w:right="3540"/>
              <w:spacing w:after="0"/>
              <w:rPr>
                <w:sz w:val="20"/>
                <w:szCs w:val="20"/>
                <w:color w:val="auto"/>
              </w:rPr>
            </w:pPr>
            <w:r>
              <w:rPr>
                <w:rFonts w:ascii="Arial" w:cs="Arial" w:eastAsia="Arial" w:hAnsi="Arial"/>
                <w:sz w:val="18"/>
                <w:szCs w:val="18"/>
                <w:b w:val="1"/>
                <w:bCs w:val="1"/>
                <w:color w:val="auto"/>
                <w:w w:val="90"/>
              </w:rPr>
              <w:t>San Francisco, California</w:t>
            </w:r>
          </w:p>
        </w:tc>
        <w:tc>
          <w:tcPr>
            <w:tcW w:w="1460" w:type="dxa"/>
            <w:vAlign w:val="bottom"/>
          </w:tcPr>
          <w:p>
            <w:pPr>
              <w:jc w:val="right"/>
              <w:ind w:right="421"/>
              <w:spacing w:after="0"/>
              <w:rPr>
                <w:sz w:val="20"/>
                <w:szCs w:val="20"/>
                <w:color w:val="auto"/>
              </w:rPr>
            </w:pPr>
            <w:r>
              <w:rPr>
                <w:rFonts w:ascii="Arial" w:cs="Arial" w:eastAsia="Arial" w:hAnsi="Arial"/>
                <w:sz w:val="18"/>
                <w:szCs w:val="18"/>
                <w:b w:val="1"/>
                <w:bCs w:val="1"/>
                <w:color w:val="auto"/>
              </w:rPr>
              <w:t>94110</w:t>
            </w:r>
          </w:p>
        </w:tc>
      </w:tr>
      <w:tr>
        <w:trPr>
          <w:trHeight w:val="186"/>
        </w:trPr>
        <w:tc>
          <w:tcPr>
            <w:tcW w:w="6020" w:type="dxa"/>
            <w:vAlign w:val="bottom"/>
          </w:tcPr>
          <w:p>
            <w:pPr>
              <w:jc w:val="center"/>
              <w:ind w:right="35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r>
        <w:trPr>
          <w:trHeight w:val="189"/>
        </w:trPr>
        <w:tc>
          <w:tcPr>
            <w:tcW w:w="6020" w:type="dxa"/>
            <w:vAlign w:val="bottom"/>
          </w:tcPr>
          <w:p>
            <w:pPr>
              <w:ind w:left="1860"/>
              <w:spacing w:after="0"/>
              <w:rPr>
                <w:sz w:val="20"/>
                <w:szCs w:val="20"/>
                <w:color w:val="auto"/>
              </w:rPr>
            </w:pPr>
            <w:r>
              <w:rPr>
                <w:rFonts w:ascii="Arial" w:cs="Arial" w:eastAsia="Arial" w:hAnsi="Arial"/>
                <w:sz w:val="14"/>
                <w:szCs w:val="14"/>
                <w:b w:val="1"/>
                <w:bCs w:val="1"/>
                <w:color w:val="auto"/>
                <w:w w:val="92"/>
              </w:rPr>
              <w:t>Registrant’s telephone number, including area code: (415) 949-0108</w:t>
            </w:r>
          </w:p>
        </w:tc>
        <w:tc>
          <w:tcPr>
            <w:tcW w:w="1460" w:type="dxa"/>
            <w:vAlign w:val="bottom"/>
          </w:tcPr>
          <w:p>
            <w:pPr>
              <w:spacing w:after="0"/>
              <w:rPr>
                <w:sz w:val="16"/>
                <w:szCs w:val="16"/>
                <w:color w:val="auto"/>
              </w:rPr>
            </w:pPr>
          </w:p>
        </w:tc>
      </w:tr>
    </w:tbl>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480" w:type="dxa"/>
            <w:vAlign w:val="bottom"/>
          </w:tcPr>
          <w:p>
            <w:pPr>
              <w:spacing w:after="0"/>
              <w:rPr>
                <w:sz w:val="14"/>
                <w:szCs w:val="14"/>
                <w:color w:val="auto"/>
              </w:rPr>
            </w:pPr>
          </w:p>
        </w:tc>
        <w:tc>
          <w:tcPr>
            <w:tcW w:w="3740" w:type="dxa"/>
            <w:vAlign w:val="bottom"/>
            <w:gridSpan w:val="4"/>
          </w:tcPr>
          <w:p>
            <w:pPr>
              <w:jc w:val="center"/>
              <w:ind w:right="1180"/>
              <w:spacing w:after="0"/>
              <w:rPr>
                <w:sz w:val="20"/>
                <w:szCs w:val="20"/>
                <w:color w:val="auto"/>
              </w:rPr>
            </w:pPr>
            <w:r>
              <w:rPr>
                <w:rFonts w:ascii="Arial" w:cs="Arial" w:eastAsia="Arial" w:hAnsi="Arial"/>
                <w:sz w:val="14"/>
                <w:szCs w:val="14"/>
                <w:b w:val="1"/>
                <w:bCs w:val="1"/>
                <w:color w:val="auto"/>
                <w:w w:val="93"/>
              </w:rPr>
              <w:t>Trading</w:t>
            </w:r>
          </w:p>
        </w:tc>
        <w:tc>
          <w:tcPr>
            <w:tcW w:w="2940" w:type="dxa"/>
            <w:vAlign w:val="bottom"/>
            <w:gridSpan w:val="3"/>
          </w:tcPr>
          <w:p>
            <w:pPr>
              <w:jc w:val="center"/>
              <w:ind w:right="510"/>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740" w:type="dxa"/>
            <w:vAlign w:val="bottom"/>
            <w:gridSpan w:val="4"/>
          </w:tcPr>
          <w:p>
            <w:pPr>
              <w:jc w:val="center"/>
              <w:ind w:right="1180"/>
              <w:spacing w:after="0"/>
              <w:rPr>
                <w:sz w:val="20"/>
                <w:szCs w:val="20"/>
                <w:color w:val="auto"/>
              </w:rPr>
            </w:pPr>
            <w:r>
              <w:rPr>
                <w:rFonts w:ascii="Arial" w:cs="Arial" w:eastAsia="Arial" w:hAnsi="Arial"/>
                <w:sz w:val="14"/>
                <w:szCs w:val="14"/>
                <w:b w:val="1"/>
                <w:bCs w:val="1"/>
                <w:color w:val="auto"/>
                <w:w w:val="89"/>
              </w:rPr>
              <w:t>Symbols</w:t>
            </w:r>
          </w:p>
        </w:tc>
        <w:tc>
          <w:tcPr>
            <w:tcW w:w="2940" w:type="dxa"/>
            <w:vAlign w:val="bottom"/>
            <w:gridSpan w:val="3"/>
          </w:tcPr>
          <w:p>
            <w:pPr>
              <w:jc w:val="center"/>
              <w:ind w:right="510"/>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$0.0001 par value per share</w:t>
            </w: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95"/>
              </w:rPr>
              <w:t>OUST</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gridSpan w:val="3"/>
          </w:tcPr>
          <w:p>
            <w:pPr>
              <w:jc w:val="center"/>
              <w:ind w:right="510"/>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Warrants to purchase common stock</w:t>
            </w:r>
          </w:p>
        </w:tc>
        <w:tc>
          <w:tcPr>
            <w:tcW w:w="480" w:type="dxa"/>
            <w:vAlign w:val="bottom"/>
          </w:tcPr>
          <w:p>
            <w:pPr>
              <w:spacing w:after="0"/>
              <w:rPr>
                <w:sz w:val="20"/>
                <w:szCs w:val="20"/>
                <w:color w:val="auto"/>
              </w:rPr>
            </w:pPr>
          </w:p>
        </w:tc>
        <w:tc>
          <w:tcPr>
            <w:tcW w:w="374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w w:val="95"/>
              </w:rPr>
              <w:t>OUST WS</w:t>
            </w:r>
          </w:p>
        </w:tc>
        <w:tc>
          <w:tcPr>
            <w:tcW w:w="294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57"/>
        </w:trPr>
        <w:tc>
          <w:tcPr>
            <w:tcW w:w="8080" w:type="dxa"/>
            <w:vAlign w:val="bottom"/>
            <w:gridSpan w:val="7"/>
          </w:tcPr>
          <w:p>
            <w:pPr>
              <w:ind w:left="3080"/>
              <w:spacing w:after="0"/>
              <w:rPr>
                <w:sz w:val="20"/>
                <w:szCs w:val="20"/>
                <w:color w:val="auto"/>
              </w:rPr>
            </w:pPr>
            <w:r>
              <w:rPr>
                <w:rFonts w:ascii="Arial" w:cs="Arial" w:eastAsia="Arial" w:hAnsi="Arial"/>
                <w:sz w:val="18"/>
                <w:szCs w:val="18"/>
                <w:b w:val="1"/>
                <w:bCs w:val="1"/>
                <w:color w:val="auto"/>
                <w:w w:val="91"/>
              </w:rPr>
              <w:t>Securities registered pursuant to Section 12(g) of the Act: None</w:t>
            </w:r>
          </w:p>
        </w:tc>
        <w:tc>
          <w:tcPr>
            <w:tcW w:w="1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4340" w:type="dxa"/>
            <w:vAlign w:val="bottom"/>
            <w:gridSpan w:val="3"/>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2440" w:type="dxa"/>
            <w:vAlign w:val="bottom"/>
            <w:gridSpan w:val="4"/>
          </w:tcPr>
          <w:p>
            <w:pPr>
              <w:spacing w:after="0"/>
              <w:rPr>
                <w:sz w:val="12"/>
                <w:szCs w:val="12"/>
                <w:color w:val="auto"/>
              </w:rPr>
            </w:pPr>
          </w:p>
        </w:tc>
        <w:tc>
          <w:tcPr>
            <w:tcW w:w="660" w:type="dxa"/>
            <w:vAlign w:val="bottom"/>
            <w:vMerge w:val="restart"/>
          </w:tcPr>
          <w:p>
            <w:pPr>
              <w:ind w:left="120"/>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1260" w:type="dxa"/>
            <w:vAlign w:val="bottom"/>
            <w:vMerge w:val="restart"/>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9100" w:type="dxa"/>
            <w:vAlign w:val="bottom"/>
            <w:gridSpan w:val="8"/>
          </w:tcPr>
          <w:p>
            <w:pPr>
              <w:ind w:left="620"/>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9100" w:type="dxa"/>
            <w:vAlign w:val="bottom"/>
            <w:gridSpan w:val="8"/>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  Yes</w:t>
            </w:r>
          </w:p>
        </w:tc>
        <w:tc>
          <w:tcPr>
            <w:tcW w:w="66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12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4" w:right="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left="4"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left="4" w:right="100"/>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 w:lineRule="exact"/>
        <w:rPr>
          <w:sz w:val="24"/>
          <w:szCs w:val="24"/>
          <w:color w:val="auto"/>
        </w:rPr>
      </w:pPr>
    </w:p>
    <w:p>
      <w:pPr>
        <w:ind w:left="4"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left="4"/>
        <w:spacing w:after="0" w:line="207" w:lineRule="exact"/>
        <w:tabs>
          <w:tab w:leader="none" w:pos="7564" w:val="left"/>
          <w:tab w:leader="none" w:pos="8264"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42" w:lineRule="exact"/>
        <w:rPr>
          <w:sz w:val="24"/>
          <w:szCs w:val="24"/>
          <w:color w:val="auto"/>
        </w:rPr>
      </w:pPr>
    </w:p>
    <w:p>
      <w:pPr>
        <w:ind w:left="4" w:right="320"/>
        <w:spacing w:after="0" w:line="308" w:lineRule="auto"/>
        <w:rPr>
          <w:sz w:val="20"/>
          <w:szCs w:val="20"/>
          <w:color w:val="auto"/>
        </w:rPr>
      </w:pPr>
      <w:r>
        <w:rPr>
          <w:rFonts w:ascii="Arial" w:cs="Arial" w:eastAsia="Arial" w:hAnsi="Arial"/>
          <w:sz w:val="16"/>
          <w:szCs w:val="16"/>
          <w:color w:val="auto"/>
        </w:rPr>
        <w:t>The registrant was not a public company at June 30, 2020, the last business day of the registrant’s most recently completed second fiscal quarter, and therefore it cannot calculate the aggregate market value of its voting and non-voting common equity held by non-affiliates at such date.</w:t>
      </w:r>
    </w:p>
    <w:p>
      <w:pPr>
        <w:ind w:left="4" w:right="60"/>
        <w:spacing w:after="0" w:line="263" w:lineRule="auto"/>
        <w:rPr>
          <w:sz w:val="20"/>
          <w:szCs w:val="20"/>
          <w:color w:val="auto"/>
        </w:rPr>
      </w:pPr>
      <w:r>
        <w:rPr>
          <w:rFonts w:ascii="Arial" w:cs="Arial" w:eastAsia="Arial" w:hAnsi="Arial"/>
          <w:sz w:val="18"/>
          <w:szCs w:val="18"/>
          <w:color w:val="auto"/>
        </w:rPr>
        <w:t>As described in its original Annual Report on Form 10-K, as of March 9, 2021, Colonnade Acquisition Corp. had 20,000,000 of its Class A ordinary shares, $0.0001 par value per share, and 5,000,000 of its Class B ordinary shares, $0.0001 par value per share, outstanding. As of June 25, 2021, Ouster, Inc. had 161,343,284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65405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December 21, 2020, Ouster Technologies, Inc. (“OTI”) entered into a merger agreement with Colonnade Acquisition Corp. (“CLA”) and Beam Merger Sub, Inc. (“Merger Sub”), a Delaware corporation and subsidiary of CLA. OTI’s board of directors unanimously approved OTI’s entry into an Agreement and Plan of Merger (the “Merger Agreement”), and on March 11, 2021, the transactions contemplated by the Merger Agreement were consummated. Pursuant to the terms of the Merger Agreement, (i) CLA domesticated as a corporation incorporated under the laws of the State of Delaware and changed its name to “Ouster, Inc.” and (ii) Merger Sub merged with and into OTI (such transactions contemplated by the Merger Agreement, the “Merger”), with OTI surviving the Merger. Ouster, Inc. (“Ouster”) is the reporting successor to CLA pursuant to Rule 12g-3(a) under the Securities Exchange Act of 1934, as amended.</w:t>
      </w:r>
    </w:p>
    <w:p>
      <w:pPr>
        <w:spacing w:after="0" w:line="19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a result of the Merger and by operation of Rule 12g-3(a) promulgated under the Securities Exchange Act of 1934, as amended, Ouster became the successor issuer to CLA, and Ouster is filing this Amendment No. 1 (this “Amendment”) to CLA’s Annual Report on Form 10-K for the year ended December 31, 2020, originally filed with the Securities and Exchange Commission (the “SEC”) on March 9, 2021 (the “Original 10-K”), to restate CLA’s financial statements and related footnote disclosures as of December 31, 2020 and for the period from June 4, 2020 (inception) through December 31, 2020, the interim period ended September 30, 2020, and certain items on the Company’s previously issued audited balance sheet dated as of August 25, 2020, which was included in the Company’s Current Report on Form 8-K filed with the SEC on August 31, 2020 (the “IPO Closing 8-K”) (collectively, the “Affected Periods”). Ouster is filing this Amendment in its capacity as the successor issuer to CLA. Unless the context otherwise requires, references in this Amendment to “we,” “us,” “our” and the “Company” refer to CLA prior to the Merger and to Ouster and its subsidiaries following the Merger.</w:t>
      </w:r>
    </w:p>
    <w:p>
      <w:pPr>
        <w:spacing w:after="0" w:line="19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April 12, 2021, the Acting Director of the Division of Corporation Finance and Acting Chief Accountant of the Securities and Exchange Commission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The SEC Statement discussed certain features of warrants commonly issued in SPAC transactions and stated that warrants with such features should be classified as a liability measured at fair value, with changes in fair value each period reported in earnings, as opposed to equity. After consideration of the guidance in the SEC Statement, while the terms of the private placement warrants (“private placement warrants”) and public warrants (the “public warrants” and, together with the private placement warrants, the “warrants”) recorded in CLA’s financial statements have not changed, the Company concluded the Warrants should have been classified as a liability under Accounting Standards Codification 815 in CLA’s financial statements and it must amend the accounting treatment of the warrants recorded in CLA’s consolidated financial statements.</w:t>
      </w:r>
    </w:p>
    <w:p>
      <w:pPr>
        <w:spacing w:after="0" w:line="19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a result of the foregoing and as reported in the Company’s Current Report on Form 8-K filed with the SEC on May 14, 2021, on May 13, 2021, the Company’s Audit Committee of the Board of Directors, after discussion with management of the Company and based on management’s consultation with Marcum LLP, CLA’s independent registered public accounting firm prior to the Merger, and its legal advisors, concluded that CLA’s previously issued consolidated financial statements as of and for the year ended December 31, 2020 included in CLA’s Original 10-K should be restated to reflect the impact of the SEC Statement and accordingly, should no longer be relied upon. Similarly, any previously furnished or filed reports, related earnings releases, investor presentations or similar communications describing CLA’s financial results for the Affected Periods, including CLA’s financial statements for the interim period ended September 30, 2020 and balance sheet dated as of August 25, 2020, should no longer be relied upon.</w:t>
      </w:r>
    </w:p>
    <w:p>
      <w:pPr>
        <w:spacing w:after="0" w:line="16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An explanation of the impact on CLA’s financial statements is contained in Note 2. Restatement of Previously Issued Audited and Unaudited Financial Statements to the accompanying financial statements. The warrant agreement setting forth the terms of the warrants is attached as Exhibit 4.1 to CLA’s Current Report on Form 8-K filed with the SEC on August 25, 2020.</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All amounts in this Form 10-K/A affected by the restatement adjustments reflect such amounts as restated. These restatements result in non-cash financial statement corrections and will have no impact on the Company’s historical liquidity, or revenues. The restatement will also have no impact on the historical financial statements of OTI included as Exhibit 99.1 to the Company’s Current Report on Form 8-K filed with the SEC on March 15, 2021.</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Internal Controls Considerations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the restatement, management has re-evaluated the effectiveness of CLA’s disclosure controls and procedures and internal control over financial reporting as of December 31, 2020 based on the criteria established in Internal Control-Integrated Framework issued by the Committee of Sponsoring Organizations of the Treadway Commission (“COSO”) (2013 framework). As a result of that assessment, management has concluded that CLA’s disclosure controls and procedures and internal controls over financial reporting were not effective as of December 31, 2020, due to a material weakness in CLA’s internal control over financial reporting related to the accounting for the warrants. For a discussion of management’s consideration of CLA’s disclosure controls and procedures, internal controls over financial reporting, and the material weakness identified, see Part II, Item 9A, “Controls and Procedures” of this Amendment.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Amended</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is filing this Amendment to modify the Original 10-K as appropriate to reflect the classification of the warrants as a liability in CLA’s consolidated financial statements. As such, the following items have been amended and restated in their entirety:</w:t>
      </w:r>
    </w:p>
    <w:p>
      <w:pPr>
        <w:spacing w:after="0" w:line="76"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 Item 1A. Risk Factors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Item 7. Management’s Discussion and Analysis of Financial Condition and Results of Operations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Item 8. Financial Statements and Supplementary Data</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Item 9A. Controls and Procedures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IV, Item 15. Exhibits and Financial Statement Schedules.</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Additionally, in accordance with Rule 12b-15 under the Securities Exchange Act of 1934, as amended, the Company is including with Part IV, Item 15 of this Amendment currently dated certifications from our Principal Executive Officer and Principal Financial Officer. These certifications are filed or furnished, as applicable, as Exhibits 31.1, 31.2, 32.1 and 32.2.</w:t>
      </w:r>
    </w:p>
    <w:p>
      <w:pPr>
        <w:spacing w:after="0" w:line="18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Except as described above, no other information included in the Original 10-K is being amended or updated by this Amendment and this Amendment does not purport to reflect any information or events subsequent to the Original 10-K, including the consummation of the Merger. This Amendment continues to describe the conditions as of the date of the Original 10-K and, except for the cover page, this explanatory note or as expressly contained herein, the Company has not updated, modified or supplemented the disclosures contained in the Original 10-K. Accordingly, this Amendment should be read in conjunction with the Original 10-K and with the Company’s filings with the SEC subsequent to the Original 10-K.</w:t>
      </w:r>
    </w:p>
    <w:p>
      <w:pPr>
        <w:spacing w:after="0" w:line="1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not filed, and does not intend to file, amendments to the Quarterly Report on Form 10-Q as of and for the three months ended September 30, 2020 and for the period from June 4, 2020 (inception) through September 30, 2020 and its Current Report on Form 8-K filed with the SEC on August 31, 2020 relating to its balance sheet dated as of August 25, 2020. Accordingly, investors should rely only on the financial information and other disclosures regarding the Affected Periods in this Amendment or in the Company’s future filings with the SEC (as applicable), and not on any previously furnished or filed reports, related earnings releases, investor presentations or similar communications of the Company describing the Company’s financial results for the Affected Periods.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Unless the context otherwise requires, references in this Amendment to “we,” “us,” “our” and the “Company” refer to Colonnade Acquisition Corp.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prior to the Merger and to Ouster, Inc. and its subsidiaries following the Merger.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FORWARD-LOOKING STATEMENTS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Some of the statements contained in this report may constitute “forward looking statements” for purposes of the federal securities laws. Our forward 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 looking statements. The words “anticipate,” “believe,” “continue,” “could,” “estimate,” “expect,” “intends,” “may,” “might,” “plan,” “possible,” “potential,” “predict,” “project,” “should,” “would” and similar expressions may identify forward looking statements, but the absence of these words does not mean that a statement is not forward looking. Forward looking statements in this Amendment and the Original 10-K may include, for example, statements about:</w:t>
      </w:r>
    </w:p>
    <w:p>
      <w:pPr>
        <w:spacing w:after="0" w:line="204"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with Ouster, Inc., or any other initial business combination;</w:t>
      </w:r>
    </w:p>
    <w:p>
      <w:pPr>
        <w:spacing w:after="0" w:line="130" w:lineRule="exact"/>
        <w:rPr>
          <w:rFonts w:ascii="Arial" w:cs="Arial" w:eastAsia="Arial" w:hAnsi="Arial"/>
          <w:sz w:val="18"/>
          <w:szCs w:val="18"/>
          <w:color w:val="auto"/>
        </w:rPr>
      </w:pPr>
    </w:p>
    <w:p>
      <w:pPr>
        <w:ind w:left="960" w:right="6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75" w:lineRule="exact"/>
        <w:rPr>
          <w:rFonts w:ascii="Arial" w:cs="Arial" w:eastAsia="Arial" w:hAnsi="Arial"/>
          <w:sz w:val="18"/>
          <w:szCs w:val="18"/>
          <w:color w:val="auto"/>
        </w:rPr>
      </w:pPr>
    </w:p>
    <w:p>
      <w:pPr>
        <w:ind w:left="960" w:right="56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30" w:lineRule="exact"/>
        <w:rPr>
          <w:rFonts w:ascii="Arial" w:cs="Arial" w:eastAsia="Arial" w:hAnsi="Arial"/>
          <w:sz w:val="18"/>
          <w:szCs w:val="18"/>
          <w:color w:val="auto"/>
        </w:rPr>
      </w:pPr>
    </w:p>
    <w:p>
      <w:pPr>
        <w:ind w:left="960" w:right="56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(as described herein) or available to us from interest income on the Trust Account balance;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the Original 10-K and this Amendment.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i w:val="1"/>
          <w:iCs w:val="1"/>
          <w:color w:val="auto"/>
        </w:rPr>
        <w:t>An investment in our securities involves a high degree of risk. You should consider carefully all of the risks described below, together with the other information contained in this Annual Report on Form 10-K, the prospectus associated with our initial public offering and the Registration Statement,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 For risk factors related to the Business Combination, see the definitive proxy statement/prospectus filed by the Company on February 18, 2021.</w:t>
      </w:r>
    </w:p>
    <w:p>
      <w:pPr>
        <w:spacing w:after="0" w:line="16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The disclosure in Item 1A. Risk Factors in the Original 10-K has been amended to add the following additional risk factors: “— Certain of our warrants are accounted for as liabilities and the changes in value of such warrants could have a material effect on our financial results.”; “— The restatement of CLA’s financial statements may lead to additional risks and uncertainties, including regulatory, litigation, stockholder or other actions, loss of investor and counterparty confidence and negative impacts on our stock price.”; “— We have identified a material weakness in CLA’s internal control over financial reporting as of December 31, 2020, and, as a result, we have determined that CLA’s disclosure controls and procedures were not effective as of December 31, 2020. If we are unable to develop and maintain an effective system of internal control over financial reporting and effective disclosure controls and procedures, we may not be able to accurately report our financial results in a timely manner, which may adversely affect investor confidence in us and materially and adversely affect our business and operating results.”. Other than the foregoing, there have been no changes to the risk factors disclosed in CLA’s Original 10-K. Unless the context otherwise requires, references in this “Item 1A. Risk Factors” to “we,” “us,” “our” and the “Company” refer to CLA if relating to a statement made prior to the Merger and refer to Ouster (as successor registrant to CLA) or the Company’s management, as the context may require, if relating to a statement made after the consummation of the Merger.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Search for, and Consummation of or Inability to Consummate, a Business Combination</w:t>
      </w:r>
    </w:p>
    <w:p>
      <w:pPr>
        <w:spacing w:after="0" w:line="11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are a blank check company with no operating history and no revenues, and you have no basis on which to evaluate our ability to achieve our business objective.</w:t>
      </w:r>
    </w:p>
    <w:p>
      <w:pPr>
        <w:spacing w:after="0" w:line="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a blank check company incorporated under the laws of the Cayman Islands with no operating results.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67"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Our independent registered public accounting firm’s report contains an explanatory paragraph that expresses substantial doubt about our ability to continue as a “going concern.”</w:t>
      </w:r>
    </w:p>
    <w:p>
      <w:pPr>
        <w:spacing w:after="0" w:line="16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of December 31, 2020, we had a working capital deficit of $1,336,251. Further, we have incurred and expect to continue to incur significant costs in pursuit of our financing and acquisition plans. We cannot assure you that our plans to raise capital or to complete an initial business combination will be successful. These factors, among others, raise substantial doubt about our ability to continue as a going concern. The financial statements contained elsewhere in this report do not include any adjustments that might result from our inability to continue as a going concern.</w:t>
      </w:r>
    </w:p>
    <w:p>
      <w:pPr>
        <w:spacing w:after="0" w:line="15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Our public shareholders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shareholders do not support such a combination.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5" w:name="page6"/>
    <w:bookmarkEnd w:id="5"/>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may choose not to hold a shareholder vote to approve our initial business combination unless the business combination would require shareholder approval under applicable law or stock exchange listing requirements. In such case,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Even if we seek shareholder approval, the holders of our Founder Shares will participate in the vote on such approval. Accordingly, we may complete our initial business combination even if holders of a majority of our ordinary shares do not approve of the business combination we complete.</w:t>
      </w:r>
    </w:p>
    <w:p>
      <w:pPr>
        <w:spacing w:after="0" w:line="19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Your only opportunity to effect your investment decision regarding a potential business combination may be limited to the exercise of your right to redeem your shares from us for cash.</w:t>
      </w:r>
    </w:p>
    <w:p>
      <w:pPr>
        <w:spacing w:after="0" w:line="5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Accordingly, your only opportunity to effect your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8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seek shareholder approval of our initial business combination, our initial shareholders and management team have agreed to vote in favor of such initial business combination, regardless of how our public shareholders vote.</w:t>
      </w:r>
    </w:p>
    <w:p>
      <w:pPr>
        <w:spacing w:after="0" w:line="58"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Our initial shareholders owned 20% of our issued and outstanding ordinary shares immediately following the completion of the Public Offering. Our initial shareholders and management team also may from time to time purchase Class A ordinary shares prior to our initial business combination. Our amended and restated memorandum and articles of association provides that, if we seek shareholder approval of an initial business combination, such initial business combination will be approved if we receive an ordinary resolution under Cayman Islands law, which requires the affirmative vote of a majority of the shareholders who attend and vote at a general meeting of the Company, including the Founder Shares. As a result, in addition to our initial shareholders’ Founder Shares, we would need 7,500,001, or 37.5%, of the 20,000,000 public shares sold in the Public Offering to be voted in favor of an initial business combination in order to have our initial business combination approved (assuming all outstanding shares are voted). Accordingly, if we seek shareholder approval of our initial business combination, the agreement by our initial shareholders and management team to vote in favor of our initial business combination will increase the likelihood that we will receive an ordinary resolution, being the requisite shareholder approval for such initial business combination.</w:t>
      </w:r>
    </w:p>
    <w:p>
      <w:pPr>
        <w:spacing w:after="0" w:line="181" w:lineRule="exact"/>
        <w:rPr>
          <w:sz w:val="20"/>
          <w:szCs w:val="20"/>
          <w:color w:val="auto"/>
        </w:rPr>
      </w:pPr>
    </w:p>
    <w:p>
      <w:pPr>
        <w:ind w:right="460"/>
        <w:spacing w:after="0" w:line="312" w:lineRule="auto"/>
        <w:rPr>
          <w:sz w:val="20"/>
          <w:szCs w:val="20"/>
          <w:color w:val="auto"/>
        </w:rPr>
      </w:pPr>
      <w:r>
        <w:rPr>
          <w:rFonts w:ascii="Arial" w:cs="Arial" w:eastAsia="Arial" w:hAnsi="Arial"/>
          <w:sz w:val="17"/>
          <w:szCs w:val="17"/>
          <w:b w:val="1"/>
          <w:b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We may seek to enter into a business combination transaction agreement with a minimum cash requirement for (i) cash consideration to be paid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target or its owners, (ii) cash for working capital or other general corporate purposes or (iii) the retention of cash to satisfy other conditions. If too 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public shareholders exercise their redemption rights, we would not be able to meet such closing condition and, as a result, would not be able to proceed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business combination. Furthermore, in no event will we redeem our public shares in an amount that would cause our net tangible assets to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less than $5,000,001. Consequently, if accepting all properly submitted redemption requests would cause our net tangible assets to be less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$5,000,001 or such greater amount necessary to satisfy a condition as described above, we would not proceed with such redemption and the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and may instead search for an alternate business combination. Prospective targets will be aware of these risks and, thus, may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reluctant to enter into a business combination transaction with us.</w:t>
      </w:r>
    </w:p>
    <w:p>
      <w:pPr>
        <w:spacing w:after="0" w:line="20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are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In addition, the amount of the deferred underwriting commissions payable to the underwriters will not be adjusted for any shares that are redeemed in connection with an initial business combination. The per 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180"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160" w:lineRule="exact"/>
        <w:rPr>
          <w:sz w:val="20"/>
          <w:szCs w:val="20"/>
          <w:color w:val="auto"/>
        </w:rPr>
      </w:pPr>
    </w:p>
    <w:p>
      <w:pPr>
        <w:ind w:right="700"/>
        <w:spacing w:after="0" w:line="266"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 as well as protectionist legislation in our target markets.</w:t>
      </w:r>
    </w:p>
    <w:p>
      <w:pPr>
        <w:spacing w:after="0" w:line="7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This outbreak of COVID-19 has resulted in a widespread health crisis that has and may continue to adversely affect the economies and financial markets worldwide, and the business of any potential target business with which we may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In addition, countries or supranational organizations in our target markets may develop and implement legislation that makes it more difficult or impossible for entities outside such countries or target markets to acquire or otherwise invest in companies or businesses deemed essential or otherwise vital. The extent to which COVID-19 impacts our search for and ability to consummate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and result in protectionist sentiments and legislation in our target markets, our ability to consummate a business combination, or the operations of a target business with which we ultimately consummate a business combination, may be materially adversely affected. In addition, our ability to consummate a transaction may be dependent on the ability to raise equity and debt financing which may be impacted by COVID-19 and other events.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7" w:name="page8"/>
    <w:bookmarkEnd w:id="7"/>
    <w:p>
      <w:pPr>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requirement that we complete our initial business combination within 24 months after the Public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24 months of the Public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may not be able to complete our initial business combination within 24 months after the Public Offering, in which case we would cease all operations except for the purpose of winding up and we would redeem our public shares and liquidate.</w:t>
      </w:r>
    </w:p>
    <w:p>
      <w:pPr>
        <w:spacing w:after="0" w:line="5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may not be able to find a suitable target business and complete our initial business combination within 24 months after the Public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Additionally, the outbreak of COVID-19 may negatively impact businesses we may seek to acquire.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176"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If we seek shareholder approval of our initial business combination, our Sponsor, initial shareholders, directors, officers, advisors and their affiliates may elect to purchase shares or public warrants from public shareholders, which may influence a vote on a proposed business combination and reduce the public “float” of our Class A ordinary shares.</w:t>
      </w:r>
    </w:p>
    <w:p>
      <w:pPr>
        <w:spacing w:after="0" w:line="7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Sponsor, directors, officers, advisors or their affiliates may purchase shares or public warrants in privately negotiated transactions or in the open market either prior to or following the completion of our initial business combination, although they are under no obligation to do so. There is no limit on the number of shares our initial shareholders, directors, officers, advisors or their affiliates may purchase in such transactions, subject to compliance with applicable law and NYSE rules. However, they have no current commitments, plans or intentions to engage in such transactions and have not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8" w:name="page9"/>
    <w:bookmarkEnd w:id="8"/>
    <w:p>
      <w:pPr>
        <w:jc w:val="both"/>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formulated any terms or conditions for any such transactions. None of the funds in the Trust Account will be used to purchase shares or public warrants in such transactions. Such purchases may include a contractual acknowledgment that such shareholder, although still the record holder of our shares, is no longer the beneficial owner thereof and therefore agrees not to exercise its redemption rights.</w:t>
      </w:r>
    </w:p>
    <w:p>
      <w:pPr>
        <w:spacing w:after="0" w:line="18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19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and the number of beneficial holders of our securities may be reduced, possibly making it difficult to obtain or maintain the quotation, listing or trading of our securities on a national securities exchange.</w:t>
      </w:r>
    </w:p>
    <w:p>
      <w:pPr>
        <w:spacing w:after="0" w:line="180"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If a shareholder fails to receive notice of our offer to redeem our public shares in connection with our initial business combination, or fails to comply with the procedures for submitting or tendering its shares, such shares may not be redeemed.</w:t>
      </w:r>
    </w:p>
    <w:p>
      <w:pPr>
        <w:spacing w:after="0" w:line="3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will comply with the proxy rules or tender offer rules, as applicable, when conducting redemptions in connection with our initial business combination. Despite our compliance with these rules, if a shareholder fails to receive our proxy materials or tender offer documents, as applicable, such shareholder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submit public shares for redemption. For example, we intend to require our public shareholders seeking to exercise their redemption rights, whether they are record holders or hold their shares in “street name,” to, at the holder’s option, either deliver their share certificates to our transfer agent, or to deliver their shares to our transfer agent electronically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In the event that a shareholder fails to comply with these or any other procedures disclosed in the proxy or tender offer materials, as applicable, its shares may not be redeemed.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Since the net proceeds of the Public Offering and the sale of the private placement warrants are intended to be used to complete an initial business combination with a target business, we may be deemed to be a “blank check” company under the United States securities laws. However, because we have net tangible assets in excess of $5,000,000 and have filed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that we will have a longer period of time to complete our initial business combination than do companies subject to Rule 419. Moreover, if the Public Offering had been subject to Rule 419, that rule would have prohibited the release of any interest earned on funds held in the Trust Account to us unless and until the funds in the Trust Account were released to us in connection with our completion of an initial business combination.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9" w:name="page10"/>
    <w:bookmarkEnd w:id="9"/>
    <w:p>
      <w:pPr>
        <w:ind w:right="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we seek shareholder approval of our initial business combination and we do not conduct redemptions pursuant to the tender offer rules, and if you or a “group” of shareholders are deemed to hold in excess of 20% of our Class A ordinary shares, you will lose the ability to redeem all such shares in excess of 20% of our Class A ordinary shares.</w:t>
      </w:r>
    </w:p>
    <w:p>
      <w:pPr>
        <w:spacing w:after="0" w:line="7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20% of the shares sold in the Public Offering, which we refer to as the “Excess Shares.”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20% and, in order to dispose of such shares, would be required to sell your shares in open market transactions, potentially at a loss.</w:t>
      </w:r>
    </w:p>
    <w:p>
      <w:pPr>
        <w:spacing w:after="0" w:line="18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7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the Public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If the net proceeds of the Public Offering and the sale of the private placement warrants not being held in the Trust Account are insufficient to allow us to operate at least until August 25, 2022,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7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Of the net proceeds of the Public Offering, only $1,000,000 was made available to us initially outside Trust Account to fund our working capital requirements. We believe that the funds available to us outside of the Trust Account will be sufficient to allow us to operate at least until August 25, 2022;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10" w:name="page11"/>
    <w:bookmarkEnd w:id="1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private placement warrants of the post-business combination entity at a price of $1.00 per warrant at the option of the lender. Such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 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shareholders may be less than $10.00 per share.</w:t>
      </w:r>
    </w:p>
    <w:p>
      <w:pPr>
        <w:spacing w:after="0" w:line="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placing of funds in the Trust Account may not protect those funds from third 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Marcum LLP, our independent registered public accounting firm, and the underwriters of the Public Offering will not execute agreements with us waiving such claims to the monies held in the Trust Account.</w:t>
      </w:r>
    </w:p>
    <w:p>
      <w:pPr>
        <w:spacing w:after="0" w:line="16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this Form 10-K,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1" w:name="page12"/>
    <w:bookmarkEnd w:id="11"/>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 Account (whether or not such waiver is enforceable) nor will it apply to any claims under our indemnity of the underwriters of the Public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6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event that the proceeds in the Trust Account are reduced below the lesser of (i) $10.00 per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his obligations or that he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shareholders may be reduced below $10.00 per share.</w:t>
      </w:r>
    </w:p>
    <w:p>
      <w:pPr>
        <w:spacing w:after="0" w:line="18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188" w:lineRule="exact"/>
        <w:rPr>
          <w:sz w:val="20"/>
          <w:szCs w:val="20"/>
          <w:color w:val="auto"/>
        </w:rPr>
      </w:pPr>
    </w:p>
    <w:p>
      <w:pPr>
        <w:jc w:val="both"/>
        <w:spacing w:after="0" w:line="343" w:lineRule="auto"/>
        <w:rPr>
          <w:sz w:val="20"/>
          <w:szCs w:val="20"/>
          <w:color w:val="auto"/>
        </w:rPr>
      </w:pPr>
      <w:r>
        <w:rPr>
          <w:rFonts w:ascii="Arial" w:cs="Arial" w:eastAsia="Arial" w:hAnsi="Arial"/>
          <w:sz w:val="15"/>
          <w:szCs w:val="15"/>
          <w:b w:val="1"/>
          <w:b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2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If, before distributing the proceeds in the Trust Account to our public shareholders, we file a bankruptcy petition or an involuntary bankruptcy petition is filed against us that is not dismissed, the proceeds held in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2" w:name="page13"/>
    <w:bookmarkEnd w:id="12"/>
    <w:p>
      <w:pPr>
        <w:ind w:right="20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52"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spacing w:after="0" w:line="76"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is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do not believe that our principal activities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The Trust Account is intended as a holding place for funds pending the earliest to occur of either: (i) the completion of our initial business combination;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of the Public Offering or (B) with respect to any other material provisions relating to shareholders’ rights or pre-initial business combination activity; or (iii) absent an initial business combination within 24 months of the Public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7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Changes in laws or regulations, or a failure to comply with any laws and regulations, may adversely affect our business, including our ability to negotiate and complete our initial business combination, and results of </w:t>
      </w:r>
      <w:r>
        <w:rPr>
          <w:rFonts w:ascii="Arial" w:cs="Arial" w:eastAsia="Arial" w:hAnsi="Arial"/>
          <w:sz w:val="18"/>
          <w:szCs w:val="18"/>
          <w:color w:val="auto"/>
        </w:rPr>
        <w:t>operations.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13" w:name="page14"/>
    <w:bookmarkEnd w:id="13"/>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are unable to consummate our initial business combination within 24 months of the Public Offering, our public shareholders may be forced to wait beyond such to 24 months before redemption from our Trust Account.</w:t>
      </w:r>
    </w:p>
    <w:p>
      <w:pPr>
        <w:spacing w:after="0" w:line="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are unable to consummate our initial business combination within 24 months of the Public Offering, the proceeds then on deposit in the Trust Account including interest earned on the funds held in the trust account (less taxes payable and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24 months of the Public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we consummate our initial business combination prior thereto and only then in cases where investors have sought to redeem their Class A ordinary shares. Only upon our redemption or any liquidation will public shareholders be entitled to distributions if we are unable to complete our initial business combination.</w:t>
      </w:r>
    </w:p>
    <w:p>
      <w:pPr>
        <w:spacing w:after="0" w:line="17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shareholders may be held liable for claims by third parties against us to the extent of distributions received by them upon redemption of their shares.</w:t>
      </w:r>
    </w:p>
    <w:p>
      <w:pPr>
        <w:spacing w:after="0" w:line="5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$18,293 and to imprisonment for five years in the Cayman Islands.</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may not hold an annual meeting of shareholders until after the consummation of our initial business combination, which could delay the opportunity for our shareholders to elect directors.</w:t>
      </w:r>
    </w:p>
    <w:p>
      <w:pPr>
        <w:spacing w:after="0" w:line="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accordance with NYSE corporate governance requirements, we are not required to hold an annual meeting until no later than one year after our first fiscal year end following our listing on NYSE. There is no requirement under the Companies Law for us to hold annual or general meetings to elect directors. Until we hold an annual meeting of shareholders, public shareholders may not be afforded the opportunity to elect directors and to discuss company affairs with management. Our board of directors is divided into three classes with only one class of directors being elected in each year and each class (except for those directors appointed prior to our first annual meeting of shareholders) serving a three-year term. In addition, as holders of our Class A ordinary shares, our public shareholders will not have the right to vote on the election of directors until after the consummation of our initial business combination.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4" w:name="page15"/>
    <w:bookmarkEnd w:id="14"/>
    <w:p>
      <w:pPr>
        <w:ind w:right="4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3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8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shareholders from a financial point of view.</w:t>
      </w:r>
    </w:p>
    <w:p>
      <w:pPr>
        <w:spacing w:after="0" w:line="7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letter agreement with our Sponsor, officers and directors may be amended without shareholder approval.</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letter agreement with our Sponsor, officers and directors contain provisions relating to transfer restrictions of our Founder Shares and private placement warrants, indemnification of the Trust Account, waiver of redemption rights and participation in liquidating distributions from the Trust Account. The letter agreement may be amended without shareholder approval.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17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initial shareholders control a substantial interest in us and thus may exert a substantial influence on actions requiring a shareholder vote, potentially in a manner that you do not support.</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initial shareholders own 20% of our issued and outstanding ordinary shares. Accordingly, they may exert a substantial influence on actions requiring a shareholder vote, potentially in a manner that you do not support, including amendments to our amended and restated memorandum and articles of association. If our initial shareholders purchase any additional Class A ordinary shares in the aftermarket or in privately negotiated transactions, this would increase their control. Neither our initial shareholders nor, to our knowledge, any of our officers or directors, have any current intention to purchase additional securities, other than as disclosed in this report. Factors that would be considered in making such additional purchases would include consideration of the current trading price of our Class A ordinary shares.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shareholders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initial shareholders, because of their ownership position, will have considerable influence regarding the outcome. Accordingly, our initial shareholders will continue to exert control at least until the completion of our initial business combination.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0"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provision of our warrant agreement may make it more difficult for us to consummate an initial business combination.</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If (i) we issue additional ordinary shares or equity-linked securities for capital raising purposes in connection with the closing of our initial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(ii) the aggregate gross proceeds from such issuances represent more than 60% of the total equity proceeds, and interest thereon, available for the funding of our initial business combination, and (iii) the volume weighted average trading price of the Class A ordinary shares during the 20 trading day period starting on the trading day prior to the day on which the Company consummates a business combination (such price, the “Market Value”) is below $9.20 per share, then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164"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5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9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Certain of our warrants are accounted for as liabilities and the changes in value of such warrants could have a material effect on our financial results.</w:t>
      </w:r>
    </w:p>
    <w:p>
      <w:pPr>
        <w:spacing w:after="0" w:line="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a result of the SEC Statement, we evaluated the accounting treatment of CLA’s 6,000,000 private placement warrants and 10,000,000 public warrants as of December 31, 2020, and determined to classify such warrants as derivative liabilities measured at fair value, with changes in fair value each period reported in earnings. As a result of the recurring fair value measurement, our consolidated financial statements and results of operations may fluctuate quarterly, based on factors, which are outside of our control and we may recognize non-cash gains or losses on the Warrants each reporting period and that the amount of such gains or losses could be material. The Company’s accounting treatment of the Warrants is based on its current interpretation of the SEC Statement and other guidance and may change in light of any further interpretive guidance, as may be applicable.</w:t>
      </w:r>
    </w:p>
    <w:p>
      <w:pPr>
        <w:spacing w:after="0" w:line="16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restatement of CLA’s financial statements may lead to additional risks and uncertainties, including regulatory, litigation, stockholder or other actions, loss of investor and counterparty confidence and negative impacts on our stock price.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16" w:name="page17"/>
    <w:bookmarkEnd w:id="1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result of the restatement of CLA’s consolidated financial statements included in this Amendment, we have incurred and expect to incur a number of additional costs and are subject to additional risks, including unanticipated costs for accounting and legal fees in connection with or related to the restatement and this Amendment. In addition, the attention of our management team may be diverted by these efforts. We could also be subject to regulatory, litigation, stockholder, or other actions in connection with the restatement, which would, regardless of the outcome, consume management’s time and attention and may result in additional legal, accounting, and other costs. If we do not prevail in any such proceedings, we could be required to pay damages or settlement costs, which could be material. In addition, the restatement and related matters could have a negative effect on our reputation or could cause our customers, stockholders, or other counterparties to lose confidence in us. Any of these occurrences could have a material adverse effect on our business, results of operations, financial condition, and stock price.</w:t>
      </w:r>
    </w:p>
    <w:p>
      <w:pPr>
        <w:spacing w:after="0" w:line="17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We have identified a material weakness in CLA’s internal control over financial reporting as of December 31, 2020, and, as a result, we have determined that CLA’s disclosure controls and procedures were not effective as of December 31, 2020. If we are unable to develop and maintain an effective system of internal control over financial reporting and effective disclosure controls and procedures, we may not be able to accurately report our financial results in a timely manner, which may adversely affect investor confidence in us and materially and adversely affect our business and operating results.</w:t>
      </w:r>
    </w:p>
    <w:p>
      <w:pPr>
        <w:spacing w:after="0" w:line="7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Following the issuance of the SEC Statement, after consultation with CLA’s independent registered public accounting firm prior to the Merger, our management and our Audit Committee concluded that, in light of the SEC Statement, it was appropriate to restate CLA’s previously issued audited consolidated financial statements as of and for the period from June 4, 2020 (inception) through December 31, 2020 (the “Restatement”). As part of such process, we identified a material weakness in CLA’s internal controls over financial reporting, as further described in Item 9A. Controls and Procedures. In addition, management, along with our principal executive and financial officers, have concluded that CLA’s disclosure controls and procedures were not effective as of December 31, 2020, in light of the material weakness identified in CLA’s internal control over financial reporting.</w:t>
      </w:r>
    </w:p>
    <w:p>
      <w:pPr>
        <w:spacing w:after="0" w:line="16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2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We continue to evaluate steps to remediate the material weakness. These remediation measures may be time consuming and costly and there is no assurance that these initiatives will ultimately have the intended effects.</w:t>
      </w:r>
    </w:p>
    <w:p>
      <w:pPr>
        <w:spacing w:after="0" w:line="18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the prices of our securities may decline as a result. We cannot assure you that the measures we have taken to date, or any measures we may take in the future, will be sufficient to avoid potential future material weaknesses.</w:t>
      </w:r>
    </w:p>
    <w:p>
      <w:pPr>
        <w:spacing w:after="0" w:line="188"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17" w:name="page18"/>
    <w:bookmarkEnd w:id="17"/>
    <w:p>
      <w:pPr>
        <w:ind w:right="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may reincorporate in another jurisdiction in connection with our initial business combination and such reincorporation may result in taxes imposed on shareholders.</w:t>
      </w:r>
    </w:p>
    <w:p>
      <w:pPr>
        <w:spacing w:after="0" w:line="5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may, in connection with our initial business combination and subject to requisite shareholder approval by special resolution under the Companies Law,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17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5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the Post-Business Combination Company</w:t>
      </w:r>
    </w:p>
    <w:p>
      <w:pPr>
        <w:spacing w:after="0" w:line="22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our share price, which could cause you to lose some or all of your investment.</w:t>
      </w:r>
    </w:p>
    <w:p>
      <w:pPr>
        <w:spacing w:after="0" w:line="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Even if we conduct due diligence on a target business with which we combine, we cannot assure you that this diligence will identify all material issues that may be present within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7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18" w:name="page19"/>
    <w:bookmarkEnd w:id="1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upon our officers and directors and their loss could adversely affect our ability to operate.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188"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7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60" w:lineRule="exact"/>
        <w:rPr>
          <w:sz w:val="20"/>
          <w:szCs w:val="20"/>
          <w:color w:val="auto"/>
        </w:rPr>
      </w:pPr>
    </w:p>
    <w:p>
      <w:pPr>
        <w:jc w:val="both"/>
        <w:ind w:right="20"/>
        <w:spacing w:after="0" w:line="378" w:lineRule="auto"/>
        <w:rPr>
          <w:sz w:val="20"/>
          <w:szCs w:val="20"/>
          <w:color w:val="auto"/>
        </w:rPr>
      </w:pPr>
      <w:r>
        <w:rPr>
          <w:rFonts w:ascii="Arial" w:cs="Arial" w:eastAsia="Arial" w:hAnsi="Arial"/>
          <w:sz w:val="15"/>
          <w:szCs w:val="15"/>
          <w:b w:val="1"/>
          <w:b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83"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key personnel may be able to remain with our Company after the completion of our initial business combination only if they are able to negotiate employment or consulting agreements in connection with the business combination.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9" w:name="page20"/>
    <w:bookmarkEnd w:id="19"/>
    <w:p>
      <w:pPr>
        <w:jc w:val="both"/>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Cayman Islands law.</w:t>
      </w:r>
    </w:p>
    <w:p>
      <w:pPr>
        <w:spacing w:after="0" w:line="184" w:lineRule="exact"/>
        <w:rPr>
          <w:sz w:val="20"/>
          <w:szCs w:val="20"/>
          <w:color w:val="auto"/>
        </w:rPr>
      </w:pPr>
    </w:p>
    <w:p>
      <w:pPr>
        <w:jc w:val="both"/>
        <w:ind w:right="680"/>
        <w:spacing w:after="0" w:line="378" w:lineRule="auto"/>
        <w:rPr>
          <w:sz w:val="20"/>
          <w:szCs w:val="20"/>
          <w:color w:val="auto"/>
        </w:rPr>
      </w:pPr>
      <w:r>
        <w:rPr>
          <w:rFonts w:ascii="Arial" w:cs="Arial" w:eastAsia="Arial" w:hAnsi="Arial"/>
          <w:sz w:val="15"/>
          <w:szCs w:val="15"/>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shareholders who choose to remain shareholders following the business combination could suffer a reduction in the value of their shares.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77"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45"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7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may structure our initial business combination so that the post-transaction company in which our public shareholders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or shares of a target. In this case, we would acquire a 100% interest in the target. However, as a result of the issuance of a substantial number of new Class A ordinary shares, our shareholders immediately prior to such transaction could own less than a majority of our issued and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0" w:name="page21"/>
    <w:bookmarkEnd w:id="20"/>
    <w:p>
      <w:pPr>
        <w:ind w:right="4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36"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Although we have no commitments as of the date of this report to issue any notes or other debt securities, or to otherwise incur outstanding debt following the Public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82" w:lineRule="exact"/>
        <w:rPr>
          <w:sz w:val="20"/>
          <w:szCs w:val="20"/>
          <w:color w:val="auto"/>
        </w:rPr>
      </w:pPr>
    </w:p>
    <w:p>
      <w:pPr>
        <w:ind w:left="960" w:right="50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75" w:lineRule="exact"/>
        <w:rPr>
          <w:rFonts w:ascii="Arial" w:cs="Arial" w:eastAsia="Arial" w:hAnsi="Arial"/>
          <w:sz w:val="18"/>
          <w:szCs w:val="18"/>
          <w:color w:val="auto"/>
        </w:rPr>
      </w:pPr>
    </w:p>
    <w:p>
      <w:pPr>
        <w:ind w:left="960" w:hanging="424"/>
        <w:spacing w:after="0" w:line="342"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30"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30" w:lineRule="exact"/>
        <w:rPr>
          <w:rFonts w:ascii="Arial" w:cs="Arial" w:eastAsia="Arial" w:hAnsi="Arial"/>
          <w:sz w:val="18"/>
          <w:szCs w:val="18"/>
          <w:color w:val="auto"/>
        </w:rPr>
      </w:pPr>
    </w:p>
    <w:p>
      <w:pPr>
        <w:ind w:left="960" w:hanging="424"/>
        <w:spacing w:after="0" w:line="342"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30"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5" w:lineRule="exact"/>
        <w:rPr>
          <w:rFonts w:ascii="Arial" w:cs="Arial" w:eastAsia="Arial" w:hAnsi="Arial"/>
          <w:sz w:val="18"/>
          <w:szCs w:val="18"/>
          <w:color w:val="auto"/>
        </w:rPr>
      </w:pPr>
    </w:p>
    <w:p>
      <w:pPr>
        <w:ind w:left="960" w:right="660" w:hanging="424"/>
        <w:spacing w:after="0" w:line="342"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2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the Public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7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net proceeds from the Public Offering and the Private Placement will provide us with $193,000,000 that we may use to complete our initial business combination (after taking into account the $7,000,000 of deferred underwriting commissions being held in the Trust Account).</w:t>
      </w:r>
    </w:p>
    <w:p>
      <w:pPr>
        <w:spacing w:after="0" w:line="14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84" w:lineRule="exact"/>
        <w:rPr>
          <w:sz w:val="20"/>
          <w:szCs w:val="20"/>
          <w:color w:val="auto"/>
        </w:rPr>
      </w:pPr>
    </w:p>
    <w:p>
      <w:pPr>
        <w:ind w:left="5420" w:right="4220" w:hanging="4884"/>
        <w:spacing w:after="0" w:line="449" w:lineRule="auto"/>
        <w:tabs>
          <w:tab w:leader="none" w:pos="97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 20</w:t>
      </w:r>
    </w:p>
    <w:p>
      <w:pPr>
        <w:sectPr>
          <w:pgSz w:w="11900" w:h="16838" w:orient="portrait"/>
          <w:cols w:equalWidth="0" w:num="1">
            <w:col w:w="11000"/>
          </w:cols>
          <w:pgMar w:left="440" w:top="270" w:right="459" w:bottom="1440" w:gutter="0" w:footer="0" w:header="0"/>
        </w:sectPr>
      </w:pPr>
    </w:p>
    <w:bookmarkStart w:id="21" w:name="page22"/>
    <w:bookmarkEnd w:id="21"/>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dependent upon the development or market acceptance of a single or limited number of products, processes or services.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66"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6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58"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3" w:lineRule="exact"/>
        <w:rPr>
          <w:sz w:val="20"/>
          <w:szCs w:val="20"/>
          <w:color w:val="auto"/>
        </w:rPr>
      </w:pPr>
    </w:p>
    <w:p>
      <w:pPr>
        <w:ind w:right="640"/>
        <w:spacing w:after="0" w:line="312" w:lineRule="auto"/>
        <w:rPr>
          <w:sz w:val="20"/>
          <w:szCs w:val="20"/>
          <w:color w:val="auto"/>
        </w:rPr>
      </w:pPr>
      <w:r>
        <w:rPr>
          <w:rFonts w:ascii="Arial" w:cs="Arial" w:eastAsia="Arial" w:hAnsi="Arial"/>
          <w:sz w:val="17"/>
          <w:szCs w:val="17"/>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3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178"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our shareholders may not support.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2" w:name="page23"/>
    <w:bookmarkEnd w:id="2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memorandum and articles of association will require a special resolution under Cayman Islands law, which requires the affirmative vote of a majority of at least two-thirds of the shareholders who attend and vote at a general meeting of the Company,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then outstanding private placement warrants. In addition, our amended and restated memorandum and articles of association requires us to provide our public shareholders with the opportunity to redeem their public shares for cash if we propose an amendment to our amended and restated memorandum and articles of association (A) to modify the substance or timing of our obligation to allow redemption in connection with our initial business combination or to redeem 100% of our public shares if we do not complete an initial business combination within 24 months of the Public Offering or (B) with respect to any other material provisions relating to shareholders’ rights or pre-initial business combination activity. We cannot assure you that we will not seek to amend our charter or governing instruments or extend the time to consummate an initial business combination in order to effectuate our initial business combination.</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not less than two-thirds of our ordinary shares who attend and vote at a general meeting of the Company (or 65% of our ordinary shares with respect to amendments to the trust agreement governing the release of funds from our Trust Account), which is a lower amendment threshold than that of some other special purpose acquisition companies. It may be easier for us, therefore, to amend our amended and restated memorandum and articles of association to facilitate the completion of an initial business combination that some of our shareholders may not support.</w:t>
      </w:r>
    </w:p>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amended and restated memorandum and articles of association provide that any of its provisions related to pre-business combination activity (including the requirement to deposit proceeds of the Public Offering and the Private Placement into the Trust Account and not release such amounts except in specified circumstances, and to provide redemption rights to public shareholders as described herein) may be amended if approved by special resolution, under Cayman Islands law which requires the affirmative vote of a majority of at least two-thirds of the shareholders who attend and vote at a general meeting of the Company, and corresponding provisions of the trust agreement governing the release of funds from our Trust Account may be amended if approved by holders of 65% of our ordinary shares. Our initial shareholders, who collectively beneficially own 20% of our ordinary shares following the Public Offering, will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special purpose acquisition companies, and this may increase our ability to complete a business combination with which you do not agree. Our shareholders may pursue remedies against us for any breach of our amended and restated memorandum and articles of association.</w:t>
      </w:r>
    </w:p>
    <w:p>
      <w:pPr>
        <w:spacing w:after="0" w:line="17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Sponsor, officers, directors and director nominees have agreed, pursuant to a written agreement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of the Public Offering or (B) with respect to any other material provisions relating to shareholders’ rights or pre-initial business combination activity,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shareholders are not parties to, or third-party beneficiaries of, these agreements and, as a result, will not have the ability to pursue remedies against our Sponsor, officers, directors or director nominees for any breach of these agreements. As a result, in the event of a breach, our shareholders would need to pursue a shareholder derivative action, subject to applicable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3" w:name="page24"/>
    <w:bookmarkEnd w:id="23"/>
    <w:p>
      <w:pPr>
        <w:ind w:right="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may be unable to obtain additional financing to complete our initial business combination or to fund the operations and growth of a target business, which could compel us to restructure or abandon a particular business combination.</w:t>
      </w:r>
    </w:p>
    <w:p>
      <w:pPr>
        <w:spacing w:after="0" w:line="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not selected any specific business combination target but intend to target businesses with enterprise values that are greater than we could acquire with the net proceeds of the Public Offering and the sale of the private placement warrants. As a result, if the cash portion of the purchase price exceeds the amount available from the Trust Account, net of amounts needed to satisfy any redemption by public shareholders,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 purchase of other companies. If we are unable to complete our initial business combination, our public shareholders may only receive their pro rata portion of the funds in the Trust Account that are available for distribution to public shareholders,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Relating to Acquiring and Operating a Business in Foreign Countries</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effect our initial business combination with a company located outside of the United States, we would be subject to a variety of additional risks that may adversely affect us.</w:t>
      </w:r>
    </w:p>
    <w:p>
      <w:pPr>
        <w:spacing w:after="0" w:line="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76" w:lineRule="exact"/>
        <w:rPr>
          <w:sz w:val="20"/>
          <w:szCs w:val="20"/>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0" w:right="499" w:bottom="1440" w:gutter="0" w:footer="0" w:header="0"/>
        </w:sectPr>
      </w:pPr>
    </w:p>
    <w:bookmarkStart w:id="24" w:name="page25"/>
    <w:bookmarkEnd w:id="24"/>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regulations related to customs and import/export matters;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corruption;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2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80"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Exchange rate fluctuations and currency policies may cause a target business’ ability to succeed in the international markets to be diminished.</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Risks Relating to our Management Team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sufficient funds to satisfy indemnification claims of our directors and officers.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74"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Past performance by our management team and their affiliates, including investments and transactions in which they have participated and businesses with which they have been associated, may not be indicative of future performance of an investment in the Company.</w:t>
      </w:r>
    </w:p>
    <w:p>
      <w:pPr>
        <w:spacing w:after="0" w:line="1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Information regarding our management team and their affiliates, including investments and transactions in which they have participated and businesses with which they have been associated, is presented for informational purposes only. Any past experience and performance by our management team and their affiliates and the businesses with which they have been associated, is not a guarantee that we will be able to successfully identify a suitable candidate for our initial business combination, that we will be able to provide positive returns to our shareholders, or of any results with respect to any initial business combination we may consummate. You should not rely on the historical experiences of our management team and their affiliates, including investments and transactions in which they have participated and businesses with which they have been associated, as indicative of the future performance of an investment in us or as indicative of every prior investment by each of the members of our management team or their affiliates. The market price of our securities may be influenced by numerous factors, many of which are beyond our control, and our shareholders may experience losses on their investment in our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seek business combination opportunities in industries or sectors that may be outside of our management’s areas of expertise.</w:t>
      </w:r>
    </w:p>
    <w:p>
      <w:pPr>
        <w:spacing w:after="0" w:line="13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will consider a business combination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the Public Offering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and the information contained in this Form 10-K regarding the areas of our management’s expertise would not be relevant to an understanding of the business that we elect to acquire. As a result, our management may not be able to ascertain or assess adequately all of the relevant risk factors. Accordingly, any shareholders who choose to remain shareholders following our initial business combination could suffer a reduction in the value of their shares. Such shareholders are unlikely to have a remedy for such reduction in value.</w:t>
      </w:r>
    </w:p>
    <w:p>
      <w:pPr>
        <w:spacing w:after="0" w:line="181"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26" w:name="page27"/>
    <w:bookmarkEnd w:id="26"/>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Our independent directors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w:t>
      </w:r>
    </w:p>
    <w:p>
      <w:pPr>
        <w:spacing w:after="0" w:line="173"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1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entities.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 Our amended and restated memorandum and articles of association will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officers, directors, security holders and their respective affiliates may have competitive pecuniary interests that conflict with our interests.</w:t>
      </w:r>
    </w:p>
    <w:p>
      <w:pPr>
        <w:spacing w:after="0" w:line="14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However, we might not ultimately be successful in any claim we may make against them for such reason.</w:t>
      </w:r>
    </w:p>
    <w:p>
      <w:pPr>
        <w:spacing w:after="0" w:line="18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officers, directors or existing holders which may raise potential conflicts of interest.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27" w:name="page28"/>
    <w:bookmarkEnd w:id="27"/>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light of the involvement of our Sponsor, officers and directors with other entities, we may decide to acquire one or more businesses affiliated with our Sponsor, officers, directors or existing holders. Our directors also serve as officers and board members for other entities.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officers, directors or existing holders, potential conflicts of interest still may exist and, as a result, the terms of the business combination may not be as advantageous to our public shareholders as they would be absent any conflicts of interest.</w:t>
      </w:r>
    </w:p>
    <w:p>
      <w:pPr>
        <w:spacing w:after="0" w:line="178"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Since our Sponsor, officers and directors will lose their entire investment in us if our initial business combination is not completed (other than with respect to public shares they may acquire after the Public Offering), a conflict of interest may arise in determining whether a particular business combination target is appropriate for our initial business combination.</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June 30, 2020, our Sponsor paid $25,000, or approximately $0.004 per share, to cover certain of our offering costs in exchange for 5,750,000 Founder Shares. The Sponsor surrendered 750,000 Founder Shares to the Company for no consideration in connection with the underwriters’ election to not exercise the over-allotment option relating to the Public Offering at the end of the 45-day option period on October 5, 2020.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the Public Offering would be a maximum of 23,000,000 units if the underwriters’ over-allotment option is exercised in full, and therefore that such Founder Shares would represent 20% of the outstanding shares after the Public Offering. The Founder Shares will be worthless if we do not complete an initial business combination. In addition, our Sponsor has purchased an aggregate of 6,000,000 private placement warrants for an aggregate purchase price of $6,000,000, or $1.00 per warrant. The private placement warrants will also be worthless if we do not complete our initial business combination.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Public Offering nears, which is the deadline for our completion of an initial business combination.</w:t>
      </w:r>
    </w:p>
    <w:p>
      <w:pPr>
        <w:spacing w:after="0" w:line="18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Securities</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28" w:name="page29"/>
    <w:bookmarkEnd w:id="28"/>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public shareholders will be entitled to receive funds from the Trust Account only upon the earliest to occur of: (i) our completion of an initial business combination, and then only in connection with those Class A ordinary shares that such shareholder properly elected to redeem, subject to the limitations and on the conditions described herein,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of the Public Offering or (B) with respect to any other material provisions relating to shareholders’ rights or pre-initial business combination activity, and (iii) the redemption of our public shares if we are unable to complete an initial business combination within 24 months of the Public Offering, subject to applicable law and as further described herein.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NYSE may delist our securities from trading on its exchange, which could limit investors’ ability to make transactions in our securities and subject us to additional trading restrictions.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Our units, Class A ordinary shares and warrants are listed on NYSE. We cannot assure you that our securities will continue to be listed on NYSE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future or prior to our initial business combination. In order to continue listing our securities on NYSE prior to our initial business combination, we must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maintain certain financial, distribution and share price levels. Generally, we must maintain a minimum amount in shareholders’ equity (generally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$2,500,000) and a minimum number of holders of our securities (generally 300 public holders). Additionally, in connection with our initial business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combination, we will be required to demonstrate compliance with NYSE’s initial listing requirements, which are more rigorous than NYSE’s continued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listing requirements, in order to continue to maintain the listing of our securities on NYSE. For instance, our share price would generally be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at least $4.00 per share and our shareholders’ equity would generally be required to be at least $5.0 million. We cannot assure you that we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able to meet those initial listing requirements at that time.</w:t>
      </w:r>
    </w:p>
    <w:p>
      <w:pPr>
        <w:spacing w:after="0" w:line="211"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If NYSE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29" w:lineRule="exact"/>
        <w:rPr>
          <w:sz w:val="20"/>
          <w:szCs w:val="20"/>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jc w:val="both"/>
        <w:ind w:left="960" w:right="140" w:hanging="424"/>
        <w:spacing w:after="0" w:line="342"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Our units, Class A ordinary shares and warrants are listed on NYSE, and, as a result,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NYSE, our securities would not qualify as covered securities under the statute and we would be subject to regulation in each state in which we offer our securities.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440" w:top="274" w:right="519" w:bottom="1440" w:gutter="0" w:footer="0" w:header="0"/>
        </w:sectPr>
      </w:pPr>
    </w:p>
    <w:bookmarkStart w:id="29" w:name="page30"/>
    <w:bookmarkEnd w:id="29"/>
    <w:p>
      <w:pPr>
        <w:ind w:right="9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will not be permitted to exercise your warrants unless we register and qualify the underlying Class A ordinary shares or certain exemptions are available.</w:t>
      </w:r>
    </w:p>
    <w:p>
      <w:pPr>
        <w:spacing w:after="0" w:line="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the issuance of the Class A ordinary shares upon exercise of the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Class A ordinary shares included in the units.</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not registering the Class A ordinary shares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covering the registration under the Securities Act of the Class A ordinary shares issuable upon exercise of the warrants and thereafter will use our best efforts to cause the same to become effective within 60 business days following our initial business combination and to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8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If the Class A ordinary shares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our Class A ordinary shares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17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180"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You may only be able to exercise your public warrants on a “cashless basis” under certain circumstances, and if you do so, you will receive fewer Class A ordinary shares from such exercise than if you were to exercise such warrants for cash.</w:t>
      </w:r>
    </w:p>
    <w:p>
      <w:pPr>
        <w:spacing w:after="0" w:line="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Class A ordinary shares issuable upon exercise of the warrants are not registered under the Securities Act in accordance with the terms of the warrant agreement; (ii) if we have so elected and the Class A ordinary shares are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0" w:right="459" w:bottom="1440" w:gutter="0" w:footer="0" w:header="0"/>
        </w:sectPr>
      </w:pPr>
    </w:p>
    <w:bookmarkStart w:id="30" w:name="page31"/>
    <w:bookmarkEnd w:id="30"/>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Class A ordinary shares equal to the quotient obtained by dividing (x) the product of the number of Class A ordinary shares underlying the warrants, multiplied by the excess of the “fair market value” of our Class A ordinary shares (as defined in the next sentence) over the exercise price of the warrants by (y) the fair market value. The “fair market value” is the average reported closing price of the Class A ordinary shares for the 10 trading days ending on the third trading day prior to the date on which the notice of exercise is received by the warrant agent or on which the notice of redemption is sent to the holders of warrants, as applicable. As a result, you would receive fewer Class A ordinary shares from such exercise than if you were to exercise such warrants for cash.</w:t>
      </w:r>
    </w:p>
    <w:p>
      <w:pPr>
        <w:spacing w:after="0" w:line="188"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The grant of registration rights to our initial shareholders and holders of our private placement warrants may make it more difficult to complete our initial business combination, and the future exercise of such rights may adversely affect the market price of our Class A ordinary shares.</w:t>
      </w:r>
    </w:p>
    <w:p>
      <w:pPr>
        <w:spacing w:after="0" w:line="7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Pursuant to an agreement to be entered into concurrently with the issuance and sale of the securities in the Public Offering, our initial shareholders, the holders of our private placement warrants, the holders of warrants that may be issued upon conversion of working capital loans and their permitted transferees can demand that we register the Class A ordinary shares into which Founder Shares are convertible, the private placement warrants and the Class A ordinary shares issuable upon exercise of the private placement warrants, the warrants or the Class A ordinary shares issuable upon exercise of warrants that may be issued upon conversion of working capital loans and any other securities of the Company acquired by them prior to the consummation of our initial business combination.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ordinary shares owned by our initial shareholders, holders of our private placement warrants or holders of our working capital loans or their respective permitted transferees are registered.</w:t>
      </w:r>
    </w:p>
    <w:p>
      <w:pPr>
        <w:spacing w:after="0" w:line="168" w:lineRule="exact"/>
        <w:rPr>
          <w:sz w:val="20"/>
          <w:szCs w:val="20"/>
          <w:color w:val="auto"/>
        </w:rPr>
      </w:pPr>
    </w:p>
    <w:p>
      <w:pPr>
        <w:jc w:val="both"/>
        <w:ind w:right="500"/>
        <w:spacing w:after="0" w:line="303" w:lineRule="auto"/>
        <w:rPr>
          <w:sz w:val="20"/>
          <w:szCs w:val="20"/>
          <w:color w:val="auto"/>
        </w:rPr>
      </w:pPr>
      <w:r>
        <w:rPr>
          <w:rFonts w:ascii="Arial" w:cs="Arial" w:eastAsia="Arial" w:hAnsi="Arial"/>
          <w:sz w:val="16"/>
          <w:szCs w:val="16"/>
          <w:b w:val="1"/>
          <w:b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therein. Any such issuances would dilute the interest of our shareholders and likely present other risks.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memorandum and articles of association authorizes the issuance of up to 200,000,000 Class A ordinary shares, par value</w:t>
      </w:r>
    </w:p>
    <w:p>
      <w:pPr>
        <w:spacing w:after="0" w:line="4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$0.0001 per share, 20,000,000 Class B ordinary shares, par value $0.0001 per share, and 1,000,000 preferred shares, par value $0.0001 per share. There are 180,000,000 and 15,000,000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The Class B ordinary shares are automatically convertible into Class A ordinary shares concurrently with or immediately following the consummation of our initial business combination, initially at a one-for-one ratio but subject to adjustment as set forth herein and in our amended and restated memorandum and articles of association, including in certain circumstances in which we issue Class A ordinary shares or equity-linked securities related to our initial business combination. Immediately after the Public Offering, there will be no preferred shares issued and outstanding.</w:t>
      </w:r>
    </w:p>
    <w:p>
      <w:pPr>
        <w:spacing w:after="0" w:line="16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may issue a substantial number of additional Class A ordinary shares or preferred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therein. However, our amended and restated memorandum and articles of association provide, among other things, that prior to our initial business combination, we may not issue additional shares that would entitle the holders thereof to (i) receive funds from the Trust Account or (ii) vote on any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preferred shares: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1" w:name="page32"/>
    <w:bookmarkEnd w:id="31"/>
    <w:p>
      <w:pPr>
        <w:ind w:left="960" w:hanging="42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significantly dilute the equity interest of investors in the Public Offering;</w:t>
      </w:r>
    </w:p>
    <w:p>
      <w:pPr>
        <w:spacing w:after="0" w:line="130" w:lineRule="exact"/>
        <w:rPr>
          <w:rFonts w:ascii="Arial" w:cs="Arial" w:eastAsia="Arial" w:hAnsi="Arial"/>
          <w:sz w:val="18"/>
          <w:szCs w:val="18"/>
          <w:color w:val="auto"/>
        </w:rPr>
      </w:pPr>
    </w:p>
    <w:p>
      <w:pPr>
        <w:ind w:left="960" w:right="420" w:hanging="424"/>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75" w:lineRule="exact"/>
        <w:rPr>
          <w:rFonts w:ascii="Arial" w:cs="Arial" w:eastAsia="Arial" w:hAnsi="Arial"/>
          <w:sz w:val="18"/>
          <w:szCs w:val="18"/>
          <w:color w:val="auto"/>
        </w:rPr>
      </w:pPr>
    </w:p>
    <w:p>
      <w:pPr>
        <w:ind w:left="960" w:right="220" w:hanging="424"/>
        <w:spacing w:after="0" w:line="26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Unlike some other similarly structured special purpose acquisition companies, our initial shareholders will receive additional Class A ordinary shares if we issue certain shares to consummate an initial business combination.</w:t>
      </w:r>
    </w:p>
    <w:p>
      <w:pPr>
        <w:spacing w:after="0" w:line="5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Founder Shares will automatically convert into Class A ordinary shares concurrently with or immediately following the consummation of our initial business combination on a one-for-one basis, subject to adjustment for share splits,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w:t>
      </w:r>
    </w:p>
    <w:p>
      <w:pPr>
        <w:spacing w:after="0" w:line="17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Class A ordinary shares purchasable upon exercise of a warrant could be decreased, all without your approval.</w:t>
      </w:r>
    </w:p>
    <w:p>
      <w:pPr>
        <w:spacing w:after="0" w:line="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warrants were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 and the warrant agreement, (ii) adjusting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Class A ordinary shares purchasable upon exercise of a warrant.</w:t>
      </w:r>
    </w:p>
    <w:p>
      <w:pPr>
        <w:spacing w:after="0" w:line="164"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32" w:name="page33"/>
    <w:bookmarkEnd w:id="32"/>
    <w:p>
      <w:pPr>
        <w:jc w:val="both"/>
        <w:ind w:left="4"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57"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w:t>
      </w:r>
    </w:p>
    <w:p>
      <w:pPr>
        <w:spacing w:after="0" w:line="2" w:lineRule="exact"/>
        <w:rPr>
          <w:sz w:val="20"/>
          <w:szCs w:val="20"/>
          <w:color w:val="auto"/>
        </w:rPr>
      </w:pPr>
    </w:p>
    <w:p>
      <w:pPr>
        <w:ind w:left="4" w:right="480" w:hanging="4"/>
        <w:spacing w:after="0" w:line="260"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having service of process made upon such warrant holder in any such enforcement action by service upon such warrant holder’s counsel in the foreign action as agent for such warrant holder.</w:t>
      </w:r>
    </w:p>
    <w:p>
      <w:pPr>
        <w:spacing w:after="0" w:line="185"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4" w:lineRule="exact"/>
        <w:rPr>
          <w:sz w:val="20"/>
          <w:szCs w:val="20"/>
          <w:color w:val="auto"/>
        </w:rPr>
      </w:pPr>
    </w:p>
    <w:p>
      <w:pPr>
        <w:ind w:left="4" w:right="580"/>
        <w:spacing w:after="0" w:line="282"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58" w:lineRule="exact"/>
        <w:rPr>
          <w:sz w:val="20"/>
          <w:szCs w:val="20"/>
          <w:color w:val="auto"/>
        </w:rPr>
      </w:pPr>
    </w:p>
    <w:p>
      <w:pPr>
        <w:ind w:left="4" w:right="40"/>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closing price of our Class A ordinary shares equals or exceeds $18.00 per share (as adjusted for share splits, share capitalizations, reorganizations, recapitalizations and the like) for any 20 trading days within a 30 trading-day period ending on the third trading day prior to the date on which we give proper notice of such redemption to the warrants holders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so long as they are held by the Sponsor or its permitted transferees.</w:t>
      </w:r>
    </w:p>
    <w:p>
      <w:pPr>
        <w:spacing w:after="0" w:line="181"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Our warrants may have an adverse effect on the market price of our Class A ordinary shares and make it more difficult to effectuate our initial business combination.</w:t>
      </w:r>
    </w:p>
    <w:p>
      <w:pPr>
        <w:spacing w:after="0" w:line="58"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We issued warrants to purchase 10,000,000 of our Class A ordinary shares as part of the units sold in the Public Offering and, simultaneously with the Public Offering, we issued in a Private Placement an aggregate of 6,000,000 private placement warrants, at $1.00 per warrant. In addition, if the Sponsor makes any working capital loans, it may convert those loans into up to an additional 1,500,000 private placement warrants, at the price of $1.00 per warrant. To the extent we issue ordinary shares to effectuate a business transaction,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33" w:name="page34"/>
    <w:bookmarkEnd w:id="33"/>
    <w:p>
      <w:pPr>
        <w:ind w:right="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Because each unit contains one-half of one warrant and only a whole warrant may be exercised, the units may be worth less than units of other special purpose acquisition companies.</w:t>
      </w:r>
    </w:p>
    <w:p>
      <w:pPr>
        <w:spacing w:after="0" w:line="5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Each unit contains one-half of one warrant. Pursuant to the warrant agreement, no fractional warrants were issued upon separation of the units, and only whole units can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warrant to purchase one whole share. We have established the components of the units in this way in order to reduce the dilutive effect of the warrants upon completion of a business combination since the warrants will be exercisable in the aggregate for one-half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30th. To the extent we take advantage of such reduced disclosure obligations, it may also make comparison of our financial statements with other public companies difficult or impossible.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34" w:name="page35"/>
    <w:bookmarkEnd w:id="34"/>
    <w:p>
      <w:pPr>
        <w:ind w:left="4" w:right="46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36" w:lineRule="exact"/>
        <w:rPr>
          <w:sz w:val="20"/>
          <w:szCs w:val="20"/>
          <w:color w:val="auto"/>
        </w:rPr>
      </w:pPr>
    </w:p>
    <w:p>
      <w:pPr>
        <w:ind w:left="4" w:right="20"/>
        <w:spacing w:after="0" w:line="279" w:lineRule="auto"/>
        <w:rPr>
          <w:sz w:val="20"/>
          <w:szCs w:val="20"/>
          <w:color w:val="auto"/>
        </w:rPr>
      </w:pPr>
      <w:r>
        <w:rPr>
          <w:rFonts w:ascii="Arial" w:cs="Arial" w:eastAsia="Arial" w:hAnsi="Arial"/>
          <w:sz w:val="17"/>
          <w:szCs w:val="17"/>
          <w:color w:val="auto"/>
        </w:rPr>
        <w:t>Our amended and restated memorandum and articles of association contain provisions that may discourage unsolicited takeover proposals that shareholders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67" w:lineRule="exact"/>
        <w:rPr>
          <w:sz w:val="20"/>
          <w:szCs w:val="20"/>
          <w:color w:val="auto"/>
        </w:rPr>
      </w:pPr>
    </w:p>
    <w:p>
      <w:pPr>
        <w:ind w:left="4" w:right="240"/>
        <w:spacing w:after="0" w:line="282" w:lineRule="auto"/>
        <w:rPr>
          <w:sz w:val="20"/>
          <w:szCs w:val="20"/>
          <w:color w:val="auto"/>
        </w:rPr>
      </w:pPr>
      <w:r>
        <w:rPr>
          <w:rFonts w:ascii="Arial" w:cs="Arial" w:eastAsia="Arial" w:hAnsi="Arial"/>
          <w:sz w:val="18"/>
          <w:szCs w:val="18"/>
          <w:b w:val="1"/>
          <w:bCs w:val="1"/>
          <w:color w:val="auto"/>
        </w:rPr>
        <w:t>Because we are incorporated under the laws of the Cayman Islands, you may face difficulties in protecting your interests, and your ability to protect your rights through the U.S. Federal courts may be limited.</w:t>
      </w:r>
    </w:p>
    <w:p>
      <w:pPr>
        <w:spacing w:after="0" w:line="58" w:lineRule="exact"/>
        <w:rPr>
          <w:sz w:val="20"/>
          <w:szCs w:val="20"/>
          <w:color w:val="auto"/>
        </w:rPr>
      </w:pPr>
    </w:p>
    <w:p>
      <w:pPr>
        <w:jc w:val="both"/>
        <w:ind w:left="4" w:right="540"/>
        <w:spacing w:after="0" w:line="263" w:lineRule="auto"/>
        <w:rPr>
          <w:sz w:val="20"/>
          <w:szCs w:val="20"/>
          <w:color w:val="auto"/>
        </w:rPr>
      </w:pPr>
      <w:r>
        <w:rPr>
          <w:rFonts w:ascii="Arial" w:cs="Arial" w:eastAsia="Arial" w:hAnsi="Arial"/>
          <w:sz w:val="18"/>
          <w:szCs w:val="18"/>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184"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Our corporate affairs will be governed by our amended and restated memorandum and articles of association, the Companies Law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85"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w:t>
      </w:r>
    </w:p>
    <w:p>
      <w:pPr>
        <w:ind w:left="4" w:hanging="4"/>
        <w:spacing w:after="0" w:line="268" w:lineRule="auto"/>
        <w:tabs>
          <w:tab w:leader="none" w:pos="269"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9" w:lineRule="exact"/>
        <w:rPr>
          <w:sz w:val="20"/>
          <w:szCs w:val="20"/>
          <w:color w:val="auto"/>
        </w:rPr>
      </w:pPr>
    </w:p>
    <w:p>
      <w:pPr>
        <w:ind w:left="4" w:right="300"/>
        <w:spacing w:after="0" w:line="342"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4"/>
          </w:cols>
          <w:pgMar w:left="436" w:top="270" w:right="47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Cyber incidents or attacks directed at us could result in information theft, data corruption, operational disruption and/or financial loss.</w:t>
      </w:r>
    </w:p>
    <w:p>
      <w:pPr>
        <w:spacing w:after="0" w:line="13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6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are subject to changing law and regulations regarding regulatory matters, corporate governance and public disclosure that have increased both our costs and the risk of non-compliance.</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subject to rules and regulations by various governing bodies, including, for example, the Securities and Exchange Commission,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employ a mail forwarding service, which may delay or disrupt our ability to receive mail in a timely manner.</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Mail addressed to the Company and received at its registered office will be forwarded unopened to the forwarding address supplied by Company to be dealt with. None of the Company, its directors, officers, advisors or service providers (including the organization which provides registered office services in the Cayman Islands) will bear any responsibility for any delay howsoever caused in mail reaching the forwarding address, which may impair your ability to communicate with us.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following discussion and analysis of CLA’s financial condition and results of operations should be read in conjunction with CLA’s audited consolidated financial statements and the notes related thereto which are included in “Item 8. Financial Statements and Supplementary Data” of this Amendment.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“Item 1A. Risk Factors” and elsewhere in this Amendment and the Original 10-K. Unless the context otherwise requires, references in this “Item 7. Management’s Discussion and Analysis of Financial Condition and Results of Operations” to “we,” “us,” “our” and the “Company” refer to CLA if relating to a statement made prior to the Merger and refer to Ouster (as successor registrant to CLA) or the Company’s management, as the context may require, if relating to a statement made after the consummation of the Merger.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0"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Overview</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a blank check company incorporated in the Cayman Islands on June 4, 2020 formed for the purpose of effecting a merger, share exchange, asset acquisition, stock purchase, reorganization or similar business combination with one or more businesses. We intend to effectuate our business combination using cash derived from the proceeds of our initial public offering consummated on August 25, 2020 (the “Public Offering”), our shares, debt or a combination of cash, shares and debt.</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for Business Combination</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December 21, 2020, we entered into a Merger Agreement, with Merger Sub and OTI, relating to a proposed business combination between the Company and OTI.</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Pursuant to the Merger Agreement, the Company will domesticate as Ouster, a Delaware corporation, and Merger Sub, a wholly owned subsidiary of the Company, will merge with and into OTI, the separate corporate existence of Merger Sub will cease and OTI will be the surviving corporation and a wholly owned subsidiary of the Company. In connection with the consummation of the Merger, the Company will change its name to “Ouster, Inc.”</w:t>
      </w:r>
    </w:p>
    <w:p>
      <w:pPr>
        <w:spacing w:after="0" w:line="14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from June 4, 2020 (inception) through December 31, 2020 were organizational activities, those necessary to prepare for the Public Offering, identifying a target for our business combination, and activities in connection with the proposed acquisition of Ouster. We do not expect to generate any operating revenues until after the completion of our initial business combination. We generate non-operating income in the form of interest income on marketable securities. We are incurring expenses as a result of being a public company (for legal, financial reporting, accounting and auditing compliance), as well as for due diligence expenses in connection with completing a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period from June 4, 2020 (inception) through December 31, 2020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For the period from June 4, 2020 (inception) through December 31, 2020, we had a net loss of $51.5 million, which consisted of operating costs of</w:t>
      </w:r>
    </w:p>
    <w:p>
      <w:pPr>
        <w:spacing w:after="0" w:line="3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$3.1 million and change in fair value of warrant liabilities of $48.4 million, offset by interest earned on marketable securities held in the Trust Account of $57,914 and an unrealized gain on marketable securities held in the Trust Account of $3,140.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period from June 4, 2020 (inception) through September 30, 2020</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the period from June 4, 2020 (inception) through September 30, 2020, we had a net income of $1.6 million, which consisted of change in fair value of warrant liabilities of $2.1 million, and interest earned on marketable securities held in the Trust Account of $15,961, offset by operating costs of $432,390, and unrealized loss on marketable securities held in the Trust Account of $14,209.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30, 2020</w:t>
      </w:r>
    </w:p>
    <w:p>
      <w:pPr>
        <w:spacing w:after="0" w:line="11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For the three months ended September 30, 2020, we had a net income of $1.6 million, which consisted of change in fair value of warrant liabilities of $2.1 million, and interest earned on marketable securities held in the Trust Account of $15,961, offset by operating costs of $427,390, and unrealized loss on marketable securities held in the Trust Account of $14,209.</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0"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Liquidity and Capital Resources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August 25, 2020, we consummated the Public Offering of 20,000,000 units, at a price of $10.00 per unit, generating gross proceeds of $200,000,000. Simultaneously with the closing of the Public Offering, we consummated the sale of 6,000,000 private placement warrants to the Sponsor at a price of $1.00 per warrant, generating gross proceeds of $6,000,000.</w:t>
      </w:r>
    </w:p>
    <w:p>
      <w:pPr>
        <w:spacing w:after="0" w:line="18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Following the Public Offering, and the sale of the private placement warrants, a total of $200,000,000 was placed in the Trust Account. We incurred $11,597,631 in transaction costs, including $4,000,000 of underwriting fees, $7,000,000 of deferred underwriting fees and $597,631 of other costs.</w:t>
      </w:r>
    </w:p>
    <w:p>
      <w:pPr>
        <w:spacing w:after="0" w:line="12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the period from June 4, 2020 (inception) through December 31, 2020, cash used in operating activities was $729,512, which primarily consisted of our net loss of $51.5 million, issuance costs related to warrant liability of $371,124, change in fair value of warrant liabilities of $48.4 million, and changes in operating assets and liabilities, which provided $2,034,108 of cash.</w:t>
      </w:r>
    </w:p>
    <w:p>
      <w:pPr>
        <w:spacing w:after="0" w:line="18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As of December 31, 2020, we had cash and marketable securities held in the Trust Account of $200,061,054. We may withdraw interest to pay our taxes, if any. Through December 31, 2020, we have not withdrawn any amounts to pay for our tax obligations. We intend to use substantially all of the funds held in the Trust Account, including any amounts representing interest earned on the Trust Account (which interest shall be net of taxes payable) to complete our business combination. To the extent that our share capital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December 31, 2020, we had cash of $697,957.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w:t>
      </w:r>
    </w:p>
    <w:p>
      <w:pPr>
        <w:spacing w:after="0" w:line="19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monitor the adequacy of our working capital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If we are unable to complete our initial business combination because we do not have sufficient funds available to us, we will be forced to cease operations and liquidate the Trust Account.</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a result of the restatement described in Note 2 “Restatement of Previously Issued Audited and Unaudited Financial Statements” to the financial statements included herein, we classify the warrants issued in connection with our IPO and Private Placement as liabilities at their fair value and adjust the warrant instruments to fair value at each reporting period. These liabilities are subject to remeasurement at each balance sheet date until exercised, and any change in fair value is recognized in our statement of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0"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Off-Balance Sheet Financing Arrangements</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the derivative warrants liabilities and an agreement to pay the Sponsor a monthly fee of $10,000 for office space, utilities, secretarial and administrative support services, provided to the Company. We began incurring these fees on August 21, 2020 and will continue to incur these fees monthly until the earlier of the completion of a business combination and the Company’s liquidation.</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underwriters are entitled to a deferred fee of $0.35 per unit, or $7,000,000 in the aggregate. A portion of such amount not to exceed 40% of the total amount of deferred underwriting commissions held in the Trust Account may be paid at the sole discretion of the Company to parties who may or may not participate in the Public Offering (but who are members of FINRA) that assist us in consummating a business combination. The election to make such payments to such parties will be solely at the discretion of our management team. The deferred fee will become payable to the underwriters from the amounts held in the Trust Account solely in the event that we complete a business combination, subject to the terms of the underwriting agreement.</w:t>
      </w:r>
    </w:p>
    <w:p>
      <w:pPr>
        <w:spacing w:after="0" w:line="16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On December 4, 2020, we entered into an agreement with a service provider, pursuant to which the service provider will serve as the placement agent for us in connection with a proposed private placement (the “Proposed Transaction”) of our equity or equity-linked securities (the “Equity Securities”). We agreed to pay the service provider a cash fee of equal to 50% of 3.5% of the gross proceeds of the total fair market of the Equity Securities sold in the Proposed Transaction subject to a minimum fee of $1,000,000 and reimbursable expenses not to exceed $50,000 without our prior written consent.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On December 4, 2020, we entered into an agreement with a service provider, pursuant to which the service provider will serve as media relations, due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diligence, and transaction preparation in connection with a proposed business combination. We agreed to pay the service provider a cash fee of (i)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$15,000 per month until the consummation of a business combination, (ii) $200,000 payable only upon consummation of a business combination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(iii) a discretionary performance bonus in the amount of $200,000 upon the consummation of the business combination, at our sole discretion.</w:t>
      </w:r>
    </w:p>
    <w:p>
      <w:pPr>
        <w:spacing w:after="0" w:line="22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5, 2020, we entered into an agreement with a service provider, pursuant to which the service provider will serve as the co-placement agent for us in connection with a proposed private placement (the “Transaction”) of our equity or equity-linked securities (the “Securities”). We agreed to pay the service provider a cash fee of $2,800,000, payable at the closing of the business combination and a cash fee equal to 50% of 3.5% of the gross proceeds of the total Securities sold in the Transaction subject to a minimum fee of $2,200,000.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preparation of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Ordinary Shares Subject to Redemption</w:t>
      </w:r>
    </w:p>
    <w:p>
      <w:pPr>
        <w:spacing w:after="0" w:line="117"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We account for our Class A ordinary shares subject to possible conversion in accordance with the guidance in Accounting Standards Codification (“ASC”) Topic 480 “Distinguishing Liabilities from Equity.” Class A ordinary shares subject to mandatory redemption are classified as a liability instrument and are measured at fair value.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0" w:right="459" w:bottom="1440" w:gutter="0" w:footer="0" w:header="0"/>
        </w:sectPr>
      </w:pPr>
    </w:p>
    <w:bookmarkStart w:id="39" w:name="page40"/>
    <w:bookmarkEnd w:id="39"/>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Class A ordinary shares feature certain redemption rights that are considered to be outside of our control and subject to occurrence of uncertain future events. Accordingly, Class A ordinary shares subject to possible redemption are presented at redemption value as temporary equity, outside of the shareholders’ equity section of our consolidated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apply the two-class method in calculating earnings per share. Net income per common share, basic and diluted for Class A ordinary shares is calculated by dividing the interest income earned on the Trust Account, net of applicable taxes, if any, by the weighted average number of shares of Class A ordinary shares for the period. Net loss per common share, basic and diluted for Class B ordinary shares is calculated by dividing net loss less income attributable to Class A ordinary shares, by the weighted average number of shares of Class B ordinary shares outstanding for the period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account for liability-classified warrants as derivative instruments. Liability-classified warrants are subject to remeasurement at each balance sheet date and any change in fair value is recognized as a change in fair value of warrant liabilities expense on the statement of operations. The Company will continue to adjust the liability for changes in fair value until the earlier of the exercise or expiration of the warrants. Upon settlement, the warrant liability will be reclassified to additional paid-in capital. The fair value of the public warrants issued in connection with our initial public offering were initially measured at fair value using a Monte Carlo simulation approach. The fair value of the public warrants was measured based on the listed market price of such public warrants starting October 2020. In the case of the private placement warrants the Company used a Black-Scholes option pricing model for initial measurement and remeasurement for each reporting date in 2020 accordingly.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pages F-1 through F-22 included in Item 15, Exhibits and Financial Statement Schedules included elsewhere in this Amendment.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disclosure in Item 9A. Controls and Procedures in the Original 10-K is hereby amended and restated in its entirety. As used in this Item 9A. Controls and Procedures, “we” and “our” shall mean CLA or CLA’s management, as the context may require, if relating to a statement made prior to the Merger and shall mean the Company (as successor registrant to CLA) or the Company’s management, as the context may require, if relating to a statement made after the consummation of the Merger. Any material weakness described herein with respect to an Affected Period means the material weakness of CLA.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40" w:name="page41"/>
    <w:bookmarkEnd w:id="40"/>
    <w:p>
      <w:pPr>
        <w:jc w:val="both"/>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principal executive officer and the principal financial officer of CLA carried out an evaluation of the effectiveness of the design and operation of CLA’s disclosure controls and procedures as of December 31, 2020. Based upon the evaluation at that time, CLA’s principal executive officer and principal financial officer had concluded that CLA’s disclosure controls and procedures (as defined in Rules 13a -15(e) and 15d-15(e) under the Exchange Act) were effective. The principal executive officer and principal financial officer of CLA as of December 31, 2020 are not employed by us as of the date of this Amendment. In connection with this Amendment, our management re-evaluated, with the participation of our current principal executive officer and principal financial officer, the effectiveness of CLA’s disclosure controls and procedures as of December 31, 2020. Based upon that evaluation, our principal executive officer and principal financial officer concluded that, as of December 31, 2020, solely due to the material weakness that we identified related to the restatement of CLA’s financial statements to reclassify CLA’s warrants as described in the Explanatory Note to this Amendment, CLA’s disclosure controls and procedures were not effective as of December 31,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Although the Original 10-K did not include a report of management’s assessment regarding internal control over financial reporting due to a transition period established by rules of the SEC for newly public companies, the Company is now required to provide management’s assessment regarding internal control over financial reporting (as defined in Rule 13a-15(f) or Rule 15d-15(f) under the Exchange Act). Under the supervision of and with the participation of our current management, we have evaluated the effectiveness of our internal control over financial reporting as of December 31, 2020. In making this assessment, management used the criteria established in Internal Control-Integrated Framework issued by the COSO (2013 framework). Our management concluded that our internal control over financial reporting was not effective as of December 31, 2020 due to a material weakness in internal control over financial reporting related to inaccurate accounting and reporting for our public warrants and private placement warrants issued in connection with our Public Offering. Notwithstanding this material weakness, management has concluded that our audited consolidated financial statements included in this Amendment are fairly stated in all material respects in accordance with GAAP for each of the periods presented therein.</w:t>
      </w:r>
    </w:p>
    <w:p>
      <w:pPr>
        <w:spacing w:after="0" w:line="16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After consideration of the views expressed in the SEC Statement, the Company’s management identified a control deficiency in the operation of our internal control over financial reporting. Specifically, the Company did not design and maintain effective controls over the period-end financial reporting process to achieve complete, accurate and timely financial accounting, reporting and disclosures, including adequate controls related to journal entries and certain other business processes, and verifying transactions are properly classified in the financial statements. This control deficiency resulted in the Company having to restate its audited consolidated financial statements contained in the Original 10-K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1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Amendment does not include an attestation report of internal controls from the Company’s independent registered public accounting firm due to the Company’s status as an emerging growth company under the JOBS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Remediation of the Material Weakness in Internal Control Over Financial Reporting</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response to this material weakness, the Company’s management has expended, and will continue to expend, a substantial amount of effort and resources for the remediation and improvement of our internal control over financial reporting. Our efforts include actively recruiting additional personnel, in addition to engaging and utilizing third party consultants and specialists to supplement our internal resources and segregate key functions within our business processes, where appropriate.</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remediation plan can only be accomplished over time and will be continually reviewed to determine that it is achieving its objectives. There is no assurance that these initiatives will ultimately have the intended effects.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in Internal Controls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changes made to remediate the material weakness described above, there were no changes in our internal control over financial reporting during the fourth quarter ended December 31, 2020, that have materially affected, or are reasonably likely to materially affect, our internal control over financial reporting.</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20"/>
          </w:cols>
          <w:pgMar w:left="440" w:top="270" w:right="539" w:bottom="1440" w:gutter="0" w:footer="0" w:header="0"/>
        </w:sectPr>
      </w:pPr>
    </w:p>
    <w:bookmarkStart w:id="42" w:name="page43"/>
    <w:bookmarkEnd w:id="42"/>
    <w:p>
      <w:pPr>
        <w:ind w:left="51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IV</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i w:val="1"/>
          <w:iCs w:val="1"/>
          <w:color w:val="auto"/>
        </w:rPr>
        <w:t>The disclosure in Item 15. Exhibits and Financial Statement Schedules, Part (a) in the Original 10-K is hereby amended and restated by the following. Additionally, in accordance with Rule 12b-15 under the Securities Exchange Act of 1934, as amended, the Company is including in Part (c) of this Amendment currently dated certifications from our Principal Executive Officer and Principal Financial Officer. These certifications are filed or furnished, as applicable, as Exhibits 31.1, 31.2, 32.1 and 32.2. There have been no other changes to the Exhibit List in Part (c).</w:t>
      </w:r>
    </w:p>
    <w:p>
      <w:pPr>
        <w:spacing w:after="0" w:line="63" w:lineRule="exact"/>
        <w:rPr>
          <w:sz w:val="20"/>
          <w:szCs w:val="20"/>
          <w:color w:val="auto"/>
        </w:rPr>
      </w:pPr>
    </w:p>
    <w:p>
      <w:pPr>
        <w:ind w:left="244" w:hanging="244"/>
        <w:spacing w:after="0"/>
        <w:tabs>
          <w:tab w:leader="none" w:pos="2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244" w:lineRule="exact"/>
        <w:rPr>
          <w:sz w:val="20"/>
          <w:szCs w:val="20"/>
          <w:color w:val="auto"/>
        </w:rPr>
      </w:pPr>
    </w:p>
    <w:tbl>
      <w:tblPr>
        <w:tblLayout w:type="fixed"/>
        <w:tblInd w:w="364" w:type="dxa"/>
        <w:tblCellMar>
          <w:top w:w="0" w:type="dxa"/>
          <w:left w:w="0" w:type="dxa"/>
          <w:bottom w:w="0" w:type="dxa"/>
          <w:right w:w="0" w:type="dxa"/>
        </w:tblCellMar>
      </w:tblPr>
      <w:tr>
        <w:trPr>
          <w:trHeight w:val="171"/>
        </w:trPr>
        <w:tc>
          <w:tcPr>
            <w:tcW w:w="4220" w:type="dxa"/>
            <w:vAlign w:val="bottom"/>
            <w:gridSpan w:val="5"/>
            <w:vMerge w:val="restart"/>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Report of Independent Registered Public Accounting Firm</w:t>
              </w:r>
            </w:hyperlink>
          </w:p>
        </w:tc>
        <w:tc>
          <w:tcPr>
            <w:tcW w:w="6060" w:type="dxa"/>
            <w:vAlign w:val="bottom"/>
            <w:gridSpan w:val="2"/>
            <w:vMerge w:val="restart"/>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0"/>
        </w:trPr>
        <w:tc>
          <w:tcPr>
            <w:tcW w:w="4220" w:type="dxa"/>
            <w:vAlign w:val="bottom"/>
            <w:tcBorders>
              <w:bottom w:val="single" w:sz="8" w:color="0000EE"/>
            </w:tcBorders>
            <w:gridSpan w:val="5"/>
            <w:vMerge w:val="continue"/>
          </w:tcPr>
          <w:p>
            <w:pPr>
              <w:spacing w:after="0"/>
              <w:rPr>
                <w:sz w:val="13"/>
                <w:szCs w:val="13"/>
                <w:color w:val="auto"/>
              </w:rPr>
            </w:pPr>
          </w:p>
        </w:tc>
        <w:tc>
          <w:tcPr>
            <w:tcW w:w="6060" w:type="dxa"/>
            <w:vAlign w:val="bottom"/>
            <w:gridSpan w:val="2"/>
            <w:vMerge w:val="continue"/>
          </w:tcPr>
          <w:p>
            <w:pPr>
              <w:spacing w:after="0"/>
              <w:rPr>
                <w:sz w:val="13"/>
                <w:szCs w:val="13"/>
                <w:color w:val="auto"/>
              </w:rPr>
            </w:pPr>
          </w:p>
        </w:tc>
        <w:tc>
          <w:tcPr>
            <w:tcW w:w="3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9"/>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28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Balance Sheet (As Restated)</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0"/>
        </w:trPr>
        <w:tc>
          <w:tcPr>
            <w:tcW w:w="3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80" w:type="dxa"/>
            <w:vAlign w:val="bottom"/>
            <w:gridSpan w:val="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 of Operations (As Restated)</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0"/>
        </w:trPr>
        <w:tc>
          <w:tcPr>
            <w:tcW w:w="37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 of Changes in Shareholders’ Equity (As Restated)</w:t>
              </w:r>
            </w:hyperlink>
          </w:p>
        </w:tc>
        <w:tc>
          <w:tcPr>
            <w:tcW w:w="492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96"/>
        </w:trPr>
        <w:tc>
          <w:tcPr>
            <w:tcW w:w="10280" w:type="dxa"/>
            <w:vAlign w:val="bottom"/>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 of Cash Flows (As Restated)</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382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Notes to Consolidated Financial Statements (As Restated)</w:t>
              </w:r>
            </w:hyperlink>
          </w:p>
        </w:tc>
        <w:tc>
          <w:tcPr>
            <w:tcW w:w="6100" w:type="dxa"/>
            <w:vAlign w:val="bottom"/>
            <w:gridSpan w:val="3"/>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750"/>
        </w:trPr>
        <w:tc>
          <w:tcPr>
            <w:tcW w:w="5360" w:type="dxa"/>
            <w:vAlign w:val="bottom"/>
            <w:gridSpan w:val="6"/>
          </w:tcPr>
          <w:p>
            <w:pPr>
              <w:ind w:left="5060"/>
              <w:spacing w:after="0"/>
              <w:rPr>
                <w:sz w:val="20"/>
                <w:szCs w:val="20"/>
                <w:color w:val="auto"/>
              </w:rPr>
            </w:pPr>
            <w:r>
              <w:rPr>
                <w:rFonts w:ascii="Arial" w:cs="Arial" w:eastAsia="Arial" w:hAnsi="Arial"/>
                <w:sz w:val="18"/>
                <w:szCs w:val="18"/>
                <w:color w:val="auto"/>
              </w:rPr>
              <w:t>42</w:t>
            </w:r>
          </w:p>
        </w:tc>
        <w:tc>
          <w:tcPr>
            <w:tcW w:w="4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4"/>
          </w:cols>
          <w:pgMar w:left="436" w:top="270" w:right="49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OUSTER, INC. (f/k/a COLONNADE ACQUISITION CORP.)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1"/>
        </w:trPr>
        <w:tc>
          <w:tcPr>
            <w:tcW w:w="4220" w:type="dxa"/>
            <w:vAlign w:val="bottom"/>
            <w:gridSpan w:val="4"/>
            <w:vMerge w:val="restart"/>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Report of Independent Registered Public Accounting Firm</w:t>
              </w:r>
            </w:hyperlink>
          </w:p>
        </w:tc>
        <w:tc>
          <w:tcPr>
            <w:tcW w:w="740" w:type="dxa"/>
            <w:vAlign w:val="bottom"/>
            <w:gridSpan w:val="2"/>
            <w:vMerge w:val="restart"/>
          </w:tcPr>
          <w:p>
            <w:pPr>
              <w:spacing w:after="0"/>
              <w:rPr>
                <w:sz w:val="14"/>
                <w:szCs w:val="14"/>
                <w:color w:val="auto"/>
              </w:rPr>
            </w:pPr>
          </w:p>
        </w:tc>
        <w:tc>
          <w:tcPr>
            <w:tcW w:w="3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4220" w:type="dxa"/>
            <w:vAlign w:val="bottom"/>
            <w:tcBorders>
              <w:bottom w:val="single" w:sz="8" w:color="0000EE"/>
            </w:tcBorders>
            <w:gridSpan w:val="4"/>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9"/>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960" w:type="dxa"/>
            <w:vAlign w:val="bottom"/>
            <w:gridSpan w:val="6"/>
          </w:tcPr>
          <w:p>
            <w:pPr>
              <w:spacing w:after="0"/>
              <w:rPr>
                <w:sz w:val="20"/>
                <w:szCs w:val="20"/>
                <w:color w:val="auto"/>
              </w:rPr>
            </w:pPr>
            <w:r>
              <w:rPr>
                <w:rFonts w:ascii="Arial" w:cs="Arial" w:eastAsia="Arial" w:hAnsi="Arial"/>
                <w:sz w:val="18"/>
                <w:szCs w:val="18"/>
                <w:color w:val="auto"/>
              </w:rPr>
              <w:t>Financial Statements:</w:t>
            </w:r>
          </w:p>
        </w:tc>
        <w:tc>
          <w:tcPr>
            <w:tcW w:w="3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4900" w:type="dxa"/>
            <w:vAlign w:val="bottom"/>
            <w:tcBorders>
              <w:bottom w:val="single" w:sz="8" w:color="0000EE"/>
            </w:tcBorders>
            <w:gridSpan w:val="6"/>
          </w:tcPr>
          <w:p>
            <w:pPr>
              <w:spacing w:after="0" w:line="190"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Consolidated Balance Sheet as of December 31, 2020 (As Restated)</w:t>
              </w:r>
            </w:hyperlink>
          </w:p>
        </w:tc>
        <w:tc>
          <w:tcPr>
            <w:tcW w:w="5380" w:type="dxa"/>
            <w:vAlign w:val="bottom"/>
            <w:gridSpan w:val="4"/>
          </w:tcPr>
          <w:p>
            <w:pPr>
              <w:spacing w:after="0"/>
              <w:rPr>
                <w:sz w:val="16"/>
                <w:szCs w:val="16"/>
                <w:color w:val="auto"/>
              </w:rPr>
            </w:pPr>
          </w:p>
        </w:tc>
        <w:tc>
          <w:tcPr>
            <w:tcW w:w="340" w:type="dxa"/>
            <w:vAlign w:val="bottom"/>
            <w:gridSpan w:val="2"/>
          </w:tcPr>
          <w:p>
            <w:pPr>
              <w:ind w:left="60"/>
              <w:spacing w:after="0" w:line="190"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Consolidated Statement of Operations for the period from June</w:t>
              </w:r>
            </w:hyperlink>
          </w:p>
        </w:tc>
        <w:tc>
          <w:tcPr>
            <w:tcW w:w="450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4, 2020 (inception) through December 31, 2020 (As Restated)</w:t>
              </w:r>
            </w:hyperlink>
          </w:p>
        </w:tc>
        <w:tc>
          <w:tcPr>
            <w:tcW w:w="1180" w:type="dxa"/>
            <w:vAlign w:val="bottom"/>
            <w:gridSpan w:val="3"/>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80" w:type="dxa"/>
            <w:vAlign w:val="bottom"/>
            <w:gridSpan w:val="10"/>
          </w:tcPr>
          <w:p>
            <w:pPr>
              <w:spacing w:after="0" w:line="196" w:lineRule="exact"/>
              <w:rPr>
                <w:rFonts w:ascii="Arial" w:cs="Arial" w:eastAsia="Arial" w:hAnsi="Arial"/>
                <w:sz w:val="18"/>
                <w:szCs w:val="18"/>
                <w:color w:val="0000EE"/>
                <w:w w:val="94"/>
              </w:rPr>
            </w:pPr>
            <w:hyperlink w:anchor="page48">
              <w:r>
                <w:rPr>
                  <w:rFonts w:ascii="Arial" w:cs="Arial" w:eastAsia="Arial" w:hAnsi="Arial"/>
                  <w:sz w:val="18"/>
                  <w:szCs w:val="18"/>
                  <w:color w:val="0000EE"/>
                  <w:w w:val="94"/>
                </w:rPr>
                <w:t>Consolidated Statement of Changes in Shareholders’ Equity for the period from June 4, 2020 (inception) through December 31, 2020 (As</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8">
              <w:r>
                <w:rPr>
                  <w:rFonts w:ascii="Arial" w:cs="Arial" w:eastAsia="Arial" w:hAnsi="Arial"/>
                  <w:sz w:val="18"/>
                  <w:szCs w:val="18"/>
                  <w:color w:val="0000EE"/>
                  <w:w w:val="84"/>
                </w:rPr>
                <w:t>Restated)</w:t>
              </w:r>
            </w:hyperlink>
          </w:p>
        </w:tc>
        <w:tc>
          <w:tcPr>
            <w:tcW w:w="3740" w:type="dxa"/>
            <w:vAlign w:val="bottom"/>
            <w:tcBorders>
              <w:top w:val="single" w:sz="8" w:color="0000EE"/>
            </w:tcBorders>
            <w:gridSpan w:val="3"/>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600" w:type="dxa"/>
            <w:vAlign w:val="bottom"/>
            <w:gridSpan w:val="5"/>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Consolidated Statement of Cash Flows for the period from June</w:t>
              </w:r>
            </w:hyperlink>
          </w:p>
        </w:tc>
        <w:tc>
          <w:tcPr>
            <w:tcW w:w="5680" w:type="dxa"/>
            <w:vAlign w:val="bottom"/>
            <w:gridSpan w:val="5"/>
          </w:tcPr>
          <w:p>
            <w:pPr>
              <w:ind w:left="80"/>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4, 2020 (inception) through December 31, 2020 (As Restated)</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600" w:type="dxa"/>
            <w:vAlign w:val="bottom"/>
            <w:tcBorders>
              <w:top w:val="single" w:sz="8" w:color="0000EE"/>
            </w:tcBorders>
            <w:gridSpan w:val="5"/>
          </w:tcPr>
          <w:p>
            <w:pPr>
              <w:spacing w:after="0" w:line="196" w:lineRule="exact"/>
              <w:rPr>
                <w:rFonts w:ascii="Arial" w:cs="Arial" w:eastAsia="Arial" w:hAnsi="Arial"/>
                <w:sz w:val="18"/>
                <w:szCs w:val="18"/>
                <w:color w:val="0000EE"/>
                <w:w w:val="98"/>
              </w:rPr>
            </w:pPr>
            <w:hyperlink w:anchor="page50">
              <w:r>
                <w:rPr>
                  <w:rFonts w:ascii="Arial" w:cs="Arial" w:eastAsia="Arial" w:hAnsi="Arial"/>
                  <w:sz w:val="18"/>
                  <w:szCs w:val="18"/>
                  <w:color w:val="0000EE"/>
                  <w:w w:val="98"/>
                </w:rPr>
                <w:t>Notes to Consolidated Financial Statements (As Restated)</w:t>
              </w:r>
            </w:hyperlink>
          </w:p>
        </w:tc>
        <w:tc>
          <w:tcPr>
            <w:tcW w:w="300" w:type="dxa"/>
            <w:vAlign w:val="bottom"/>
            <w:tcBorders>
              <w:top w:val="single" w:sz="8" w:color="0000EE"/>
            </w:tcBorders>
          </w:tcPr>
          <w:p>
            <w:pPr>
              <w:spacing w:after="0"/>
              <w:rPr>
                <w:sz w:val="17"/>
                <w:szCs w:val="17"/>
                <w:color w:val="auto"/>
              </w:rPr>
            </w:pPr>
          </w:p>
        </w:tc>
        <w:tc>
          <w:tcPr>
            <w:tcW w:w="4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80" w:type="dxa"/>
            <w:vAlign w:val="bottom"/>
            <w:gridSpan w:val="4"/>
          </w:tcPr>
          <w:p>
            <w:pPr>
              <w:ind w:left="12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44" w:name="page45"/>
    <w:bookmarkEnd w:id="44"/>
    <w:p>
      <w:pPr>
        <w:ind w:left="2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Ouster,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have audited the accompanying balance sheet of Ouster, Inc. (formerly Colonnade Acquisition Corp.) (the “Company”) as of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related statement of operations, shareholders’ equity, and cash flows for each of the for the period from June 4, 2020 (inception)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and the related notes (collectively referred to as the “financial statements”). In our opinion, the financial statements present fairly,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material respects, the financial position of the Company as of December 31, 2020, and the results of its operations and its cash flows for the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June 4, 2020 (inception) through December 31, 2020</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the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financial statements, the accompanying financial statements have been restated.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1, the Company’s business plan is dependent on the completion of a business combination by August 25, 2022, the Company’s cash and working capital as of December 31, 2020 are not sufficient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4"/>
          <w:szCs w:val="14"/>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r>
        <w:rPr>
          <w:rFonts w:ascii="Arial" w:cs="Arial" w:eastAsia="Arial" w:hAnsi="Arial"/>
          <w:sz w:val="18"/>
          <w:szCs w:val="18"/>
          <w:b w:val="1"/>
          <w:bCs w:val="1"/>
          <w:color w:val="auto"/>
        </w:rPr>
        <w:t>,</w:t>
      </w:r>
      <w:r>
        <w:rPr>
          <w:rFonts w:ascii="Arial" w:cs="Arial" w:eastAsia="Arial" w:hAnsi="Arial"/>
          <w:sz w:val="18"/>
          <w:szCs w:val="18"/>
          <w:color w:val="auto"/>
        </w:rPr>
        <w:t xml:space="preserve"> except for the effects of the restatement discussed in Notes 2 and 9</w:t>
      </w:r>
      <w:r>
        <w:rPr>
          <w:rFonts w:ascii="Arial" w:cs="Arial" w:eastAsia="Arial" w:hAnsi="Arial"/>
          <w:sz w:val="18"/>
          <w:szCs w:val="18"/>
          <w:b w:val="1"/>
          <w:bCs w:val="1"/>
          <w:color w:val="auto"/>
        </w:rPr>
        <w:t>,</w:t>
      </w:r>
      <w:r>
        <w:rPr>
          <w:rFonts w:ascii="Arial" w:cs="Arial" w:eastAsia="Arial" w:hAnsi="Arial"/>
          <w:sz w:val="18"/>
          <w:szCs w:val="18"/>
          <w:color w:val="auto"/>
        </w:rPr>
        <w:t xml:space="preserve"> as to which the date is June 30, 2021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20"/>
          </w:cols>
          <w:pgMar w:left="440" w:top="270" w:right="439" w:bottom="1440" w:gutter="0" w:footer="0" w:header="0"/>
        </w:sectPr>
      </w:pPr>
    </w:p>
    <w:bookmarkStart w:id="45" w:name="page46"/>
    <w:bookmarkEnd w:id="45"/>
    <w:p>
      <w:pPr>
        <w:jc w:val="center"/>
        <w:ind w:left="1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OUSTER, INC. (f/k/a COLONNADE ACQUISITION CORP.)</w:t>
      </w:r>
    </w:p>
    <w:p>
      <w:pPr>
        <w:spacing w:after="0" w:line="27"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DECEMBER 31, 2020 (AS RESTATED)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Prepaid expenses</w:t>
      </w:r>
    </w:p>
    <w:p>
      <w:pPr>
        <w:spacing w:after="0" w:line="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9516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and marketable securities held in Trust Account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Accrued offering costs</w:t>
      </w:r>
    </w:p>
    <w:p>
      <w:pPr>
        <w:spacing w:after="0" w:line="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Deferred underwriting fee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warrants derivative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Private warrants derivative liability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Class A ordinary shares subject to possible redemption, 12,805,171 shares at redemption value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80" w:hanging="179"/>
        <w:spacing w:after="0" w:line="250" w:lineRule="auto"/>
        <w:rPr>
          <w:sz w:val="20"/>
          <w:szCs w:val="20"/>
          <w:color w:val="auto"/>
        </w:rPr>
      </w:pPr>
      <w:r>
        <w:rPr>
          <w:rFonts w:ascii="Arial" w:cs="Arial" w:eastAsia="Arial" w:hAnsi="Arial"/>
          <w:sz w:val="18"/>
          <w:szCs w:val="18"/>
          <w:color w:val="auto"/>
        </w:rPr>
        <w:t>Class A ordinary shares, $0.0001 par value; 200,000,000 shares authorized; 7,194,829 shares issued and outstanding (excluding 12,805,171 shares subject to possible redemption)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Class B ordinary shares, $0.0001 par value; 20,000,000 shares authorized; 5,000,000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699516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Additional paid-in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Shareholders’ Equity</w:t>
      </w:r>
    </w:p>
    <w:p>
      <w:pPr>
        <w:spacing w:after="0" w:line="283" w:lineRule="exact"/>
        <w:rPr>
          <w:sz w:val="20"/>
          <w:szCs w:val="20"/>
          <w:color w:val="auto"/>
        </w:rPr>
      </w:pPr>
    </w:p>
    <w:p>
      <w:pPr>
        <w:jc w:val="center"/>
        <w:ind w:left="18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hanging="415"/>
        <w:spacing w:after="0"/>
        <w:tabs>
          <w:tab w:leader="none" w:pos="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697,957</w:t>
      </w:r>
    </w:p>
    <w:p>
      <w:pPr>
        <w:spacing w:after="0" w:line="34"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314,138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6343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1,012,095</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auto"/>
        </w:rPr>
        <w:t>200,061,054</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$201,073,149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6343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80" w:hanging="275"/>
        <w:spacing w:after="0"/>
        <w:tabs>
          <w:tab w:leader="none" w:pos="2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2,348,246</w:t>
      </w:r>
    </w:p>
    <w:p>
      <w:pPr>
        <w:spacing w:after="0" w:line="34"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6343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2,348,346</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7,000,000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35,800,000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22,834,000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6343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7"/>
          <w:szCs w:val="17"/>
          <w:b w:val="1"/>
          <w:bCs w:val="1"/>
          <w:color w:val="auto"/>
        </w:rPr>
        <w:t>67,982,346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6343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7"/>
          <w:szCs w:val="17"/>
          <w:u w:val="single" w:color="auto"/>
          <w:color w:val="auto"/>
        </w:rPr>
        <w:t>128,090,803</w:t>
      </w:r>
    </w:p>
    <w:p>
      <w:pPr>
        <w:spacing w:after="0" w:line="26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719</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56,511,471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(51,512,690</w:t>
      </w:r>
      <w:r>
        <w:rPr>
          <w:rFonts w:ascii="Arial" w:cs="Arial" w:eastAsia="Arial" w:hAnsi="Arial"/>
          <w:sz w:val="18"/>
          <w:szCs w:val="18"/>
          <w:color w:val="auto"/>
        </w:rPr>
        <w:t>)</w:t>
      </w:r>
    </w:p>
    <w:p>
      <w:pPr>
        <w:spacing w:after="0" w:line="18" w:lineRule="exact"/>
        <w:rPr>
          <w:sz w:val="20"/>
          <w:szCs w:val="20"/>
          <w:color w:val="auto"/>
        </w:rPr>
      </w:pPr>
    </w:p>
    <w:p>
      <w:pPr>
        <w:ind w:right="60" w:firstLine="279"/>
        <w:spacing w:after="0" w:line="382" w:lineRule="auto"/>
        <w:rPr>
          <w:sz w:val="20"/>
          <w:szCs w:val="20"/>
          <w:color w:val="auto"/>
        </w:rPr>
      </w:pPr>
      <w:r>
        <w:rPr>
          <w:rFonts w:ascii="Arial" w:cs="Arial" w:eastAsia="Arial" w:hAnsi="Arial"/>
          <w:sz w:val="16"/>
          <w:szCs w:val="16"/>
          <w:b w:val="1"/>
          <w:bCs w:val="1"/>
          <w:color w:val="auto"/>
        </w:rPr>
        <w:t xml:space="preserve">5,000,000 </w:t>
      </w:r>
      <w:r>
        <w:rPr>
          <w:rFonts w:ascii="Arial" w:cs="Arial" w:eastAsia="Arial" w:hAnsi="Arial"/>
          <w:sz w:val="16"/>
          <w:szCs w:val="16"/>
          <w:b w:val="1"/>
          <w:bCs w:val="1"/>
          <w:u w:val="single" w:color="auto"/>
          <w:color w:val="auto"/>
        </w:rPr>
        <w:t>$201,073,149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6343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-50800</wp:posOffset>
            </wp:positionV>
            <wp:extent cx="6343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ectPr>
          <w:pgSz w:w="11900" w:h="16838" w:orient="portrait"/>
          <w:cols w:equalWidth="0" w:num="2">
            <w:col w:w="9180" w:space="720"/>
            <w:col w:w="1060"/>
          </w:cols>
          <w:pgMar w:left="440" w:top="270" w:right="49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OUSTER, INC. (f/k/a COLONNADE ACQUISITION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PERIOD FROM JUNE 4, 2020 (INCEPTION) THROUGH DECEMBER 31, 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RESTATED)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operational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2,763,620</w:t>
            </w:r>
          </w:p>
        </w:tc>
        <w:tc>
          <w:tcPr>
            <w:tcW w:w="0" w:type="dxa"/>
            <w:vAlign w:val="bottom"/>
          </w:tcPr>
          <w:p>
            <w:pPr>
              <w:spacing w:after="0"/>
              <w:rPr>
                <w:sz w:val="1"/>
                <w:szCs w:val="1"/>
                <w:color w:val="auto"/>
              </w:rPr>
            </w:pPr>
          </w:p>
        </w:tc>
      </w:tr>
      <w:tr>
        <w:trPr>
          <w:trHeight w:val="223"/>
        </w:trPr>
        <w:tc>
          <w:tcPr>
            <w:tcW w:w="994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(2,763,620)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0"/>
              </w:rPr>
              <w:t>(48,439,000)</w:t>
            </w: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57,914</w:t>
            </w:r>
          </w:p>
        </w:tc>
        <w:tc>
          <w:tcPr>
            <w:tcW w:w="0" w:type="dxa"/>
            <w:vAlign w:val="bottom"/>
          </w:tcPr>
          <w:p>
            <w:pPr>
              <w:spacing w:after="0"/>
              <w:rPr>
                <w:sz w:val="1"/>
                <w:szCs w:val="1"/>
                <w:color w:val="auto"/>
              </w:rPr>
            </w:pPr>
          </w:p>
        </w:tc>
      </w:tr>
      <w:tr>
        <w:trPr>
          <w:trHeight w:val="216"/>
        </w:trPr>
        <w:tc>
          <w:tcPr>
            <w:tcW w:w="9940" w:type="dxa"/>
            <w:vAlign w:val="bottom"/>
          </w:tcPr>
          <w:p>
            <w:pPr>
              <w:ind w:left="360"/>
              <w:spacing w:after="0"/>
              <w:rPr>
                <w:sz w:val="20"/>
                <w:szCs w:val="20"/>
                <w:color w:val="auto"/>
              </w:rPr>
            </w:pPr>
            <w:r>
              <w:rPr>
                <w:rFonts w:ascii="Arial" w:cs="Arial" w:eastAsia="Arial" w:hAnsi="Arial"/>
                <w:sz w:val="18"/>
                <w:szCs w:val="18"/>
                <w:color w:val="auto"/>
              </w:rPr>
              <w:t>Unrealized gain on marketable securities held in Trust Account</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Allocated expense for warrant issuance cost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(371,124)</w:t>
            </w:r>
          </w:p>
        </w:tc>
        <w:tc>
          <w:tcPr>
            <w:tcW w:w="0" w:type="dxa"/>
            <w:vAlign w:val="bottom"/>
          </w:tcPr>
          <w:p>
            <w:pPr>
              <w:spacing w:after="0"/>
              <w:rPr>
                <w:sz w:val="1"/>
                <w:szCs w:val="1"/>
                <w:color w:val="auto"/>
              </w:rPr>
            </w:pPr>
          </w:p>
        </w:tc>
      </w:tr>
      <w:tr>
        <w:trPr>
          <w:trHeight w:val="230"/>
        </w:trPr>
        <w:tc>
          <w:tcPr>
            <w:tcW w:w="994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(48,749,070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(51,512,690)</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color w:val="auto"/>
              </w:rPr>
              <w:t>Basic and diluted weighted average shares outstanding, Class A ordinary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4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13,913,043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share, Class A ordinary shares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color w:val="auto"/>
              </w:rPr>
              <w:t>Basic and diluted weighted average shares outstanding, Class B ordinary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4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Class B ordinary shares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(13.52)</w:t>
            </w: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20"/>
          </w:cols>
          <w:pgMar w:left="440" w:top="270" w:right="439" w:bottom="1440" w:gutter="0" w:footer="0" w:header="0"/>
        </w:sectPr>
      </w:pPr>
    </w:p>
    <w:bookmarkStart w:id="47" w:name="page48"/>
    <w:bookmarkEnd w:id="47"/>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OUSTER, INC. (f/k/a COLONNADE ACQUISITION CORP.) STATEMENT OF CHANGES IN SHAREHOLDERS’ EQUITY FOR THE PERIOD FROM JUNE 4, 2020 (INCEPTION) THROUGH DECEMBER 31, 2020 (AS RESTATED)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60" w:type="dxa"/>
            <w:vAlign w:val="bottom"/>
            <w:gridSpan w:val="2"/>
          </w:tcPr>
          <w:p>
            <w:pPr>
              <w:ind w:left="660"/>
              <w:spacing w:after="0"/>
              <w:rPr>
                <w:sz w:val="20"/>
                <w:szCs w:val="20"/>
                <w:color w:val="auto"/>
              </w:rPr>
            </w:pPr>
            <w:r>
              <w:rPr>
                <w:rFonts w:ascii="Arial" w:cs="Arial" w:eastAsia="Arial" w:hAnsi="Arial"/>
                <w:sz w:val="14"/>
                <w:szCs w:val="14"/>
                <w:b w:val="1"/>
                <w:bCs w:val="1"/>
                <w:color w:val="auto"/>
                <w:w w:val="93"/>
              </w:rPr>
              <w:t>Class 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w w:val="89"/>
              </w:rPr>
              <w:t>Class B</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2060" w:type="dxa"/>
            <w:vAlign w:val="bottom"/>
            <w:gridSpan w:val="6"/>
          </w:tcPr>
          <w:p>
            <w:pPr>
              <w:ind w:left="360"/>
              <w:spacing w:after="0"/>
              <w:rPr>
                <w:sz w:val="20"/>
                <w:szCs w:val="20"/>
                <w:color w:val="auto"/>
              </w:rPr>
            </w:pPr>
            <w:r>
              <w:rPr>
                <w:rFonts w:ascii="Arial" w:cs="Arial" w:eastAsia="Arial" w:hAnsi="Arial"/>
                <w:sz w:val="14"/>
                <w:szCs w:val="14"/>
                <w:b w:val="1"/>
                <w:bCs w:val="1"/>
                <w:color w:val="auto"/>
              </w:rPr>
              <w:t>Ordinary Shares</w:t>
            </w:r>
          </w:p>
        </w:tc>
        <w:tc>
          <w:tcPr>
            <w:tcW w:w="1300" w:type="dxa"/>
            <w:vAlign w:val="bottom"/>
            <w:gridSpan w:val="4"/>
          </w:tcPr>
          <w:p>
            <w:pPr>
              <w:jc w:val="center"/>
              <w:ind w:left="175"/>
              <w:spacing w:after="0"/>
              <w:rPr>
                <w:sz w:val="20"/>
                <w:szCs w:val="20"/>
                <w:color w:val="auto"/>
              </w:rPr>
            </w:pPr>
            <w:r>
              <w:rPr>
                <w:rFonts w:ascii="Arial" w:cs="Arial" w:eastAsia="Arial" w:hAnsi="Arial"/>
                <w:sz w:val="14"/>
                <w:szCs w:val="14"/>
                <w:b w:val="1"/>
                <w:bCs w:val="1"/>
                <w:color w:val="auto"/>
                <w:w w:val="95"/>
              </w:rPr>
              <w:t>Ordinary Shares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16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0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June 4, 2020 (inception)</w:t>
            </w: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Issuance of Class B ordinary shares to</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Sponsor</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5,750,000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24,425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20,000,000 Units, net of</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underwriting discounts and offering</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20,000,000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182,371,493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182,373,493</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w w:val="99"/>
              </w:rPr>
              <w:t>Excess of cash received over fair value of</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Private Placement Warrants</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2,205,000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2,205,000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Forfeiture of Founder Shares</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w w:val="96"/>
              </w:rPr>
              <w:t>Class A ordinary shares subject to possible</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(12,805,171)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(1,281)</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(112,076,641)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(112,077,922)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(16,012,881)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(16,012,881)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(51,512,690)</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(51,512,690)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7,194,829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719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5,000,000</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56,511,471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(51,512,690)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5,000,000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20"/>
          </w:cols>
          <w:pgMar w:left="440" w:top="270" w:right="43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OUSTER, INC. (f/k/a COLONNADE ACQUISITION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PERIOD FROM JUNE 4, 2020 (INCEPTION) THROUGH DECEMBER 31, 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RESTATED)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(51,512,690)</w:t>
            </w: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(57,914)</w:t>
            </w: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marketable securities held in Trust Account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16"/>
        </w:trPr>
        <w:tc>
          <w:tcPr>
            <w:tcW w:w="9840" w:type="dxa"/>
            <w:vAlign w:val="bottom"/>
          </w:tcPr>
          <w:p>
            <w:pPr>
              <w:ind w:left="360"/>
              <w:spacing w:after="0"/>
              <w:rPr>
                <w:sz w:val="20"/>
                <w:szCs w:val="20"/>
                <w:color w:val="auto"/>
              </w:rPr>
            </w:pPr>
            <w:r>
              <w:rPr>
                <w:rFonts w:ascii="Arial" w:cs="Arial" w:eastAsia="Arial" w:hAnsi="Arial"/>
                <w:sz w:val="18"/>
                <w:szCs w:val="18"/>
                <w:color w:val="auto"/>
              </w:rPr>
              <w:t>Issuance costs related to warrant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371,124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48,439,000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(314,138)</w:t>
            </w:r>
          </w:p>
        </w:tc>
        <w:tc>
          <w:tcPr>
            <w:tcW w:w="0" w:type="dxa"/>
            <w:vAlign w:val="bottom"/>
          </w:tcPr>
          <w:p>
            <w:pPr>
              <w:spacing w:after="0"/>
              <w:rPr>
                <w:sz w:val="1"/>
                <w:szCs w:val="1"/>
                <w:color w:val="auto"/>
              </w:rPr>
            </w:pPr>
          </w:p>
        </w:tc>
      </w:tr>
      <w:tr>
        <w:trPr>
          <w:trHeight w:val="223"/>
        </w:trPr>
        <w:tc>
          <w:tcPr>
            <w:tcW w:w="984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2,348,246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(729,512)</w:t>
            </w:r>
          </w:p>
        </w:tc>
        <w:tc>
          <w:tcPr>
            <w:tcW w:w="0" w:type="dxa"/>
            <w:vAlign w:val="bottom"/>
          </w:tcPr>
          <w:p>
            <w:pPr>
              <w:spacing w:after="0"/>
              <w:rPr>
                <w:sz w:val="1"/>
                <w:szCs w:val="1"/>
                <w:color w:val="auto"/>
              </w:rPr>
            </w:pPr>
          </w:p>
        </w:tc>
      </w:tr>
      <w:tr>
        <w:trPr>
          <w:trHeight w:val="223"/>
        </w:trPr>
        <w:tc>
          <w:tcPr>
            <w:tcW w:w="98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(200,000,000)</w:t>
            </w:r>
          </w:p>
        </w:tc>
        <w:tc>
          <w:tcPr>
            <w:tcW w:w="0" w:type="dxa"/>
            <w:vAlign w:val="bottom"/>
          </w:tcPr>
          <w:p>
            <w:pPr>
              <w:spacing w:after="0"/>
              <w:rPr>
                <w:sz w:val="1"/>
                <w:szCs w:val="1"/>
                <w:color w:val="auto"/>
              </w:rPr>
            </w:pPr>
          </w:p>
        </w:tc>
      </w:tr>
      <w:tr>
        <w:trPr>
          <w:trHeight w:val="230"/>
        </w:trPr>
        <w:tc>
          <w:tcPr>
            <w:tcW w:w="9840" w:type="dxa"/>
            <w:vAlign w:val="bottom"/>
          </w:tcPr>
          <w:p>
            <w:pPr>
              <w:ind w:left="90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(200,000,000</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3"/>
              </w:rPr>
              <w:t>196,000,000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Private Placement Warrants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126,005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(126,005)</w:t>
            </w:r>
          </w:p>
        </w:tc>
        <w:tc>
          <w:tcPr>
            <w:tcW w:w="0" w:type="dxa"/>
            <w:vAlign w:val="bottom"/>
          </w:tcPr>
          <w:p>
            <w:pPr>
              <w:spacing w:after="0"/>
              <w:rPr>
                <w:sz w:val="1"/>
                <w:szCs w:val="1"/>
                <w:color w:val="auto"/>
              </w:rPr>
            </w:pPr>
          </w:p>
        </w:tc>
      </w:tr>
      <w:tr>
        <w:trPr>
          <w:trHeight w:val="223"/>
        </w:trPr>
        <w:tc>
          <w:tcPr>
            <w:tcW w:w="984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(572,531)</w:t>
            </w: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201,427,469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4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697,957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840" w:type="dxa"/>
            <w:vAlign w:val="bottom"/>
          </w:tcPr>
          <w:p>
            <w:pPr>
              <w:spacing w:after="0"/>
              <w:rPr>
                <w:sz w:val="20"/>
                <w:szCs w:val="20"/>
                <w:color w:val="auto"/>
              </w:rPr>
            </w:pPr>
            <w:r>
              <w:rPr>
                <w:rFonts w:ascii="Arial" w:cs="Arial" w:eastAsia="Arial" w:hAnsi="Arial"/>
                <w:sz w:val="18"/>
                <w:szCs w:val="18"/>
                <w:b w:val="1"/>
                <w:bCs w:val="1"/>
                <w:color w:val="auto"/>
              </w:rPr>
              <w:t>Cash – Ending</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697,957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paid directly by Sponsor from proceeds from issuance of Class B ordinary shares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40" w:type="dxa"/>
            <w:vAlign w:val="bottom"/>
            <w:vMerge w:val="restart"/>
          </w:tcPr>
          <w:p>
            <w:pPr>
              <w:spacing w:after="0"/>
              <w:rPr>
                <w:sz w:val="20"/>
                <w:szCs w:val="20"/>
                <w:color w:val="auto"/>
              </w:rPr>
            </w:pPr>
            <w:r>
              <w:rPr>
                <w:rFonts w:ascii="Arial" w:cs="Arial" w:eastAsia="Arial" w:hAnsi="Arial"/>
                <w:sz w:val="18"/>
                <w:szCs w:val="18"/>
                <w:color w:val="auto"/>
              </w:rPr>
              <w:t>Offering costs included in accrued offering costs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20"/>
          </w:cols>
          <w:pgMar w:left="440" w:top="270" w:right="439" w:bottom="1440" w:gutter="0" w:footer="0" w:header="0"/>
        </w:sectPr>
      </w:pPr>
    </w:p>
    <w:bookmarkStart w:id="49" w:name="page50"/>
    <w:bookmarkEnd w:id="49"/>
    <w:p>
      <w:pPr>
        <w:ind w:left="3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OUSTER, INC. (f/k/a COLONNADE ACQUISITION CORP.)</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Colonnade Acquisition Corp. (the “Company”) is a blank check company incorporated as a Cayman Islands exempted company on June 4, 2020. The Company was formed for the purpose of effecting a merger, share exchange, asset acquisition, share purchase, reorganization or similar business combination with one or more businesses (“Business Combination”).</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the Company is not limited to a particular industry or geographic region for purposes of completing a Business Combination, the Company intends to focus on industries that complements the Company’s management team’s expertise and network of relationships in the natural resources, energy, real estate and agricultural industries. The Company is an early stage and emerging growth company and, as such, the Company is subject to all of the risks associated with early stage and emerging growth companies.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has one subsidiary, Beam Merger Sub, Inc. (formerly known as C-Sweet Sub, Inc,), a direct wholly owned subsidiary of the Company incorporated in Delaware on December 15, 2020 (“Merger Sub”).</w:t>
      </w:r>
    </w:p>
    <w:p>
      <w:pPr>
        <w:spacing w:after="0" w:line="170"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As of December 31, 2020, the Company had not commenced any operations. All activity for the period from June 4, 2020 (inception) through December 31, 2020 relates to the Company’s formation, the initial public offering (“Initial Public Offering”), which is described below, identifying a target company for a Business Combination, and activities in connection with the proposed acquisition of Ouster, Inc., a Delaware corporation (“Ouster”) (see Note 7).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registration statement for the Company’s Initial Public Offering became effective on August 20, 2020. On August 25, 2020, the Company consummated the Initial Public Offering of 20,000,000 units (the “Units” and, with respect to the Class A ordinary shares included in the Units sold, the “Public Shares” and with respect to the warrants included in the Units sold, the “Public Warrants”), at $10.00 per Unit, generating gross proceeds of $200,000,000, which is described in Note 4.</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6,000,000 warrants (the “Private Placement Warrants” and together with the Public Warrants, the “Warrants”) at a price of $1.00 per Private Placement Warrant in a private placement to Colonnade Sponsor LLC (the “Sponsor”), generating gross proceeds of $6,000,000, which is described in Note 5.</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Transaction costs amounted to $11,597,631, consisting of $4,000,000 of underwriting fees, $7,000,000 of deferred underwriting fees and $597,631 of other offering costs.</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Following the closing of the Initial Public Offering on August 25, 2020, an amount of $200,000,000 ($10.00 per Unit) from the net proceeds of the sale of the Units in the Initial Public Offering and the sale of the Private Placement Warrants was placed in a trust account (the “Trust Account”) invested in U.S. government securities, within the meaning set forth in Section 2(a)(16) of the Investment Company Act of 1940, as amended (the “Investment Company Act”), with a maturity of 185 days or less, or in any open-ended investment company that holds itself out as a money market fund meeting certain conditions of Rule 2a-7 of the Investment Company Act, as determined by the Company, until the earlier of: (i) the completion of a Business Combination and (ii) the distribution of the funds in the Trust Account to the Company’s shareholders, as described below.</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0940"/>
          </w:cols>
          <w:pgMar w:left="440" w:top="270" w:right="519" w:bottom="1440" w:gutter="0" w:footer="0" w:header="0"/>
        </w:sectPr>
      </w:pPr>
    </w:p>
    <w:bookmarkStart w:id="50" w:name="page51"/>
    <w:bookmarkEnd w:id="50"/>
    <w:p>
      <w:pPr>
        <w:ind w:left="4" w:right="1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completing a Business Combination. The Company must complete its initial Business Combination with one or more target businesses that together have a fair market value equal to at least 80% of the net assets held in the Trust Account (excluding the amount of any deferred underwriting commissions held in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65" w:lineRule="exact"/>
        <w:rPr>
          <w:sz w:val="20"/>
          <w:szCs w:val="20"/>
          <w:color w:val="auto"/>
        </w:rPr>
      </w:pPr>
    </w:p>
    <w:p>
      <w:pPr>
        <w:ind w:left="4" w:right="100"/>
        <w:spacing w:after="0" w:line="254" w:lineRule="auto"/>
        <w:rPr>
          <w:sz w:val="20"/>
          <w:szCs w:val="20"/>
          <w:color w:val="auto"/>
        </w:rPr>
      </w:pPr>
      <w:r>
        <w:rPr>
          <w:rFonts w:ascii="Arial" w:cs="Arial" w:eastAsia="Arial" w:hAnsi="Arial"/>
          <w:sz w:val="18"/>
          <w:szCs w:val="18"/>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The shareholders will be entitled to redeem their shares for a pro rata portion of the amount held in the Trust Account (initially $10.00 per share), calculated as of two business days prior to the completion of a Business Combination, including any pro rata interest earned on the funds held in the Trust Account and not previously released to the Company to pay its tax obligations. There will be no redemption rights upon the completion of a Business Combination with respect to the Company’s warrants.</w:t>
      </w:r>
    </w:p>
    <w:p>
      <w:pPr>
        <w:spacing w:after="0" w:line="195"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If the Company seeks shareholder approval, the Company will complete a Business Combination only if it receives an ordinary resolution under Cayman Islands law approving a Business Combination, which requires the affirmative vote of a majority of the shareholders who vote at a general meeting of the Company. If a shareholder vote is not required under applicable law or stock exchange listing requirements and the Company does not decide to hold a shareholder vote for business or other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6) and any Public Shares purchased in or after the Initial Public Offering in favor of approving a Business Combination and to waive its redemption rights with respect to any such shares in connection with a shareholder vote to approve a Business Combination. However, in no event will the Company redeem its Public Shares in an amount that would cause its net tangible assets to be less than $5,000,001. In such case, the Company would not proceed with the redemption of its Public Shares and the related Business Combination, and instead may search for an alternate Business Combination. Additionally, each public shareholder may elect to redeem its Public Shares, without voting, and if they do vote, irrespective of whether they vote for or against a proposed Business Combination.</w:t>
      </w:r>
    </w:p>
    <w:p>
      <w:pPr>
        <w:spacing w:after="0" w:line="186" w:lineRule="exact"/>
        <w:rPr>
          <w:sz w:val="20"/>
          <w:szCs w:val="20"/>
          <w:color w:val="auto"/>
        </w:rPr>
      </w:pPr>
    </w:p>
    <w:p>
      <w:pPr>
        <w:jc w:val="both"/>
        <w:ind w:left="4"/>
        <w:spacing w:after="0" w:line="275" w:lineRule="auto"/>
        <w:rPr>
          <w:sz w:val="20"/>
          <w:szCs w:val="20"/>
          <w:color w:val="auto"/>
        </w:rPr>
      </w:pPr>
      <w:r>
        <w:rPr>
          <w:rFonts w:ascii="Arial" w:cs="Arial" w:eastAsia="Arial" w:hAnsi="Arial"/>
          <w:sz w:val="17"/>
          <w:szCs w:val="17"/>
          <w:color w:val="auto"/>
        </w:rPr>
        <w:t>Notwithstanding the foregoing, 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20% of the Public Shares without the Company’s prior written consent.</w:t>
      </w:r>
    </w:p>
    <w:p>
      <w:pPr>
        <w:spacing w:after="0" w:line="176" w:lineRule="exact"/>
        <w:rPr>
          <w:sz w:val="20"/>
          <w:szCs w:val="20"/>
          <w:color w:val="auto"/>
        </w:rPr>
      </w:pPr>
    </w:p>
    <w:p>
      <w:pPr>
        <w:ind w:left="4" w:right="240"/>
        <w:spacing w:after="0" w:line="291" w:lineRule="auto"/>
        <w:rPr>
          <w:sz w:val="20"/>
          <w:szCs w:val="20"/>
          <w:color w:val="auto"/>
        </w:rPr>
      </w:pPr>
      <w:r>
        <w:rPr>
          <w:rFonts w:ascii="Arial" w:cs="Arial" w:eastAsia="Arial" w:hAnsi="Arial"/>
          <w:sz w:val="16"/>
          <w:szCs w:val="16"/>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w:t>
      </w:r>
    </w:p>
    <w:p>
      <w:pPr>
        <w:ind w:left="4" w:right="200" w:hanging="4"/>
        <w:spacing w:after="0" w:line="253" w:lineRule="auto"/>
        <w:tabs>
          <w:tab w:leader="none" w:pos="2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modify the substance or timing of the Company’s obligation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in conjunction with any such amendment and (iii) to waive its rights to liquidating distributions from the Trust Account with respect to the Founder Shares if the Company fails to complete a Business Combination.</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04"/>
          </w:cols>
          <w:pgMar w:left="436" w:top="274" w:right="459" w:bottom="1440" w:gutter="0" w:footer="0" w:header="0"/>
        </w:sectPr>
      </w:pPr>
    </w:p>
    <w:bookmarkStart w:id="51" w:name="page52"/>
    <w:bookmarkEnd w:id="51"/>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have until August 25, 2022 (the “Combination Period”) to complete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w:t>
      </w:r>
    </w:p>
    <w:p>
      <w:pPr>
        <w:spacing w:after="0" w:line="165" w:lineRule="exact"/>
        <w:rPr>
          <w:sz w:val="20"/>
          <w:szCs w:val="20"/>
          <w:color w:val="auto"/>
        </w:rPr>
      </w:pPr>
    </w:p>
    <w:p>
      <w:pPr>
        <w:ind w:left="4" w:right="40"/>
        <w:spacing w:after="0" w:line="291" w:lineRule="auto"/>
        <w:rPr>
          <w:sz w:val="20"/>
          <w:szCs w:val="20"/>
          <w:color w:val="auto"/>
        </w:rPr>
      </w:pPr>
      <w:r>
        <w:rPr>
          <w:rFonts w:ascii="Arial" w:cs="Arial" w:eastAsia="Arial" w:hAnsi="Arial"/>
          <w:sz w:val="16"/>
          <w:szCs w:val="16"/>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7)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66" w:lineRule="exact"/>
        <w:rPr>
          <w:sz w:val="20"/>
          <w:szCs w:val="20"/>
          <w:color w:val="auto"/>
        </w:rPr>
      </w:pPr>
    </w:p>
    <w:p>
      <w:pPr>
        <w:ind w:left="4" w:right="40"/>
        <w:spacing w:after="0" w:line="287" w:lineRule="auto"/>
        <w:rPr>
          <w:sz w:val="20"/>
          <w:szCs w:val="20"/>
          <w:color w:val="auto"/>
        </w:rPr>
      </w:pPr>
      <w:r>
        <w:rPr>
          <w:rFonts w:ascii="Arial" w:cs="Arial" w:eastAsia="Arial" w:hAnsi="Arial"/>
          <w:sz w:val="16"/>
          <w:szCs w:val="16"/>
          <w:color w:val="auto"/>
        </w:rPr>
        <w:t>The Sponsor has agreed that it will be liable to the Company, if and to the extent any claims by a third party for services rendered or products sold to the Company, or by a prospective target business with which the Company has entered into a written letter of intent, confidentiality or other similar agreement or business combination agreement, reduce the amount of funds in the Trust Account to below the lesser of (1) $10.00 per Public Share and</w:t>
      </w:r>
    </w:p>
    <w:p>
      <w:pPr>
        <w:spacing w:after="0" w:line="2" w:lineRule="exact"/>
        <w:rPr>
          <w:sz w:val="20"/>
          <w:szCs w:val="20"/>
          <w:color w:val="auto"/>
        </w:rPr>
      </w:pPr>
    </w:p>
    <w:p>
      <w:pPr>
        <w:ind w:left="4" w:right="160" w:hanging="4"/>
        <w:spacing w:after="0" w:line="268" w:lineRule="auto"/>
        <w:tabs>
          <w:tab w:leader="none" w:pos="259"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actual amount per Public Share held in the Trust Account as of the date of the liquidation of the Trust Account, if less than $10.00 per Public Share due to reductions in the value of trust assets, less taxes payable. This liability will not apply to any claims by a third party or prospective target business who executed a waiver of any and all rights to the monies held in the Trust Account nor will it apply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public accountants), prospective target businesses or other entities with which the Company does business, execute agreements with the Company waiving any right, title, interest or claim of any kind in or to monies held in the Trust Account.</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Restatement of Previously Issued Financial Statements</w:t>
      </w:r>
    </w:p>
    <w:p>
      <w:pPr>
        <w:spacing w:after="0" w:line="117"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The Company has restated its consolidated financial statements as of December 31, 2020 and for the period from June 4, 2020 (inception) through December 31, 2020, as well as the unaudited condensed financial statements for the three months ended September 30, 2020 and for the period from June 4, 2020 (inception) through September 30, 2020, and the audited balance sheet as of August 25, 2020, to correct misstatements in those prior periods primarily related to misstatements identified in improperly applying accounting guidance on certain warrants, recognizing them as equity instead of a warrant liability, under the guidance of Accounting Standards Codification (“ASC”) 815-40, Contracts in Entity’s Own Equity.</w:t>
      </w:r>
    </w:p>
    <w:p>
      <w:pPr>
        <w:spacing w:after="0" w:line="161" w:lineRule="exact"/>
        <w:rPr>
          <w:sz w:val="20"/>
          <w:szCs w:val="20"/>
          <w:color w:val="auto"/>
        </w:rPr>
      </w:pPr>
    </w:p>
    <w:p>
      <w:pPr>
        <w:jc w:val="center"/>
        <w:ind w:right="396"/>
        <w:spacing w:after="0" w:line="449" w:lineRule="auto"/>
        <w:rPr>
          <w:sz w:val="20"/>
          <w:szCs w:val="20"/>
          <w:color w:val="auto"/>
        </w:rPr>
      </w:pPr>
      <w:r>
        <w:rPr>
          <w:rFonts w:ascii="Arial" w:cs="Arial" w:eastAsia="Arial" w:hAnsi="Arial"/>
          <w:sz w:val="18"/>
          <w:szCs w:val="18"/>
          <w:color w:val="auto"/>
        </w:rPr>
        <w:t>See Note 2 for additional information regarding the errors identified and the restatement adjustments made to the consolidated financial statements. F-9</w:t>
      </w:r>
    </w:p>
    <w:p>
      <w:pPr>
        <w:sectPr>
          <w:pgSz w:w="11900" w:h="16838" w:orient="portrait"/>
          <w:cols w:equalWidth="0" w:num="1">
            <w:col w:w="11004"/>
          </w:cols>
          <w:pgMar w:left="436" w:top="274"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Risks and Uncertainties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December 31, 2020, the Company had $697,957 in its operating bank accounts, $200,061,054 in securities held in the Trust Account to be used for a Business Combination or to repurchase or redeem its ordinary shares in connection therewith and working capital deficit of $1,336,251. As of December 31, 2020, approximately $61,000 of the amount on deposit in the Trust Account represented interest income, which is available to pay the Company’s tax obligations.</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will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August 25, 2022, the deadline to complete a Business Combination pursuant to the Company’s Amended and Restated Certificate of Incorporation (unless otherwise amended by stockholders). These financial statements do not include any adjustments relating to the recovery of the recorded assets or the classification of the liabilities that might be necessary should the Company be unable to continue as a going concern.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 OF PREVIOUSLY ISSUED AUDITED AND UNAUDITED FINANCIAL STATEMENTS</w:t>
      </w:r>
    </w:p>
    <w:p>
      <w:pPr>
        <w:spacing w:after="0" w:line="12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 May 2021, the Audit Committee of the Company’s Board of Directors, after considering the recommendations of management, concluded that, because of a misapplication of the accounting guidance related to its Warrants, the Company’s previously issued financial statements for the periods beginning June 4, 2020 (inception) through December 31, 2020 (collectively, the “Affected Periods”) should no longer be relied upon. As such, the Company is restating its consolidated financial statements for the Affected Periods.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April 12, 2021, the Staff of the SEC issued a public statement entitled “Staff Statement on Accounting and Reporting Considerations for Warrants issued by Special Purpose Acquisition Companies (“SPACs”)” (the “Staff Statement”). In the Staff Statement, the Staff of the SEC expressed its view that certain terms and conditions common to SPAC warrants may require the warrants to be classified as liabilities on the SPAC’s balance sheet as opposed to equity. Since issuance on August 25, 2020, the Company’s Warrants were accounted for as equity within the Company’s previously reported consolidated balance sheets. Accordingly, the consolidated statements of operations did not include any subsequent noncash changes in estimated fair value of the Warrants. The views expressed in the Staff Statement were not consistent with the Company’s historical interpretation of the specific provisions within its warrant agreement. In light of the Staff Statement, the Company reassessed its accounting for the Warrants and concluded that the Warrants should be presented as liabilities with subsequent fair value remeasurement.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0960"/>
          </w:cols>
          <w:pgMar w:left="440" w:top="274" w:right="499" w:bottom="1440" w:gutter="0" w:footer="0" w:header="0"/>
        </w:sectPr>
      </w:pPr>
    </w:p>
    <w:bookmarkStart w:id="53" w:name="page54"/>
    <w:bookmarkEnd w:id="5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warrant agreement governing the Warrants includes a provision (the “Replacement of Securities Upon Reorganization”), the application of which could result in a different settlement value for the Warrants depending on their holder. Because the holder of an instrument is not an input into the pricing of a fixed-for-fixed option on the Company’s ordinary shares, the Private Placement Warrants which contain this term could not be considered “indexed to the Company’s own stock.” In addition, the provision provides that in the event of a tender or exchange offer accepted by holders of more than 50% of the outstanding shares of the Company’s ordinary shares, all holders of the Warrants (both the Public Warrants and the Private Placement Warrants) would be entitled to receive cash for their Warrants. In other words, in the event of a qualifying cash tender offer (which could be outside of the Company’s control), all Warrant holders would be entitled to cash, while only certain of the holders of the Company’s ordinary shares would be entitled to cash. These provisions preclude the Company from classifying the Warrants in stockholders’ equity. As a result of these provisions, the Company has restated its consolidated financial statements to reflect the Company’s Warrants as a derivative liability with changes in fair value recorded in the current period earnings. In addition, a portion of offering costs were allocated to the Warrants and recognized in expense. The material terms of the Warrants are more fully described in Note 8.</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a reconciliation of the consolidated balance sheets, statements of operations and cash flows for the Affected Periods.</w:t>
      </w:r>
    </w:p>
    <w:p>
      <w:pPr>
        <w:spacing w:after="0" w:line="24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As Previously</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Restatement</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Reported</w:t>
            </w: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as of December 31, 2020</w:t>
            </w: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Public warrants derivative liability</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35,800,000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Private warrants derivative liability</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22,834,000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22,834,000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Total liabilities</w:t>
            </w:r>
          </w:p>
        </w:tc>
        <w:tc>
          <w:tcPr>
            <w:tcW w:w="960" w:type="dxa"/>
            <w:vAlign w:val="bottom"/>
          </w:tcPr>
          <w:p>
            <w:pPr>
              <w:jc w:val="right"/>
              <w:spacing w:after="0"/>
              <w:rPr>
                <w:sz w:val="20"/>
                <w:szCs w:val="20"/>
                <w:color w:val="auto"/>
              </w:rPr>
            </w:pPr>
            <w:r>
              <w:rPr>
                <w:rFonts w:ascii="Arial" w:cs="Arial" w:eastAsia="Arial" w:hAnsi="Arial"/>
                <w:sz w:val="18"/>
                <w:szCs w:val="18"/>
                <w:color w:val="auto"/>
              </w:rPr>
              <w:t>9,348,246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58,634,000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67,982,246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186,724,794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(58,633,991)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128,090,803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Class A ordinary shares</w:t>
            </w: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7,701,942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48,809,529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56,511,471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Accumulated Deficit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(2,702,566)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(48,810,124)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(51,512,690)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00" w:type="dxa"/>
            <w:vAlign w:val="bottom"/>
          </w:tcPr>
          <w:p>
            <w:pPr>
              <w:spacing w:after="0" w:line="198" w:lineRule="exact"/>
              <w:rPr>
                <w:sz w:val="20"/>
                <w:szCs w:val="20"/>
                <w:color w:val="auto"/>
              </w:rPr>
            </w:pPr>
            <w:r>
              <w:rPr>
                <w:rFonts w:ascii="Arial" w:cs="Arial" w:eastAsia="Arial" w:hAnsi="Arial"/>
                <w:sz w:val="18"/>
                <w:szCs w:val="18"/>
                <w:b w:val="1"/>
                <w:bCs w:val="1"/>
                <w:color w:val="auto"/>
              </w:rPr>
              <w:t>Statement of Operations for the period from June 4, 2020 (Inception)</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180"/>
              <w:spacing w:after="0"/>
              <w:rPr>
                <w:sz w:val="20"/>
                <w:szCs w:val="20"/>
                <w:color w:val="auto"/>
              </w:rPr>
            </w:pPr>
            <w:r>
              <w:rPr>
                <w:rFonts w:ascii="Arial" w:cs="Arial" w:eastAsia="Arial" w:hAnsi="Arial"/>
                <w:sz w:val="18"/>
                <w:szCs w:val="18"/>
                <w:b w:val="1"/>
                <w:bCs w:val="1"/>
                <w:color w:val="auto"/>
              </w:rPr>
              <w:t>through December 31, 2020</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(2,763,620)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(2,763,620)</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(48,439,000)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(48,439,000)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Allocated expense for warrant issuance cost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371,124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Total other income (expense)</w:t>
            </w:r>
          </w:p>
        </w:tc>
        <w:tc>
          <w:tcPr>
            <w:tcW w:w="960" w:type="dxa"/>
            <w:vAlign w:val="bottom"/>
          </w:tcPr>
          <w:p>
            <w:pPr>
              <w:jc w:val="right"/>
              <w:spacing w:after="0"/>
              <w:rPr>
                <w:sz w:val="20"/>
                <w:szCs w:val="20"/>
                <w:color w:val="auto"/>
              </w:rPr>
            </w:pPr>
            <w:r>
              <w:rPr>
                <w:rFonts w:ascii="Arial" w:cs="Arial" w:eastAsia="Arial" w:hAnsi="Arial"/>
                <w:sz w:val="18"/>
                <w:szCs w:val="18"/>
                <w:color w:val="auto"/>
              </w:rPr>
              <w:t>61,054</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(48,810,124)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(48,749,070)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(2,702,566)</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(48,810,124)</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(51,512,690)</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Basic and diluted net loss per share, ordinary shares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(0.45)</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(13.07)</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Statement of Cash Flows for the period from June 4, 2020 (Inception)</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through December 31, 2020</w:t>
            </w: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(2,702,566)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(48,810,124)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(51,512,690)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costs related to warrant liability</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371,124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48,439,000</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48,439,000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590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As</w:t>
            </w: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Restatement</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Previously</w:t>
            </w:r>
          </w:p>
        </w:tc>
        <w:tc>
          <w:tcPr>
            <w:tcW w:w="11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Reported</w:t>
            </w: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as of September 30, 2020</w:t>
            </w: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Public warrants derivative liability</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5,100,000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Private warrants derivative liability</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3,024,141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Total liabilities</w:t>
            </w:r>
          </w:p>
        </w:tc>
        <w:tc>
          <w:tcPr>
            <w:tcW w:w="960" w:type="dxa"/>
            <w:vAlign w:val="bottom"/>
          </w:tcPr>
          <w:p>
            <w:pPr>
              <w:jc w:val="right"/>
              <w:spacing w:after="0"/>
              <w:rPr>
                <w:sz w:val="20"/>
                <w:szCs w:val="20"/>
                <w:color w:val="auto"/>
              </w:rPr>
            </w:pPr>
            <w:r>
              <w:rPr>
                <w:rFonts w:ascii="Arial" w:cs="Arial" w:eastAsia="Arial" w:hAnsi="Arial"/>
                <w:sz w:val="18"/>
                <w:szCs w:val="18"/>
                <w:color w:val="auto"/>
              </w:rPr>
              <w:t>7,100,100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8,124,141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15,224,241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189,367,849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(8,124,135)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181,243,714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Class A ordinary shares</w:t>
            </w: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5,058,839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(1,699,823)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3,359,016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Retained Earnings (Accumulated Deficit)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(59,514)</w:t>
            </w:r>
          </w:p>
        </w:tc>
        <w:tc>
          <w:tcPr>
            <w:tcW w:w="920" w:type="dxa"/>
            <w:vAlign w:val="bottom"/>
          </w:tcPr>
          <w:p>
            <w:pPr>
              <w:jc w:val="right"/>
              <w:spacing w:after="0"/>
              <w:rPr>
                <w:sz w:val="20"/>
                <w:szCs w:val="20"/>
                <w:color w:val="auto"/>
              </w:rPr>
            </w:pPr>
            <w:r>
              <w:rPr>
                <w:rFonts w:ascii="Arial" w:cs="Arial" w:eastAsia="Arial" w:hAnsi="Arial"/>
                <w:sz w:val="18"/>
                <w:szCs w:val="18"/>
                <w:color w:val="auto"/>
              </w:rPr>
              <w:t>1,699,735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1,640,221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900" w:type="dxa"/>
            <w:vAlign w:val="bottom"/>
          </w:tcPr>
          <w:p>
            <w:pPr>
              <w:ind w:left="4460"/>
              <w:spacing w:after="0"/>
              <w:rPr>
                <w:sz w:val="20"/>
                <w:szCs w:val="20"/>
                <w:color w:val="auto"/>
              </w:rPr>
            </w:pPr>
            <w:r>
              <w:rPr>
                <w:rFonts w:ascii="Arial" w:cs="Arial" w:eastAsia="Arial" w:hAnsi="Arial"/>
                <w:sz w:val="18"/>
                <w:szCs w:val="18"/>
                <w:color w:val="auto"/>
              </w:rPr>
              <w:t>F-11</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4" w:right="459" w:bottom="144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880" w:type="dxa"/>
        <w:tblCellMar>
          <w:top w:w="0" w:type="dxa"/>
          <w:left w:w="0" w:type="dxa"/>
          <w:bottom w:w="0" w:type="dxa"/>
          <w:right w:w="0" w:type="dxa"/>
        </w:tblCellMar>
      </w:tblPr>
      <w:tr>
        <w:trPr>
          <w:trHeight w:val="20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for the period from June 4, 2020 (inception)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through September 30, 2020</w:t>
            </w: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(61,266)</w:t>
            </w:r>
          </w:p>
        </w:tc>
        <w:tc>
          <w:tcPr>
            <w:tcW w:w="140" w:type="dxa"/>
            <w:vAlign w:val="bottom"/>
          </w:tcPr>
          <w:p>
            <w:pPr>
              <w:spacing w:after="0"/>
              <w:rPr>
                <w:sz w:val="18"/>
                <w:szCs w:val="18"/>
                <w:color w:val="auto"/>
              </w:rPr>
            </w:pPr>
          </w:p>
        </w:tc>
        <w:tc>
          <w:tcPr>
            <w:tcW w:w="12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(61,266)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2,070,859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2,070,859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Allocated expense for warrant issuance cost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371,124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371,124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1,699,735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1,701,487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(59,514)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1,699,735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1,640,221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 net (loss) per share, ordinary shares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w w:val="96"/>
              </w:rPr>
              <w:t>Statement of Operations for the three months ended September 30, 2020</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(56,266)</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(56,266)</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2,070,859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2,070,859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Allocated expense for warrant issuance cost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371,124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Total other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1,752</w:t>
            </w: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1,699,735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1,701,487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1,699,735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1,645,221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Basic and diluted net loss per share, ordinary shares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98"/>
        </w:trPr>
        <w:tc>
          <w:tcPr>
            <w:tcW w:w="60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Statement of Cash Flows for the period from June 4, 2020 (inception)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through September 30, 2020</w:t>
            </w: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(59,514)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1,699,735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1,640,221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costs related to warrant liability</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371,124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(2,070,859)</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(2,070,859)</w:t>
            </w:r>
          </w:p>
        </w:tc>
        <w:tc>
          <w:tcPr>
            <w:tcW w:w="0" w:type="dxa"/>
            <w:vAlign w:val="bottom"/>
          </w:tcPr>
          <w:p>
            <w:pPr>
              <w:spacing w:after="0"/>
              <w:rPr>
                <w:sz w:val="1"/>
                <w:szCs w:val="1"/>
                <w:color w:val="auto"/>
              </w:rPr>
            </w:pPr>
          </w:p>
        </w:tc>
      </w:tr>
      <w:tr>
        <w:trPr>
          <w:trHeight w:val="350"/>
        </w:trPr>
        <w:tc>
          <w:tcPr>
            <w:tcW w:w="60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As of August 25, 2020</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000" w:type="dxa"/>
            <w:vAlign w:val="bottom"/>
          </w:tcPr>
          <w:p>
            <w:pPr>
              <w:spacing w:after="0"/>
              <w:rPr>
                <w:sz w:val="10"/>
                <w:szCs w:val="10"/>
                <w:color w:val="auto"/>
              </w:rPr>
            </w:pPr>
          </w:p>
        </w:tc>
        <w:tc>
          <w:tcPr>
            <w:tcW w:w="9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As</w:t>
            </w:r>
          </w:p>
        </w:tc>
        <w:tc>
          <w:tcPr>
            <w:tcW w:w="140" w:type="dxa"/>
            <w:vAlign w:val="bottom"/>
          </w:tcPr>
          <w:p>
            <w:pPr>
              <w:spacing w:after="0"/>
              <w:rPr>
                <w:sz w:val="10"/>
                <w:szCs w:val="10"/>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Restatement</w:t>
            </w: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Previously</w:t>
            </w:r>
          </w:p>
        </w:tc>
        <w:tc>
          <w:tcPr>
            <w:tcW w:w="1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Reported</w:t>
            </w:r>
          </w:p>
        </w:tc>
        <w:tc>
          <w:tcPr>
            <w:tcW w:w="140" w:type="dxa"/>
            <w:vAlign w:val="bottom"/>
          </w:tcPr>
          <w:p>
            <w:pPr>
              <w:spacing w:after="0"/>
              <w:rPr>
                <w:sz w:val="14"/>
                <w:szCs w:val="14"/>
                <w:color w:val="auto"/>
              </w:rPr>
            </w:pP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Adjustment</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96"/>
        </w:trPr>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Public warrants derivative liability</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Private warrants derivative liability</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3,795,000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Total liabilities</w:t>
            </w:r>
          </w:p>
        </w:tc>
        <w:tc>
          <w:tcPr>
            <w:tcW w:w="840" w:type="dxa"/>
            <w:vAlign w:val="bottom"/>
          </w:tcPr>
          <w:p>
            <w:pPr>
              <w:jc w:val="right"/>
              <w:spacing w:after="0"/>
              <w:rPr>
                <w:sz w:val="20"/>
                <w:szCs w:val="20"/>
                <w:color w:val="auto"/>
              </w:rPr>
            </w:pPr>
            <w:r>
              <w:rPr>
                <w:rFonts w:ascii="Arial" w:cs="Arial" w:eastAsia="Arial" w:hAnsi="Arial"/>
                <w:sz w:val="18"/>
                <w:szCs w:val="18"/>
                <w:color w:val="auto"/>
              </w:rPr>
              <w:t>8,191,331</w:t>
            </w: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10,195,000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18,386,331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40" w:type="dxa"/>
            <w:vAlign w:val="bottom"/>
          </w:tcPr>
          <w:p>
            <w:pPr>
              <w:jc w:val="right"/>
              <w:spacing w:after="0"/>
              <w:rPr>
                <w:sz w:val="20"/>
                <w:szCs w:val="20"/>
                <w:color w:val="auto"/>
              </w:rPr>
            </w:pPr>
            <w:r>
              <w:rPr>
                <w:rFonts w:ascii="Arial" w:cs="Arial" w:eastAsia="Arial" w:hAnsi="Arial"/>
                <w:sz w:val="18"/>
                <w:szCs w:val="18"/>
                <w:color w:val="auto"/>
              </w:rPr>
              <w:t>5,004,328</w:t>
            </w: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371,013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5,375,341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(371,124)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(376,124)</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840" w:type="dxa"/>
            <w:vAlign w:val="bottom"/>
          </w:tcPr>
          <w:p>
            <w:pPr>
              <w:jc w:val="right"/>
              <w:spacing w:after="0"/>
              <w:rPr>
                <w:sz w:val="20"/>
                <w:szCs w:val="20"/>
                <w:color w:val="auto"/>
              </w:rPr>
            </w:pPr>
            <w:r>
              <w:rPr>
                <w:rFonts w:ascii="Arial" w:cs="Arial" w:eastAsia="Arial" w:hAnsi="Arial"/>
                <w:sz w:val="18"/>
                <w:szCs w:val="18"/>
                <w:color w:val="auto"/>
              </w:rPr>
              <w:t>5,000,009</w:t>
            </w:r>
          </w:p>
        </w:tc>
        <w:tc>
          <w:tcPr>
            <w:tcW w:w="60" w:type="dxa"/>
            <w:vAlign w:val="bottom"/>
          </w:tcPr>
          <w:p>
            <w:pPr>
              <w:spacing w:after="0"/>
              <w:rPr>
                <w:sz w:val="20"/>
                <w:szCs w:val="20"/>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accompanying consolidated financial statements are presented in conformity with accounting principles generally accepted in the United States of America (“GAAP”) and pursuant to the rules and regulations of the SEC.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 owned subsidiary where the Company has the ability to exercise control. All significant intercompany balances and transactions have been eliminated in consolidation. Activities in relation to the non-controlling interest are not considered to be significant and are, therefore, not presented in the accompanying consolidated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00"/>
          </w:cols>
          <w:pgMar w:left="440" w:top="279" w:right="459" w:bottom="1440" w:gutter="0" w:footer="0" w:header="0"/>
        </w:sectPr>
      </w:pPr>
    </w:p>
    <w:bookmarkStart w:id="55" w:name="page56"/>
    <w:bookmarkEnd w:id="55"/>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w:t>
      </w:r>
    </w:p>
    <w:p>
      <w:pPr>
        <w:spacing w:after="0" w:line="18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2020, substantially all of the assets held in the Trust Account were held in money market funds, which primarily invest in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Treasury Bills.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 Associated with the Public Offering</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Offering costs consist of legal, accounting, underwriting fees and other costs that were directly related to the Public Offering. Offering costs related to the issuance of shares were recognized in shareholders’ equity while costs associated with the warrant liabilities were expensed in the Company’s consolidated statements of operations upon the completion of the Public Offering in August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balance sheet.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0980"/>
          </w:cols>
          <w:pgMar w:left="440" w:top="274" w:right="4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Warrant Liability</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ASC 480, Distinguishing Liabilities from Equity and ASC 815, Derivatives and Hedging.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Company accounts for warrants for shares of the Company’s Class A common stock as derivative liabilities held at fair value on the balance sheet. The warrants are subject to remeasurement at each balance sheet date and any change in fair value is recognized as a change in fair value of warrant liabilities expense in the Company’s consolidated statements of operations. The Company will continue to adjust the liability for changes in fair value until the earlier of the exercise or expiration of the warrants. At that time, the warrant liability will be reclassified to additional paid-in capital.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accounts for income taxes under ASC 740, “Income Taxes” (“ASC 740”).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income (loss) per ordinary share is computed by dividing net income (loss) by the weighted-average number of ordinary shares outstanding during the period. The Company has not considered the effect of the warrants sold in the Public Offering and Private Placement to purchase an aggregate of 16,000,000 shares in the calculation of diluted loss per share, since the exercise of the warrants are contingent upon the occurrence of future events and the inclusion of such warrants would be anti-dilutive.</w:t>
      </w:r>
    </w:p>
    <w:p>
      <w:pPr>
        <w:spacing w:after="0" w:line="18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Company’s statement of operations includes a presentation of income per share for Class A ordinary shares in a manner similar to the two-class method of income per ordinary share. Net income per ordinary share, basic and diluted, for Class A Ordinary shares is calculated by dividing the proportionate share of income on marketable securities held by the Trust Account by the weighted average number of Class A Ordinary shares outstanding since original issuance.</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Net loss per share, basic and diluted, for Class B ordinary shares is calculated by dividing the net loss, adjusted for income on marketable securities attributable to Class A Ordinary shares, by the weighted average number of Class B ordinary shares outstanding for the period.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00"/>
          </w:cols>
          <w:pgMar w:left="440" w:top="274" w:right="45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reflects the calculation of basic and diluted net income (loss) per ordinary share (in dollars, except per share amounts):</w:t>
      </w:r>
    </w:p>
    <w:p>
      <w:pPr>
        <w:spacing w:after="0" w:line="24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June 4, 2020</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gridSpan w:val="3"/>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7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Class A Ordinary shares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Numerator: Earnings allocable to Class A Ordinary shares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54,051</w:t>
            </w:r>
          </w:p>
        </w:tc>
        <w:tc>
          <w:tcPr>
            <w:tcW w:w="0" w:type="dxa"/>
            <w:vAlign w:val="bottom"/>
          </w:tcPr>
          <w:p>
            <w:pPr>
              <w:spacing w:after="0"/>
              <w:rPr>
                <w:sz w:val="1"/>
                <w:szCs w:val="1"/>
                <w:color w:val="auto"/>
              </w:rPr>
            </w:pPr>
          </w:p>
        </w:tc>
      </w:tr>
      <w:tr>
        <w:trPr>
          <w:trHeight w:val="223"/>
        </w:trPr>
        <w:tc>
          <w:tcPr>
            <w:tcW w:w="5700" w:type="dxa"/>
            <w:vAlign w:val="bottom"/>
          </w:tcPr>
          <w:p>
            <w:pPr>
              <w:ind w:left="360"/>
              <w:spacing w:after="0"/>
              <w:rPr>
                <w:sz w:val="20"/>
                <w:szCs w:val="20"/>
                <w:color w:val="auto"/>
              </w:rPr>
            </w:pPr>
            <w:r>
              <w:rPr>
                <w:rFonts w:ascii="Arial" w:cs="Arial" w:eastAsia="Arial" w:hAnsi="Arial"/>
                <w:sz w:val="18"/>
                <w:szCs w:val="18"/>
                <w:color w:val="auto"/>
              </w:rPr>
              <w:t>Unrealized gain on investments held in Trust Account</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allocable to Class A Ordinary shares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56,982</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Denominator: Weighted Average Class A Ordinary</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13,913,043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Basic and diluted net income per share</w:t>
            </w: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Numerator: Net Loss minus Net Earnings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(51,512,690)</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Less: Net income allocable to Class A Ordinary Shares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(56,982)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Accretion of Class A Ordinary Shares to redemption value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(16,012,881)</w:t>
            </w:r>
          </w:p>
        </w:tc>
        <w:tc>
          <w:tcPr>
            <w:tcW w:w="0" w:type="dxa"/>
            <w:vAlign w:val="bottom"/>
          </w:tcPr>
          <w:p>
            <w:pPr>
              <w:spacing w:after="0"/>
              <w:rPr>
                <w:sz w:val="1"/>
                <w:szCs w:val="1"/>
                <w:color w:val="auto"/>
              </w:rPr>
            </w:pPr>
          </w:p>
        </w:tc>
      </w:tr>
      <w:tr>
        <w:trPr>
          <w:trHeight w:val="223"/>
        </w:trPr>
        <w:tc>
          <w:tcPr>
            <w:tcW w:w="5700" w:type="dxa"/>
            <w:vAlign w:val="bottom"/>
          </w:tcPr>
          <w:p>
            <w:pPr>
              <w:ind w:left="720"/>
              <w:spacing w:after="0"/>
              <w:rPr>
                <w:sz w:val="20"/>
                <w:szCs w:val="20"/>
                <w:color w:val="auto"/>
              </w:rPr>
            </w:pPr>
            <w:r>
              <w:rPr>
                <w:rFonts w:ascii="Arial" w:cs="Arial" w:eastAsia="Arial" w:hAnsi="Arial"/>
                <w:sz w:val="18"/>
                <w:szCs w:val="18"/>
                <w:color w:val="auto"/>
              </w:rPr>
              <w:t>Net Loss attributable to Class B Ordinary Shares</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(67,582,553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 Average Class B Ordinary Shares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Class B Ordinary Share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As of December 31, 2020, the Company has not experienced losses on this account and management believes the Company is not exposed to significant risks on such account.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consolidated balance sheet, primarily due to their short-term nature.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INITIAL PUBLIC OFFERING</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Initial Public Offering, the Company sold 20,000,000 Units, at a purchase price of $10.00 per Unit. Each Unit consists of one Class A ordinary share and one-half of one redeemable Public Warrant. Each whole Public Warrant entitles the holder to purchase one Class A ordinary share at an exercise price of $11.50 per share, subject to adjustment (see Note 8).</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0900"/>
          </w:cols>
          <w:pgMar w:left="440" w:top="274" w:right="559" w:bottom="1440" w:gutter="0" w:footer="0" w:header="0"/>
        </w:sectPr>
      </w:pPr>
    </w:p>
    <w:bookmarkStart w:id="58" w:name="page59"/>
    <w:bookmarkEnd w:id="5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5. PRIVATE PLACEMENT</w:t>
      </w:r>
    </w:p>
    <w:p>
      <w:pPr>
        <w:spacing w:after="0" w:line="12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6,000,000 Private Placement Warrants at a price of $1.00 per Private Placement Warrant, for an aggregate purchase price of $6,000,000. Each Private Placement Warrant is exercisable for one Class A ordinary share at a price of $11.50 per share, subject to adjustment (see Note 8). The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6. RELATED PARTY TRANSACTIONS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4" w:right="260"/>
        <w:spacing w:after="0" w:line="293" w:lineRule="auto"/>
        <w:rPr>
          <w:sz w:val="20"/>
          <w:szCs w:val="20"/>
          <w:color w:val="auto"/>
        </w:rPr>
      </w:pPr>
      <w:r>
        <w:rPr>
          <w:rFonts w:ascii="Arial" w:cs="Arial" w:eastAsia="Arial" w:hAnsi="Arial"/>
          <w:sz w:val="16"/>
          <w:szCs w:val="16"/>
          <w:color w:val="auto"/>
        </w:rPr>
        <w:t>On June 30, 2020, the Sponsor paid an aggregate of $25,000 to cover certain offering costs of the Company in consideration for 5,750,000 of the Company’s Class B ordinary shares (the “Founder Shares”). The Founder Shares included an aggregate of up to 750,000 shares that were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On October 9, 2020, the underwriters’ election to exercise their over-allotment option expired unexercised, resulting in the forfeiture of 750,000 Founder Shares. Accordingly, as of December 31, 2020, there are 5,000,000 Founder Shares issued and outstanding (see Note 8).</w:t>
      </w:r>
    </w:p>
    <w:p>
      <w:pPr>
        <w:spacing w:after="0" w:line="164" w:lineRule="exact"/>
        <w:rPr>
          <w:sz w:val="20"/>
          <w:szCs w:val="20"/>
          <w:color w:val="auto"/>
        </w:rPr>
      </w:pPr>
    </w:p>
    <w:p>
      <w:pPr>
        <w:ind w:left="4" w:right="120"/>
        <w:spacing w:after="0" w:line="275"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to occur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amalgamation, share exchange, reorganization</w:t>
      </w:r>
    </w:p>
    <w:p>
      <w:pPr>
        <w:spacing w:after="0" w:line="176" w:lineRule="exact"/>
        <w:rPr>
          <w:sz w:val="20"/>
          <w:szCs w:val="20"/>
          <w:color w:val="auto"/>
        </w:rPr>
      </w:pPr>
    </w:p>
    <w:p>
      <w:pPr>
        <w:ind w:left="4" w:right="640"/>
        <w:spacing w:after="0" w:line="277" w:lineRule="auto"/>
        <w:rPr>
          <w:sz w:val="20"/>
          <w:szCs w:val="20"/>
          <w:color w:val="auto"/>
        </w:rPr>
      </w:pPr>
      <w:r>
        <w:rPr>
          <w:rFonts w:ascii="Arial" w:cs="Arial" w:eastAsia="Arial" w:hAnsi="Arial"/>
          <w:sz w:val="18"/>
          <w:szCs w:val="18"/>
          <w:color w:val="auto"/>
        </w:rPr>
        <w:t>or other similar transaction that results in all of the Company’s shareholders having the right to exchange their Class A ordinary shares for cash, securities or other property.</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jc w:val="both"/>
        <w:ind w:left="4" w:right="160"/>
        <w:spacing w:after="0" w:line="259" w:lineRule="auto"/>
        <w:rPr>
          <w:sz w:val="20"/>
          <w:szCs w:val="20"/>
          <w:color w:val="auto"/>
        </w:rPr>
      </w:pPr>
      <w:r>
        <w:rPr>
          <w:rFonts w:ascii="Arial" w:cs="Arial" w:eastAsia="Arial" w:hAnsi="Arial"/>
          <w:sz w:val="18"/>
          <w:szCs w:val="18"/>
          <w:color w:val="auto"/>
        </w:rPr>
        <w:t>The Company entered into an agreement whereby, commencing on August 21, 2020, the Company will pay the Sponsor $10,000 per month for office space, utilities, secretarial and administrative support services. Upon completion of a Business Combination or its liquidation, the Company will cease paying these monthly fees. For the period from June 4, 2020 (inception) through December 31, 2020, the Company incurred and paid $40,000 of such fees.</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Due to Sponsor</w:t>
      </w:r>
    </w:p>
    <w:p>
      <w:pPr>
        <w:spacing w:after="0" w:line="117" w:lineRule="exact"/>
        <w:rPr>
          <w:sz w:val="20"/>
          <w:szCs w:val="20"/>
          <w:color w:val="auto"/>
        </w:rPr>
      </w:pPr>
    </w:p>
    <w:p>
      <w:pPr>
        <w:ind w:left="4" w:right="40"/>
        <w:spacing w:after="0" w:line="311" w:lineRule="auto"/>
        <w:rPr>
          <w:sz w:val="20"/>
          <w:szCs w:val="20"/>
          <w:color w:val="auto"/>
        </w:rPr>
      </w:pPr>
      <w:r>
        <w:rPr>
          <w:rFonts w:ascii="Arial" w:cs="Arial" w:eastAsia="Arial" w:hAnsi="Arial"/>
          <w:sz w:val="16"/>
          <w:szCs w:val="16"/>
          <w:color w:val="auto"/>
        </w:rPr>
        <w:t>The Sponsor advanced $600,000 to the Company in anticipation of the amount to be paid for the purchase of additional Private Placement Units in the event the underwriters’ exercised their over-allotment option. The advance was due on demand should the over-allotment option not be exercised by the underwriters. On September 23, 2020, the $600,000 was returned to the Sponsor as the over-allotment option was not exercised.</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17" w:lineRule="exact"/>
        <w:rPr>
          <w:sz w:val="20"/>
          <w:szCs w:val="20"/>
          <w:color w:val="auto"/>
        </w:rPr>
      </w:pPr>
    </w:p>
    <w:p>
      <w:pPr>
        <w:ind w:left="4" w:right="140"/>
        <w:spacing w:after="0" w:line="291" w:lineRule="auto"/>
        <w:rPr>
          <w:sz w:val="20"/>
          <w:szCs w:val="20"/>
          <w:color w:val="auto"/>
        </w:rPr>
      </w:pPr>
      <w:r>
        <w:rPr>
          <w:rFonts w:ascii="Arial" w:cs="Arial" w:eastAsia="Arial" w:hAnsi="Arial"/>
          <w:sz w:val="16"/>
          <w:szCs w:val="16"/>
          <w:color w:val="auto"/>
        </w:rPr>
        <w:t>On June 30, 2020, the Sponsor agreed to loan the Company up to an aggregate amount of $300,000 to be used, in part, for transaction costs incurred in connection with the Initial Public Offering (the “Promissory Note”). The Promissory Note was non-interest bearing and payable on the earlier of</w:t>
      </w:r>
    </w:p>
    <w:p>
      <w:pPr>
        <w:ind w:left="4" w:right="420" w:hanging="4"/>
        <w:spacing w:after="0" w:line="260" w:lineRule="auto"/>
        <w:tabs>
          <w:tab w:leader="none" w:pos="2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December 31, 2020 and (ii) the completion of the Initial Public Offering. The outstanding balance under the Note of $126,005 was repaid at the closing of the Initial Public Offering on August 25, 2020.</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0984"/>
          </w:cols>
          <w:pgMar w:left="436" w:top="270" w:right="4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Private Placement Warrants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Simultaneously with the closing of the Public Offering, the Sponsor purchased an 6,000,000 Private Placement Warrants at a price of $1.0 per Private Placement Warrant, generating gross proceeds of $6,000,000.</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Each whole Private Placement Warrant is exercisable for one whole share of Class A common stock at a price of $11.50 per share. A portion of the proceeds from the sale of the Private Placement Warrants to the Sponsor was added to the proceeds from the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Business Combination.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Pursuant to a registration rights agreement entered into on August 20, 2020, the holders of the Founder Shares, Private Placement Warrants and warrants that may be issued upon conversion of the Working Capital Loans (and any Class A ordinary shares issuable upon the exercise of the Private Placement Warrants and warrants that may be issued upon conversion of Working Capital Loans and upon conversion of the Founder Shares) are entitled to registration rights requiring the Company to register a sale of any of the securities held by them, including any other securities of the Company acquired by them prior to the consummation of the Company’s initial Business Combination.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underwriters are entitled to a deferred fee of $0.35 per Unit, or $7,000,000 in the aggregate. A portion of such amount not to exceed 40% of the total amount of deferred underwriting commissions held in the Trust Account may be paid at the sole discretion of the Company to parties who may or may not participate in the Initial Public Offering (but who are members of FINRA) that assist the Company in consummating a Business Combination. The election to make such payments to such parties will be solely at the discretion of the Company’s management team. The deferred fee will become payable to the underwriters from the amounts held in the Trust Account solely in the event that the Company completes a Business Combination, subject to the terms of the underwriting agreement.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and Consulting Agreements</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On December 4, 2020, the Company entered into an agreement with a service provider, pursuant to which the service provider will serve as the placement agent for the Company in connection with a proposed private placement (the “Proposed Transaction”) of the Company’s equity or equity-linked securities (the “Equity Securities”).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00"/>
          </w:cols>
          <w:pgMar w:left="440" w:top="274" w:right="459" w:bottom="1440" w:gutter="0" w:footer="0" w:header="0"/>
        </w:sectPr>
      </w:pPr>
    </w:p>
    <w:bookmarkStart w:id="60" w:name="page61"/>
    <w:bookmarkEnd w:id="60"/>
    <w:p>
      <w:pPr>
        <w:ind w:right="5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agreed to pay the service provider a cash fee of equal to 50% of 3.5% of the gross proceeds of the total fair market of the Equity Securities sold in the Proposed Transaction subject to a minimum fee of $1,000,000 and reimbursable expenses not to exceed $50,000 without the Company’s prior written consent. As of December 31, 2020, no amounts were incurred under this agreement.</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4, 2020, the Company entered into an agreement with a service provider, pursuant to which the service provider will serve as media relations, due diligence, and transaction prep for the Company in connection with a proposed business combination. The Company agreed to pay the service provider a cash fee of (i) $15,000 per month until the consummation of a Business Combination, (ii) $200,000 payable only upon consummation of a Business Combination and (iii) a discretionary performance bonus in the amount of $200,000 upon the consummation of the Business Combination, at the sole discretion of the Company. As of December 31, 2020, the Company incurred $4,839 under this agreement, of which is included in accrued expenses in the accompanying balance sheet.</w:t>
      </w:r>
    </w:p>
    <w:p>
      <w:pPr>
        <w:spacing w:after="0" w:line="192"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On December 5, 2020, the Company entered into an agreement with a service provider, pursuant to which the service provider will serve as the co-placement agent for the Company in connection with a proposed private placement (the “Transaction”) of the Company’s equity or equity-linked securities (the “Securities”). The Company agreed to pay the service provider a cash fee of $2,800,000, payable at the closing of the Business Combination and a cash fee equal to 50% of 3.5% of the gross proceeds of the total Securities sold in the Transaction subject to a minimum fee of $2,200,000. As of December 31, 2020, no amounts were incurred under this agreement.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December 21, 2020, the Company entered into the Merger Agreement, with Merger Sub and Ouster, relating to a proposed business combination transaction between the Company and Ouster.</w:t>
      </w:r>
    </w:p>
    <w:p>
      <w:pPr>
        <w:spacing w:after="0" w:line="170"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Pursuant to the Merger Agreement, Merger Sub will merge with and into Ouster, the separate corporate existence of Merger Sub will cease and Ouster will be the surviving corporation and a wholly owned subsidiary of the Company and will be renamed Ouster Inc.</w:t>
      </w:r>
    </w:p>
    <w:p>
      <w:pPr>
        <w:spacing w:after="0" w:line="17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As a result of the Merger, among other things, all outstanding shares of capital stock of Ouster will be cancelled in exchange for the right to receive, in the aggregate, a number of shares of Ouster PubCo common stock (as defined in the Merger Agreement) equal to the quotient obtained by dividing (x) $1,500,000,000 by (y) $10.00.</w:t>
      </w:r>
    </w:p>
    <w:p>
      <w:pPr>
        <w:spacing w:after="0" w:line="18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SHAREHOLDERS’ EQUITY</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i w:val="1"/>
          <w:iCs w:val="1"/>
          <w:color w:val="auto"/>
        </w:rPr>
        <w:t>Preference Shares</w:t>
      </w:r>
      <w:r>
        <w:rPr>
          <w:rFonts w:ascii="Arial" w:cs="Arial" w:eastAsia="Arial" w:hAnsi="Arial"/>
          <w:sz w:val="16"/>
          <w:szCs w:val="16"/>
          <w:color w:val="auto"/>
        </w:rPr>
        <w:t>—The Company is authorized to issue 1,000,000 preference shares with a par value of $0.0001. The Company’s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preference shares with voting and other rights that could adversely affect the voting power and other rights of the holders of the ordinary shares and could have anti-takeover effects. At December 31, 2020, there were no preference shares issued or outstanding.</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Class A Ordinary Shares</w:t>
      </w:r>
      <w:r>
        <w:rPr>
          <w:rFonts w:ascii="Arial" w:cs="Arial" w:eastAsia="Arial" w:hAnsi="Arial"/>
          <w:sz w:val="18"/>
          <w:szCs w:val="18"/>
          <w:color w:val="auto"/>
        </w:rPr>
        <w:t>—The Company is authorized to issue 200,000,000 Class A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ordinary shares are entitled to one vote for each share. At December 31, 2020, there were 7,194,829 Class A ordinary shares issued and outstanding, excluding 12,805,171 Class A ordinary shares subject to possible redemption.</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Class B Ordinary Shares</w:t>
      </w:r>
      <w:r>
        <w:rPr>
          <w:rFonts w:ascii="Arial" w:cs="Arial" w:eastAsia="Arial" w:hAnsi="Arial"/>
          <w:sz w:val="18"/>
          <w:szCs w:val="18"/>
          <w:color w:val="auto"/>
        </w:rPr>
        <w:t>—The Company is authorized to issue 20,000,000 Class B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Class B ordinary shares are entitled to one vote for each share. At December 31, 2020, there were 5,000,000 Class B ordinary shares issued and outstanding.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00"/>
          </w:cols>
          <w:pgMar w:left="440" w:top="274" w:right="459" w:bottom="1440" w:gutter="0" w:footer="0" w:header="0"/>
        </w:sectPr>
      </w:pPr>
    </w:p>
    <w:bookmarkStart w:id="61" w:name="page62"/>
    <w:bookmarkEnd w:id="61"/>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Only holders of the Class B ordinary shares will have the right to vote on the election of directors prior to the Business Combination. Holders of Class A ordinary shares and holders of Class B ordinary shares will vote together as a single class on all other matters submitted to a vote of the Company’s shareholders except as otherwise required by law.</w:t>
      </w:r>
    </w:p>
    <w:p>
      <w:pPr>
        <w:spacing w:after="0" w:line="18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Class B ordinary shares will automatically convert into Class A ordinary shares concurrently with or immediately following the completion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—Public Warrants may only be exercised for a whole number of shares. No fractional warrants will be issued upon separation of the Units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whole warrants will trade.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18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will not be obligated to deliver any Class A ordinary shares pursuant to the exercise of a Public Warrant and will have no obligation to settle such Public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In addition, if the Class A ordinary shares are at the time of any exercise of a warrant not listed on a national securities exchange such that they satisfy the definition of a “covered security” under Section 18(b)(1) of the Securities Act, the Company may, at its option, require holders of the Public Warrants who exercise their warrants to do so on a “cashless basis” in accordance with Section 3(a)(9) of the Securities Act and, in the event the Company elects to do so, the Company will not be required to file or maintain in effect a registration statement, but it will use its best efforts to register or qualify the shares under applicable blue sky laws to the extent an exemption is not available.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outstanding Public Warrants:</w:t>
      </w:r>
    </w:p>
    <w:p>
      <w:pPr>
        <w:spacing w:after="0" w:line="131" w:lineRule="exact"/>
        <w:rPr>
          <w:sz w:val="20"/>
          <w:szCs w:val="20"/>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30" w:lineRule="exact"/>
        <w:rPr>
          <w:rFonts w:ascii="Arial" w:cs="Arial" w:eastAsia="Arial" w:hAnsi="Arial"/>
          <w:sz w:val="18"/>
          <w:szCs w:val="18"/>
          <w:color w:val="auto"/>
        </w:rPr>
      </w:pPr>
    </w:p>
    <w:p>
      <w:pPr>
        <w:ind w:left="5340" w:right="3480" w:hanging="4804"/>
        <w:spacing w:after="0" w:line="449" w:lineRule="auto"/>
        <w:tabs>
          <w:tab w:leader="none" w:pos="9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 F-19</w:t>
      </w:r>
    </w:p>
    <w:p>
      <w:pPr>
        <w:sectPr>
          <w:pgSz w:w="11900" w:h="16838" w:orient="portrait"/>
          <w:cols w:equalWidth="0" w:num="1">
            <w:col w:w="10980"/>
          </w:cols>
          <w:pgMar w:left="440" w:top="274" w:right="479" w:bottom="1440" w:gutter="0" w:footer="0" w:header="0"/>
        </w:sectPr>
      </w:pPr>
    </w:p>
    <w:bookmarkStart w:id="62" w:name="page63"/>
    <w:bookmarkEnd w:id="62"/>
    <w:p>
      <w:pPr>
        <w:ind w:left="960" w:hanging="424"/>
        <w:spacing w:after="0" w:line="263"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and only if, the reported closing price of the ordinary shares equals or exceeds $18.00 per share (as adjusted for share splits, share capitalizations, reorganizations, recapitalizations and the like) for any 20 trading days within a 30-trading day period ending three business days before the Company send to the notice of redemption to the warrant holders.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and (z) the volume weighted average trading price of the Class A ordinary shares during the 20 trading day period starting on the trading day prior to the day on which the Company consummates a Business Combination (such price, the “Market Value”) is below $9.20 per share, then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(x) the Private Placement Warrants and the Class A ordinary shares issuable upon the exercise of the Private Placement Warrants will not be transferable, assignable or salable until 30 days after the completion of a Business Combination, subject to certain limited exceptions, (y) the Private Placement Warrants will be exercisable on a cashless basis and be non-redeemable so long as they are held by the initial purchasers or their permitted transferees and (z) the Private Placement Warrants and the Class A ordinary shares issuable upon exercise of the Private Placement Warrants will be entitled to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12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1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0960"/>
          </w:cols>
          <w:pgMar w:left="440" w:top="274" w:right="499" w:bottom="1440" w:gutter="0" w:footer="0" w:header="0"/>
        </w:sectPr>
      </w:pPr>
    </w:p>
    <w:bookmarkStart w:id="63" w:name="page64"/>
    <w:bookmarkEnd w:id="63"/>
    <w:p>
      <w:pPr>
        <w:ind w:left="1080" w:right="320" w:hanging="755"/>
        <w:spacing w:after="0" w:line="342" w:lineRule="auto"/>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6" w:lineRule="exact"/>
        <w:rPr>
          <w:sz w:val="20"/>
          <w:szCs w:val="20"/>
          <w:color w:val="auto"/>
        </w:rPr>
      </w:pPr>
    </w:p>
    <w:p>
      <w:pPr>
        <w:ind w:left="1080" w:right="300" w:hanging="755"/>
        <w:spacing w:after="0" w:line="277" w:lineRule="auto"/>
        <w:tabs>
          <w:tab w:leader="none" w:pos="1060" w:val="left"/>
        </w:tabs>
        <w:rPr>
          <w:sz w:val="20"/>
          <w:szCs w:val="20"/>
          <w:color w:val="auto"/>
        </w:rPr>
      </w:pPr>
      <w:r>
        <w:rPr>
          <w:rFonts w:ascii="Arial" w:cs="Arial" w:eastAsia="Arial" w:hAnsi="Arial"/>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December 31, 2020, and indicates the fair value hierarchy of the valuation inputs the Company utilized to determine such fair value:</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5560" w:type="dxa"/>
            <w:vAlign w:val="bottom"/>
          </w:tcPr>
          <w:p>
            <w:pPr>
              <w:spacing w:after="0"/>
              <w:rPr>
                <w:sz w:val="16"/>
                <w:szCs w:val="16"/>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Level</w:t>
            </w: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3"/>
              </w:rPr>
              <w:t>December 31, 2020</w:t>
            </w:r>
          </w:p>
        </w:tc>
      </w:tr>
      <w:tr>
        <w:trPr>
          <w:trHeight w:val="189"/>
        </w:trPr>
        <w:tc>
          <w:tcPr>
            <w:tcW w:w="6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  200,061,054</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Public warrants derivative liability</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35,800,000</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warrants derivative liability</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22,834,000</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Level 1 instruments include investments in U.S. Treasury Bills, and the Public Warrants when representative market prices were available based on the public trading of the Public Warrants.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estimated fair value of the Private Placement Warrants, and the Public Warrants, prior to being separately listed and traded, is determined using Level 3 inputs. In the case of the Public Warrants, the Company used a Monte Carlo simulation approach. In the case of the Private Placement Warrants the Company used a Black-Scholes option pricing model. Inherent in options pricing models are assumptions related to expected share-price volatility, expected life and risk-free interest rate. The Company estimates the volatility input based on the observed price of its Public Warrants, when available. Otherwise, the volatility input is based on implied volatilities of guideline companies. The risk-free interest rate is based on the U.S. Treasury curve on the grant date for a maturity similar to the expected remaining life of the Warrants. The expected life of the Warrants is assumed to be equivalent to a probability-weighted average between a two-year life (in the event that there is no business combination) and the contractual life (if a business combination is consummated) of the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quantitative information regarding fair value assumptions for the Warrants upon initial recognition:</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Public</w:t>
            </w:r>
          </w:p>
        </w:tc>
        <w:tc>
          <w:tcPr>
            <w:tcW w:w="340" w:type="dxa"/>
            <w:vAlign w:val="bottom"/>
          </w:tcPr>
          <w:p>
            <w:pPr>
              <w:spacing w:after="0"/>
              <w:rPr>
                <w:sz w:val="14"/>
                <w:szCs w:val="14"/>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Private Placement</w:t>
            </w:r>
          </w:p>
        </w:tc>
      </w:tr>
      <w:tr>
        <w:trPr>
          <w:trHeight w:val="171"/>
        </w:trPr>
        <w:tc>
          <w:tcPr>
            <w:tcW w:w="28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Warrants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Warrants</w:t>
            </w: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w:t>
            </w:r>
          </w:p>
        </w:tc>
        <w:tc>
          <w:tcPr>
            <w:tcW w:w="2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Exercise price</w:t>
            </w:r>
          </w:p>
        </w:tc>
        <w:tc>
          <w:tcPr>
            <w:tcW w:w="2940" w:type="dxa"/>
            <w:vAlign w:val="bottom"/>
            <w:gridSpan w:val="2"/>
          </w:tcPr>
          <w:p>
            <w:pPr>
              <w:ind w:left="28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11.50</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Volatility</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13.17%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13.17%</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r>
      <w:tr>
        <w:trPr>
          <w:trHeight w:val="365"/>
        </w:trPr>
        <w:tc>
          <w:tcPr>
            <w:tcW w:w="2800" w:type="dxa"/>
            <w:vAlign w:val="bottom"/>
          </w:tcPr>
          <w:p>
            <w:pPr>
              <w:spacing w:after="0"/>
              <w:rPr>
                <w:sz w:val="24"/>
                <w:szCs w:val="24"/>
                <w:color w:val="auto"/>
              </w:rPr>
            </w:pPr>
          </w:p>
        </w:tc>
        <w:tc>
          <w:tcPr>
            <w:tcW w:w="2940" w:type="dxa"/>
            <w:vAlign w:val="bottom"/>
            <w:gridSpan w:val="2"/>
          </w:tcPr>
          <w:p>
            <w:pPr>
              <w:ind w:left="1220"/>
              <w:spacing w:after="0"/>
              <w:rPr>
                <w:sz w:val="20"/>
                <w:szCs w:val="20"/>
                <w:color w:val="auto"/>
              </w:rPr>
            </w:pPr>
            <w:r>
              <w:rPr>
                <w:rFonts w:ascii="Arial" w:cs="Arial" w:eastAsia="Arial" w:hAnsi="Arial"/>
                <w:sz w:val="18"/>
                <w:szCs w:val="18"/>
                <w:color w:val="auto"/>
              </w:rPr>
              <w:t>F-21</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920"/>
          </w:cols>
          <w:pgMar w:left="440" w:top="274" w:right="5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change in the fair value of Level 3 warrant liabilities is summarized as follows:</w:t>
      </w:r>
    </w:p>
    <w:p>
      <w:pPr>
        <w:spacing w:after="0" w:line="231"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Warrant</w:t>
            </w:r>
          </w:p>
        </w:tc>
      </w:tr>
      <w:tr>
        <w:trPr>
          <w:trHeight w:val="148"/>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liabilities</w:t>
            </w: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Issuance of Public Warrants and Private Placement Warrants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10,195,000</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valuation inputs or other assumptions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(2,070,859)</w:t>
            </w:r>
          </w:p>
        </w:tc>
      </w:tr>
      <w:tr>
        <w:trPr>
          <w:trHeight w:val="223"/>
        </w:trPr>
        <w:tc>
          <w:tcPr>
            <w:tcW w:w="20" w:type="dxa"/>
            <w:vAlign w:val="bottom"/>
          </w:tcPr>
          <w:p>
            <w:pPr>
              <w:spacing w:after="0"/>
              <w:rPr>
                <w:sz w:val="19"/>
                <w:szCs w:val="19"/>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Transfer from Level 3 measurement</w:t>
            </w:r>
          </w:p>
        </w:tc>
        <w:tc>
          <w:tcPr>
            <w:tcW w:w="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(8,124,141)</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20"/>
        <w:spacing w:after="0" w:line="301" w:lineRule="auto"/>
        <w:rPr>
          <w:sz w:val="20"/>
          <w:szCs w:val="20"/>
          <w:color w:val="auto"/>
        </w:rPr>
      </w:pPr>
      <w:r>
        <w:rPr>
          <w:rFonts w:ascii="Arial" w:cs="Arial" w:eastAsia="Arial" w:hAnsi="Arial"/>
          <w:sz w:val="16"/>
          <w:szCs w:val="16"/>
          <w:color w:val="auto"/>
        </w:rPr>
        <w:t>The estimated $5.1 million fair value of the Public Warrants transferred from a Level 3 measurement to a Level 1 fair value measurement and $3.0 million Private Placement Warrants transferred from a Level 3 measurement to a Level 2 in October 2020 when the Public Warrants were separately listed and traded. As of September 30, 2020 Level 1 and Level 2 fair value measurements were used for Public Warrants and Private Placement Warrants respectively as trade start in early October 2020 was relatively close to the balance sheet date.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consolidated financial statements were issued. Based upon this review, the Company did not identify any subsequent events that would have required adjustment or disclosure in the consolidated financial statements.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0920"/>
          </w:cols>
          <w:pgMar w:left="440" w:top="274" w:right="539" w:bottom="1440" w:gutter="0" w:footer="0" w:header="0"/>
        </w:sectPr>
      </w:pPr>
    </w:p>
    <w:bookmarkStart w:id="65" w:name="page66"/>
    <w:bookmarkEnd w:id="65"/>
    <w:p>
      <w:pPr>
        <w:ind w:left="960" w:hanging="532"/>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Statement Schedule</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rFonts w:ascii="Arial" w:cs="Arial" w:eastAsia="Arial" w:hAnsi="Arial"/>
          <w:sz w:val="18"/>
          <w:szCs w:val="18"/>
          <w:color w:val="auto"/>
        </w:rPr>
      </w:pPr>
    </w:p>
    <w:p>
      <w:pPr>
        <w:ind w:left="960" w:hanging="532"/>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hereby file as part of this report the exhibits listed in the attached Exhibit Index.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60" w:type="dxa"/>
            <w:vAlign w:val="bottom"/>
            <w:gridSpan w:val="16"/>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2"/>
                <w:szCs w:val="22"/>
                <w:color w:val="auto"/>
              </w:rPr>
            </w:pPr>
          </w:p>
        </w:tc>
        <w:tc>
          <w:tcPr>
            <w:tcW w:w="9980" w:type="dxa"/>
            <w:vAlign w:val="bottom"/>
            <w:gridSpan w:val="20"/>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Agreement and Plan of Merger, dated as of December 21, 2020, by and among Colonnade Acquisition Corp., Beam Merger Sub, Inc.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top w:val="single" w:sz="8" w:color="0000EE"/>
            </w:tcBorders>
            <w:gridSpan w:val="19"/>
          </w:tcPr>
          <w:p>
            <w:pPr>
              <w:spacing w:after="0" w:line="196" w:lineRule="exact"/>
              <w:rPr>
                <w:rFonts w:ascii="Arial" w:cs="Arial" w:eastAsia="Arial" w:hAnsi="Arial"/>
                <w:sz w:val="18"/>
                <w:szCs w:val="18"/>
                <w:color w:val="0000EE"/>
                <w:w w:val="97"/>
              </w:rPr>
            </w:pPr>
            <w:hyperlink r:id="rId102">
              <w:r>
                <w:rPr>
                  <w:rFonts w:ascii="Arial" w:cs="Arial" w:eastAsia="Arial" w:hAnsi="Arial"/>
                  <w:sz w:val="18"/>
                  <w:szCs w:val="18"/>
                  <w:color w:val="0000EE"/>
                  <w:w w:val="97"/>
                </w:rPr>
                <w:t>Ouster, Inc. (Incorporated by reference to the corresponding exhibit to the Company’s Registration Statement on Form S-4 (File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No. 333-251611), filed with the SEC on December 22, 2020).</w:t>
              </w:r>
            </w:hyperlink>
          </w:p>
        </w:tc>
        <w:tc>
          <w:tcPr>
            <w:tcW w:w="7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9220" w:type="dxa"/>
            <w:vAlign w:val="bottom"/>
            <w:tcBorders>
              <w:bottom w:val="single" w:sz="8" w:color="0000EE"/>
            </w:tcBorders>
            <w:gridSpan w:val="9"/>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Amended and Restated Memorandum and Articles of Association (Incorporated by reference to the corresponding exhibit to the</w:t>
              </w:r>
            </w:hyperlink>
          </w:p>
        </w:tc>
        <w:tc>
          <w:tcPr>
            <w:tcW w:w="7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Company’s Current Report on Form 8-K (File No. 001-39463), filed with the SEC on August 25,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Specimen Unit Certificate (Incorporated by reference to the corresponding exhibit to the Company’s Registration Statement on Form S-l</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(File No. 333-240378), filed with the SEC on August 4, 2020).</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920" w:type="dxa"/>
            <w:vAlign w:val="bottom"/>
            <w:tcBorders>
              <w:bottom w:val="single" w:sz="8" w:color="0000EE"/>
            </w:tcBorders>
            <w:gridSpan w:val="18"/>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Specimen Ordinary Share Certificate (Incorporated by reference to the corresponding exhibit to the Company’s Registration Statement on</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Form S-l (File No. 333-240378), filed with the SEC on August 4, 2020).</w:t>
              </w:r>
            </w:hyperlink>
          </w:p>
        </w:tc>
        <w:tc>
          <w:tcPr>
            <w:tcW w:w="47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Specimen Warrant Certificate (Incorporated by reference to the corresponding exhibit to the Company’s Registration Statement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S-l (File No. 333-240378), filed with the SEC on August 4, 2020).</w:t>
              </w:r>
            </w:hyperlink>
          </w:p>
        </w:tc>
        <w:tc>
          <w:tcPr>
            <w:tcW w:w="5040" w:type="dxa"/>
            <w:vAlign w:val="bottom"/>
            <w:tcBorders>
              <w:top w:val="single" w:sz="8" w:color="0000EE"/>
            </w:tcBorders>
            <w:gridSpan w:val="10"/>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24"/>
                <w:szCs w:val="24"/>
                <w:color w:val="auto"/>
              </w:rPr>
            </w:pPr>
          </w:p>
        </w:tc>
        <w:tc>
          <w:tcPr>
            <w:tcW w:w="9600" w:type="dxa"/>
            <w:vAlign w:val="bottom"/>
            <w:tcBorders>
              <w:bottom w:val="single" w:sz="8" w:color="0000EE"/>
            </w:tcBorders>
            <w:gridSpan w:val="11"/>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Warrant Agreement between Colonnade Acquisition Corp. and Continental Stock Transfer &amp; Trust Company, dated as of August 20,</w:t>
              </w:r>
            </w:hyperlink>
          </w:p>
        </w:tc>
        <w:tc>
          <w:tcPr>
            <w:tcW w:w="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2020 (Incorporated by reference to Exhibit 4.1 to the Company’s Current Report on Form 8-K (File No. 001-39463), filed with the SEC</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on August 25,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color w:val="0000EE"/>
                <w:w w:val="93"/>
              </w:rPr>
            </w:pPr>
            <w:hyperlink r:id="rId108">
              <w:r>
                <w:rPr>
                  <w:rFonts w:ascii="Arial" w:cs="Arial" w:eastAsia="Arial" w:hAnsi="Arial"/>
                  <w:sz w:val="18"/>
                  <w:szCs w:val="18"/>
                  <w:color w:val="0000EE"/>
                  <w:w w:val="93"/>
                </w:rPr>
                <w:t>Letter Agreement among Colonnade Acquisition Corp. and BTIG, LLC, dated as of August 20, 2020 (Incorporated by reference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corresponding exhibit to the Company’s Current Report on Form 8-K (File No. 001-39463), filed with the SEC on August 25, 2020).</w:t>
              </w:r>
            </w:hyperlink>
          </w:p>
        </w:tc>
        <w:tc>
          <w:tcPr>
            <w:tcW w:w="100" w:type="dxa"/>
            <w:vAlign w:val="bottom"/>
            <w:tcBorders>
              <w:top w:val="single" w:sz="8" w:color="0000EE"/>
            </w:tcBorders>
          </w:tcPr>
          <w:p>
            <w:pPr>
              <w:spacing w:after="0"/>
              <w:rPr>
                <w:sz w:val="17"/>
                <w:szCs w:val="17"/>
                <w:color w:val="auto"/>
              </w:rPr>
            </w:pP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color w:val="0000EE"/>
                <w:w w:val="95"/>
              </w:rPr>
            </w:pPr>
            <w:hyperlink r:id="rId109">
              <w:r>
                <w:rPr>
                  <w:rFonts w:ascii="Arial" w:cs="Arial" w:eastAsia="Arial" w:hAnsi="Arial"/>
                  <w:sz w:val="18"/>
                  <w:szCs w:val="18"/>
                  <w:color w:val="0000EE"/>
                  <w:w w:val="95"/>
                </w:rPr>
                <w:t>Investment Management Trust Agreement between Colonnade Acquisition Corp. and Continental Stock Transfer &amp; Trust Company,</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5100" w:type="dxa"/>
            <w:vAlign w:val="bottom"/>
            <w:tcBorders>
              <w:left w:val="single" w:sz="8" w:color="0000EE"/>
            </w:tcBorders>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dated as of August 20, 2020 (Incorporated by reference to the corresponding exhibit to the Company’s Current Report on Form 8-K (File</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No. 001-39463), filed with the SEC on August 25,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5100" w:type="dxa"/>
            <w:vAlign w:val="bottom"/>
            <w:tcBorders>
              <w:left w:val="single" w:sz="8" w:color="0000EE"/>
            </w:tcBorders>
            <w:gridSpan w:val="7"/>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9900" w:type="dxa"/>
            <w:vAlign w:val="bottom"/>
            <w:tcBorders>
              <w:bottom w:val="single" w:sz="8" w:color="0000EE"/>
            </w:tcBorders>
            <w:gridSpan w:val="17"/>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Registration Rights Agreement among Colonnade Acquisition Corp., Colonnade Sponsor LLC and the holders signatory thereto, dated as</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EE"/>
                <w:w w:val="98"/>
              </w:rPr>
            </w:pPr>
            <w:hyperlink r:id="rId110">
              <w:r>
                <w:rPr>
                  <w:rFonts w:ascii="Arial" w:cs="Arial" w:eastAsia="Arial" w:hAnsi="Arial"/>
                  <w:sz w:val="18"/>
                  <w:szCs w:val="18"/>
                  <w:color w:val="0000EE"/>
                  <w:w w:val="98"/>
                </w:rPr>
                <w:t>of August 20, 2020 (Incorporated by reference to the corresponding exhibit to the Company’s Current Report on Form 8-K (File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No. 001-39463), filed with the SEC on August 25, 2020).</w:t>
              </w:r>
            </w:hyperlink>
          </w:p>
        </w:tc>
        <w:tc>
          <w:tcPr>
            <w:tcW w:w="7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sectPr>
      </w:pPr>
    </w:p>
    <w:bookmarkStart w:id="66" w:name="page67"/>
    <w:bookmarkEnd w:id="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9360" w:type="dxa"/>
            <w:vAlign w:val="bottom"/>
            <w:tcBorders>
              <w:bottom w:val="single" w:sz="8" w:color="0000EE"/>
            </w:tcBorders>
            <w:gridSpan w:val="9"/>
          </w:tcPr>
          <w:p>
            <w:pPr>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Private Placement Warrants Purchase Agreement between Colonnade Acquisition Corp. and Colonnade Sponsor LLC, dated as of</w:t>
              </w:r>
            </w:hyperlink>
          </w:p>
        </w:tc>
        <w:tc>
          <w:tcPr>
            <w:tcW w:w="500" w:type="dxa"/>
            <w:vAlign w:val="bottom"/>
            <w:gridSpan w:val="8"/>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860" w:type="dxa"/>
            <w:vAlign w:val="bottom"/>
            <w:gridSpan w:val="17"/>
          </w:tcPr>
          <w:p>
            <w:pPr>
              <w:spacing w:after="0" w:line="196" w:lineRule="exact"/>
              <w:rPr>
                <w:rFonts w:ascii="Arial" w:cs="Arial" w:eastAsia="Arial" w:hAnsi="Arial"/>
                <w:sz w:val="18"/>
                <w:szCs w:val="18"/>
                <w:color w:val="0000EE"/>
                <w:w w:val="99"/>
              </w:rPr>
            </w:pPr>
            <w:hyperlink r:id="rId112">
              <w:r>
                <w:rPr>
                  <w:rFonts w:ascii="Arial" w:cs="Arial" w:eastAsia="Arial" w:hAnsi="Arial"/>
                  <w:sz w:val="18"/>
                  <w:szCs w:val="18"/>
                  <w:color w:val="0000EE"/>
                  <w:w w:val="99"/>
                </w:rPr>
                <w:t>August 20, 2020 (Incorporated by reference to the corresponding exhibit to the Company’s Current Report on Form 8-K (File</w:t>
              </w:r>
            </w:hyperlink>
          </w:p>
        </w:tc>
      </w:tr>
      <w:tr>
        <w:trPr>
          <w:trHeight w:val="196"/>
        </w:trPr>
        <w:tc>
          <w:tcPr>
            <w:tcW w:w="110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No. 001-39463), filed with the SEC on August 25, 2020).</w:t>
              </w:r>
            </w:hyperlink>
          </w:p>
        </w:tc>
        <w:tc>
          <w:tcPr>
            <w:tcW w:w="4880" w:type="dxa"/>
            <w:vAlign w:val="bottom"/>
            <w:tcBorders>
              <w:top w:val="single" w:sz="8" w:color="0000EE"/>
            </w:tcBorders>
            <w:gridSpan w:val="2"/>
          </w:tcPr>
          <w:p>
            <w:pPr>
              <w:spacing w:after="0"/>
              <w:rPr>
                <w:sz w:val="17"/>
                <w:szCs w:val="17"/>
                <w:color w:val="auto"/>
              </w:rPr>
            </w:pPr>
          </w:p>
        </w:tc>
        <w:tc>
          <w:tcPr>
            <w:tcW w:w="780" w:type="dxa"/>
            <w:vAlign w:val="bottom"/>
            <w:gridSpan w:val="9"/>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10.5</w:t>
            </w:r>
          </w:p>
        </w:tc>
        <w:tc>
          <w:tcPr>
            <w:tcW w:w="9860" w:type="dxa"/>
            <w:vAlign w:val="bottom"/>
            <w:gridSpan w:val="17"/>
          </w:tcPr>
          <w:p>
            <w:pPr>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Administrative Services Agreement by and among Colonnade Acquisition Corp. and Colonnade Sponsor LLC, dated as of August 20,</w:t>
              </w:r>
            </w:hyperlink>
          </w:p>
        </w:tc>
      </w:tr>
      <w:tr>
        <w:trPr>
          <w:trHeight w:val="20"/>
        </w:trPr>
        <w:tc>
          <w:tcPr>
            <w:tcW w:w="1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8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2020 (Incorporated by reference to the corresponding exhibit to the Company’s Current Report on Form 8-K (File No. 001-39463), filed</w:t>
              </w:r>
            </w:hyperlink>
          </w:p>
        </w:tc>
      </w:tr>
      <w:tr>
        <w:trPr>
          <w:trHeight w:val="196"/>
        </w:trPr>
        <w:tc>
          <w:tcPr>
            <w:tcW w:w="1100" w:type="dxa"/>
            <w:vAlign w:val="bottom"/>
          </w:tcPr>
          <w:p>
            <w:pPr>
              <w:spacing w:after="0"/>
              <w:rPr>
                <w:sz w:val="17"/>
                <w:szCs w:val="17"/>
                <w:color w:val="auto"/>
              </w:rPr>
            </w:pPr>
          </w:p>
        </w:tc>
        <w:tc>
          <w:tcPr>
            <w:tcW w:w="25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with the SEC on August 25, 2020).</w:t>
              </w:r>
            </w:hyperlink>
          </w:p>
        </w:tc>
        <w:tc>
          <w:tcPr>
            <w:tcW w:w="7320" w:type="dxa"/>
            <w:vAlign w:val="bottom"/>
            <w:gridSpan w:val="13"/>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9420" w:type="dxa"/>
            <w:vAlign w:val="bottom"/>
            <w:tcBorders>
              <w:bottom w:val="single" w:sz="8" w:color="0000EE"/>
            </w:tcBorders>
            <w:gridSpan w:val="10"/>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Form of Indemnity Agreement (Incorporated by reference to Exhibit 10.5 to the Company’s Form S-1 Registration Statement (File</w:t>
              </w:r>
            </w:hyperlink>
          </w:p>
        </w:tc>
        <w:tc>
          <w:tcPr>
            <w:tcW w:w="440" w:type="dxa"/>
            <w:vAlign w:val="bottom"/>
            <w:gridSpan w:val="7"/>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60" w:type="dxa"/>
            <w:vAlign w:val="bottom"/>
            <w:gridSpan w:val="17"/>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No. 333-240378), filed with the SEC on August 4, 2020).</w:t>
              </w:r>
            </w:hyperlink>
          </w:p>
        </w:tc>
      </w:tr>
      <w:tr>
        <w:trPr>
          <w:trHeight w:val="20"/>
        </w:trPr>
        <w:tc>
          <w:tcPr>
            <w:tcW w:w="1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9860" w:type="dxa"/>
            <w:vAlign w:val="bottom"/>
            <w:gridSpan w:val="17"/>
          </w:tcPr>
          <w:p>
            <w:pPr>
              <w:spacing w:after="0"/>
              <w:rPr>
                <w:rFonts w:ascii="Arial" w:cs="Arial" w:eastAsia="Arial" w:hAnsi="Arial"/>
                <w:sz w:val="18"/>
                <w:szCs w:val="18"/>
                <w:color w:val="0000EE"/>
                <w:w w:val="95"/>
              </w:rPr>
            </w:pPr>
            <w:hyperlink r:id="rId115">
              <w:r>
                <w:rPr>
                  <w:rFonts w:ascii="Arial" w:cs="Arial" w:eastAsia="Arial" w:hAnsi="Arial"/>
                  <w:sz w:val="18"/>
                  <w:szCs w:val="18"/>
                  <w:color w:val="0000EE"/>
                  <w:w w:val="95"/>
                </w:rPr>
                <w:t>Promissory Note, dated as of June 30, 2020 by Colonnade Acquisition Corp. in favor of Colonnade Sponsor LLC, in the amount of</w:t>
              </w:r>
            </w:hyperlink>
          </w:p>
        </w:tc>
      </w:tr>
      <w:tr>
        <w:trPr>
          <w:trHeight w:val="20"/>
        </w:trPr>
        <w:tc>
          <w:tcPr>
            <w:tcW w:w="1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50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6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u w:val="single" w:color="auto"/>
                  <w:color w:val="0000EE"/>
                  <w:w w:val="91"/>
                </w:rPr>
                <w:t>$</w:t>
              </w:r>
              <w:r>
                <w:rPr>
                  <w:rFonts w:ascii="Arial" w:cs="Arial" w:eastAsia="Arial" w:hAnsi="Arial"/>
                  <w:sz w:val="18"/>
                  <w:szCs w:val="18"/>
                  <w:color w:val="0000EE"/>
                  <w:w w:val="91"/>
                </w:rPr>
                <w:t>300,000 (Incorporated by reference to Exhibit 10.6 to the Company’s Form S-1 Registration Statement (File No. 333-240378), filed</w:t>
              </w:r>
            </w:hyperlink>
          </w:p>
        </w:tc>
        <w:tc>
          <w:tcPr>
            <w:tcW w:w="26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860" w:type="dxa"/>
            <w:vAlign w:val="bottom"/>
            <w:gridSpan w:val="17"/>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with the SEC on August 4, 2020).</w:t>
              </w:r>
            </w:hyperlink>
          </w:p>
        </w:tc>
      </w:tr>
      <w:tr>
        <w:trPr>
          <w:trHeight w:val="20"/>
        </w:trPr>
        <w:tc>
          <w:tcPr>
            <w:tcW w:w="1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9480" w:type="dxa"/>
            <w:vAlign w:val="bottom"/>
            <w:tcBorders>
              <w:bottom w:val="single" w:sz="8" w:color="0000EE"/>
            </w:tcBorders>
            <w:gridSpan w:val="11"/>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Securities Subscription Agreement by and among Colonnade Acquisition Corp. and Colonnade Sponsor LLC, dated June 30, 2020</w:t>
              </w:r>
            </w:hyperlink>
          </w:p>
        </w:tc>
        <w:tc>
          <w:tcPr>
            <w:tcW w:w="380" w:type="dxa"/>
            <w:vAlign w:val="bottom"/>
            <w:gridSpan w:val="6"/>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(Incorporated by reference to Exhibit 10.7 to the Company’s Form S-1 Registration Statement (File No. 333-240378), filed with the SEC</w:t>
              </w:r>
            </w:hyperlink>
          </w:p>
        </w:tc>
      </w:tr>
      <w:tr>
        <w:trPr>
          <w:trHeight w:val="196"/>
        </w:trPr>
        <w:tc>
          <w:tcPr>
            <w:tcW w:w="1100" w:type="dxa"/>
            <w:vAlign w:val="bottom"/>
          </w:tcPr>
          <w:p>
            <w:pPr>
              <w:spacing w:after="0"/>
              <w:rPr>
                <w:sz w:val="17"/>
                <w:szCs w:val="17"/>
                <w:color w:val="auto"/>
              </w:rPr>
            </w:pPr>
          </w:p>
        </w:tc>
        <w:tc>
          <w:tcPr>
            <w:tcW w:w="9860" w:type="dxa"/>
            <w:vAlign w:val="bottom"/>
            <w:gridSpan w:val="17"/>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on August 4, 2020).</w:t>
              </w:r>
            </w:hyperlink>
          </w:p>
        </w:tc>
      </w:tr>
      <w:tr>
        <w:trPr>
          <w:trHeight w:val="20"/>
        </w:trPr>
        <w:tc>
          <w:tcPr>
            <w:tcW w:w="1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962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24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60" w:type="dxa"/>
            <w:vAlign w:val="bottom"/>
            <w:gridSpan w:val="1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Adopted Pursuant to Section 302 of the Sarbanes-Oxley Act of 2002.</w:t>
              </w:r>
            </w:hyperlink>
          </w:p>
        </w:tc>
      </w:tr>
      <w:tr>
        <w:trPr>
          <w:trHeight w:val="20"/>
        </w:trPr>
        <w:tc>
          <w:tcPr>
            <w:tcW w:w="1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580" w:type="dxa"/>
            <w:vAlign w:val="bottom"/>
            <w:gridSpan w:val="6"/>
            <w:shd w:val="clear" w:color="auto" w:fill="0000EE"/>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95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280" w:type="dxa"/>
            <w:vAlign w:val="bottom"/>
            <w:gridSpan w:val="4"/>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60" w:type="dxa"/>
            <w:vAlign w:val="bottom"/>
            <w:gridSpan w:val="1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Adopted Pursuant to Section 302 of the Sarbanes-Oxley Act of 2002.</w:t>
              </w:r>
            </w:hyperlink>
          </w:p>
        </w:tc>
      </w:tr>
      <w:tr>
        <w:trPr>
          <w:trHeight w:val="20"/>
        </w:trPr>
        <w:tc>
          <w:tcPr>
            <w:tcW w:w="1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580" w:type="dxa"/>
            <w:vAlign w:val="bottom"/>
            <w:gridSpan w:val="6"/>
            <w:shd w:val="clear" w:color="auto" w:fill="0000EE"/>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95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280" w:type="dxa"/>
            <w:vAlign w:val="bottom"/>
            <w:gridSpan w:val="4"/>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60" w:type="dxa"/>
            <w:vAlign w:val="bottom"/>
            <w:gridSpan w:val="1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Adopted Pursuant to Section 302 of the Sarbanes-Oxley Act of 2002.</w:t>
              </w:r>
            </w:hyperlink>
          </w:p>
        </w:tc>
      </w:tr>
      <w:tr>
        <w:trPr>
          <w:trHeight w:val="20"/>
        </w:trPr>
        <w:tc>
          <w:tcPr>
            <w:tcW w:w="1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580" w:type="dxa"/>
            <w:vAlign w:val="bottom"/>
            <w:gridSpan w:val="6"/>
            <w:shd w:val="clear" w:color="auto" w:fill="0000EE"/>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95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300" w:type="dxa"/>
            <w:vAlign w:val="bottom"/>
            <w:gridSpan w:val="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Oxley Act of 2002.</w:t>
              </w:r>
            </w:hyperlink>
          </w:p>
        </w:tc>
        <w:tc>
          <w:tcPr>
            <w:tcW w:w="8460" w:type="dxa"/>
            <w:vAlign w:val="bottom"/>
            <w:gridSpan w:val="16"/>
          </w:tcPr>
          <w:p>
            <w:pPr>
              <w:spacing w:after="0"/>
              <w:rPr>
                <w:sz w:val="17"/>
                <w:szCs w:val="17"/>
                <w:color w:val="auto"/>
              </w:rPr>
            </w:pP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94" w:lineRule="exact"/>
        <w:rPr>
          <w:sz w:val="20"/>
          <w:szCs w:val="20"/>
          <w:color w:val="auto"/>
        </w:rPr>
      </w:pPr>
    </w:p>
    <w:p>
      <w:pPr>
        <w:ind w:left="344" w:hanging="344"/>
        <w:spacing w:after="0"/>
        <w:tabs>
          <w:tab w:leader="none" w:pos="3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4"/>
        <w:spacing w:after="0"/>
        <w:tabs>
          <w:tab w:leader="none" w:pos="32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ectPr>
          <w:pgSz w:w="11900" w:h="16838" w:orient="portrait"/>
          <w:cols w:equalWidth="0" w:num="1">
            <w:col w:w="10964"/>
          </w:cols>
          <w:pgMar w:left="436" w:top="257" w:right="49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OUSTER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Anna Brunelle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June 30, 2021</w:t>
      </w:r>
    </w:p>
    <w:p>
      <w:pPr>
        <w:spacing w:after="0" w:line="2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set forth opposite to their names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ind w:left="21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4520" w:type="dxa"/>
            <w:vAlign w:val="bottom"/>
            <w:gridSpan w:val="2"/>
          </w:tcPr>
          <w:p>
            <w:pPr>
              <w:ind w:left="2060"/>
              <w:spacing w:after="0"/>
              <w:rPr>
                <w:sz w:val="20"/>
                <w:szCs w:val="20"/>
                <w:color w:val="auto"/>
              </w:rPr>
            </w:pPr>
            <w:r>
              <w:rPr>
                <w:rFonts w:ascii="Arial" w:cs="Arial" w:eastAsia="Arial" w:hAnsi="Arial"/>
                <w:sz w:val="14"/>
                <w:szCs w:val="14"/>
                <w:b w:val="1"/>
                <w:bCs w:val="1"/>
                <w:color w:val="auto"/>
              </w:rPr>
              <w:t>Title</w:t>
            </w:r>
          </w:p>
        </w:tc>
        <w:tc>
          <w:tcPr>
            <w:tcW w:w="1760" w:type="dxa"/>
            <w:vAlign w:val="bottom"/>
          </w:tcPr>
          <w:p>
            <w:pPr>
              <w:ind w:left="740"/>
              <w:spacing w:after="0"/>
              <w:rPr>
                <w:sz w:val="20"/>
                <w:szCs w:val="20"/>
                <w:color w:val="auto"/>
              </w:rPr>
            </w:pPr>
            <w:r>
              <w:rPr>
                <w:rFonts w:ascii="Arial" w:cs="Arial" w:eastAsia="Arial" w:hAnsi="Arial"/>
                <w:sz w:val="14"/>
                <w:szCs w:val="14"/>
                <w:b w:val="1"/>
                <w:bCs w:val="1"/>
                <w:color w:val="auto"/>
              </w:rPr>
              <w:t>Date</w:t>
            </w:r>
          </w:p>
        </w:tc>
      </w:tr>
      <w:tr>
        <w:trPr>
          <w:trHeight w:val="210"/>
        </w:trPr>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Angus Pacala</w:t>
            </w:r>
          </w:p>
        </w:tc>
        <w:tc>
          <w:tcPr>
            <w:tcW w:w="120" w:type="dxa"/>
            <w:vAlign w:val="bottom"/>
          </w:tcPr>
          <w:p>
            <w:pPr>
              <w:spacing w:after="0"/>
              <w:rPr>
                <w:sz w:val="18"/>
                <w:szCs w:val="18"/>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 Co-Founder and Chief Executive Officer</w:t>
            </w:r>
          </w:p>
        </w:tc>
        <w:tc>
          <w:tcPr>
            <w:tcW w:w="120" w:type="dxa"/>
            <w:vAlign w:val="bottom"/>
          </w:tcPr>
          <w:p>
            <w:pPr>
              <w:spacing w:after="0"/>
              <w:rPr>
                <w:sz w:val="18"/>
                <w:szCs w:val="18"/>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June 30,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Angus Pacala</w:t>
            </w:r>
          </w:p>
        </w:tc>
        <w:tc>
          <w:tcPr>
            <w:tcW w:w="1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Anna Brunelle</w:t>
            </w:r>
          </w:p>
        </w:tc>
        <w:tc>
          <w:tcPr>
            <w:tcW w:w="12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760" w:type="dxa"/>
            <w:vAlign w:val="bottom"/>
          </w:tcPr>
          <w:p>
            <w:pPr>
              <w:spacing w:after="0"/>
              <w:rPr>
                <w:sz w:val="20"/>
                <w:szCs w:val="20"/>
                <w:color w:val="auto"/>
              </w:rPr>
            </w:pPr>
            <w:r>
              <w:rPr>
                <w:rFonts w:ascii="Arial" w:cs="Arial" w:eastAsia="Arial" w:hAnsi="Arial"/>
                <w:sz w:val="18"/>
                <w:szCs w:val="18"/>
                <w:color w:val="auto"/>
              </w:rPr>
              <w:t>June 30, 2021</w:t>
            </w: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Anna Brunelle</w:t>
            </w:r>
          </w:p>
        </w:tc>
        <w:tc>
          <w:tcPr>
            <w:tcW w:w="1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w:t>
            </w:r>
          </w:p>
        </w:tc>
        <w:tc>
          <w:tcPr>
            <w:tcW w:w="176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1760" w:type="dxa"/>
            <w:vAlign w:val="bottom"/>
          </w:tcPr>
          <w:p>
            <w:pPr>
              <w:spacing w:after="0"/>
              <w:rPr>
                <w:sz w:val="20"/>
                <w:szCs w:val="20"/>
                <w:color w:val="auto"/>
              </w:rPr>
            </w:pPr>
          </w:p>
        </w:tc>
      </w:tr>
      <w:tr>
        <w:trPr>
          <w:trHeight w:val="432"/>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Jorge del Calvo</w:t>
            </w:r>
          </w:p>
        </w:tc>
        <w:tc>
          <w:tcPr>
            <w:tcW w:w="12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June 30,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Jorge del Calvo</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Emmanuel Hernandez</w:t>
            </w:r>
          </w:p>
        </w:tc>
        <w:tc>
          <w:tcPr>
            <w:tcW w:w="12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June 30,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Emmanuel Hernandez</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Heystee</w:t>
            </w:r>
          </w:p>
        </w:tc>
        <w:tc>
          <w:tcPr>
            <w:tcW w:w="12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June 30,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Susan Heystee</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Sundari Mitra</w:t>
            </w:r>
          </w:p>
        </w:tc>
        <w:tc>
          <w:tcPr>
            <w:tcW w:w="12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June 30,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Sundari Mitra</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Remy Trafelet</w:t>
            </w:r>
          </w:p>
        </w:tc>
        <w:tc>
          <w:tcPr>
            <w:tcW w:w="12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June 30,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Remy Trafelet</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Angus Pacala, certify that:</w:t>
      </w:r>
    </w:p>
    <w:p>
      <w:pPr>
        <w:spacing w:after="0" w:line="131" w:lineRule="exact"/>
        <w:rPr>
          <w:sz w:val="20"/>
          <w:szCs w:val="20"/>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Ouster,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June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Angus Pacala</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Co-Founder and Chief Executive Officer</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024"/>
          </w:cols>
          <w:pgMar w:left="436" w:top="121" w:right="4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Anna Brunelle, certify that:</w:t>
      </w:r>
    </w:p>
    <w:p>
      <w:pPr>
        <w:spacing w:after="0" w:line="131" w:lineRule="exact"/>
        <w:rPr>
          <w:sz w:val="20"/>
          <w:szCs w:val="20"/>
          <w:color w:val="auto"/>
        </w:rPr>
      </w:pPr>
    </w:p>
    <w:p>
      <w:pPr>
        <w:ind w:left="424" w:hanging="424"/>
        <w:spacing w:after="0"/>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Ouster,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June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Anna Brunelle</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024"/>
          </w:cols>
          <w:pgMar w:left="436" w:top="121" w:right="4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In connection with the Annual Report on Form 10-K/A of Ouster, Inc. (the “Company”) for the period ended December 31, 2020 as filed with the Securities and Exchange Commission on the date hereof (the “Report”), I certify, pursuant to 18 U.S.C. § 1350, as adopted pursuant to §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June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Angus Pacala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Co-Founder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In connection with the Annual Report on Form 10-K/A of Ouster, Inc. (the “Company”) for the period ended December 31, 2020 as filed with the Securities and Exchange Commission on the date hereof (the “Report”), I certify, pursuant to 18 U.S.C. § 1350, as adopted pursuant to § 906 of the Sarbanes-Oxley Act of 2002, that:</w:t>
      </w:r>
    </w:p>
    <w:p>
      <w:pPr>
        <w:spacing w:after="0" w:line="211" w:lineRule="exact"/>
        <w:rPr>
          <w:sz w:val="20"/>
          <w:szCs w:val="20"/>
          <w:color w:val="auto"/>
        </w:rPr>
      </w:pPr>
    </w:p>
    <w:p>
      <w:pPr>
        <w:ind w:left="960" w:hanging="53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June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Anna Brunelle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Anna Brunelle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lowerLetter"/>
      <w:start w:val="25"/>
    </w:lvl>
  </w:abstractNum>
  <w:abstractNum w:abstractNumId="14">
    <w:nsid w:val="721DA317"/>
    <w:multiLevelType w:val="hybridMultilevel"/>
    <w:lvl w:ilvl="0">
      <w:lvlJc w:val="left"/>
      <w:lvlText w:val="(%1)"/>
      <w:numFmt w:val="lowerRoman"/>
      <w:start w:val="2"/>
    </w:lvl>
  </w:abstractNum>
  <w:abstractNum w:abstractNumId="15">
    <w:nsid w:val="2443A858"/>
    <w:multiLevelType w:val="hybridMultilevel"/>
    <w:lvl w:ilvl="0">
      <w:lvlJc w:val="left"/>
      <w:lvlText w:val="(%1)"/>
      <w:numFmt w:val="lowerLetter"/>
      <w:start w:val="1"/>
    </w:lvl>
    <w:lvl w:ilvl="1">
      <w:lvlJc w:val="left"/>
      <w:lvlText w:val="(%2)"/>
      <w:numFmt w:val="decimal"/>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lowerRoman"/>
      <w:start w:val="1"/>
    </w:lvl>
  </w:abstractNum>
  <w:abstractNum w:abstractNumId="19">
    <w:nsid w:val="8EDBDAB"/>
    <w:multiLevelType w:val="hybridMultilevel"/>
    <w:lvl w:ilvl="0">
      <w:lvlJc w:val="left"/>
      <w:lvlText w:val="(%1)"/>
      <w:numFmt w:val="decimal"/>
      <w:start w:val="2"/>
    </w:lvl>
  </w:abstractNum>
  <w:abstractNum w:abstractNumId="20">
    <w:nsid w:val="79838CB2"/>
    <w:multiLevelType w:val="hybridMultilevel"/>
    <w:lvl w:ilvl="0">
      <w:lvlJc w:val="left"/>
      <w:lvlText w:val="(%1)"/>
      <w:numFmt w:val="lowerRoman"/>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2"/>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1"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02" Type="http://schemas.openxmlformats.org/officeDocument/2006/relationships/hyperlink" Target="http://www.sec.gov/Archives/edgar/data/1816581/000119312520324674/d10549ds4.htm#rom10549_42" TargetMode="External"/><Relationship Id="rId103" Type="http://schemas.openxmlformats.org/officeDocument/2006/relationships/hyperlink" Target="http://www.sec.gov/Archives/edgar/data/1816581/000119312520229870/d938278dex31.htm" TargetMode="External"/><Relationship Id="rId104" Type="http://schemas.openxmlformats.org/officeDocument/2006/relationships/hyperlink" Target="http://www.sec.gov/Archives/edgar/data/1816581/000119312520209451/d937985dex41.htm" TargetMode="External"/><Relationship Id="rId105" Type="http://schemas.openxmlformats.org/officeDocument/2006/relationships/hyperlink" Target="http://www.sec.gov/Archives/edgar/data/1816581/000119312520209451/d937985dex42.htm" TargetMode="External"/><Relationship Id="rId106" Type="http://schemas.openxmlformats.org/officeDocument/2006/relationships/hyperlink" Target="http://www.sec.gov/Archives/edgar/data/1816581/000119312520209451/d937985dex43.htm" TargetMode="External"/><Relationship Id="rId107" Type="http://schemas.openxmlformats.org/officeDocument/2006/relationships/hyperlink" Target="http://www.sec.gov/Archives/edgar/data/0001816581/000119312520229870/d938278dex41.htm" TargetMode="External"/><Relationship Id="rId108" Type="http://schemas.openxmlformats.org/officeDocument/2006/relationships/hyperlink" Target="http://www.sec.gov/Archives/edgar/data/1816581/000119312520229870/d938278dex101.htm" TargetMode="External"/><Relationship Id="rId109" Type="http://schemas.openxmlformats.org/officeDocument/2006/relationships/hyperlink" Target="http://www.sec.gov/Archives/edgar/data/1816581/000119312520229870/d938278dex102.htm" TargetMode="External"/><Relationship Id="rId110" Type="http://schemas.openxmlformats.org/officeDocument/2006/relationships/hyperlink" Target="http://www.sec.gov/Archives/edgar/data/1816581/000119312520229870/d938278dex103.htm" TargetMode="External"/><Relationship Id="rId112" Type="http://schemas.openxmlformats.org/officeDocument/2006/relationships/hyperlink" Target="http://www.sec.gov/Archives/edgar/data/1816581/000119312520229870/d938278dex104.htm" TargetMode="External"/><Relationship Id="rId113" Type="http://schemas.openxmlformats.org/officeDocument/2006/relationships/hyperlink" Target="http://www.sec.gov/Archives/edgar/data/1816581/000119312520229870/d938278dex105.htm" TargetMode="External"/><Relationship Id="rId114" Type="http://schemas.openxmlformats.org/officeDocument/2006/relationships/hyperlink" Target="http://www.sec.gov/Archives/edgar/data/1816581/000119312520209451/d937985dex105.htm" TargetMode="External"/><Relationship Id="rId115" Type="http://schemas.openxmlformats.org/officeDocument/2006/relationships/hyperlink" Target="http://www.sec.gov/Archives/edgar/data/1816581/000119312520209451/d937985dex106.htm" TargetMode="External"/><Relationship Id="rId116" Type="http://schemas.openxmlformats.org/officeDocument/2006/relationships/hyperlink" Target="http://www.sec.gov/Archives/edgar/data/1816581/000119312520209451/d937985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2021-06-30T15:09:43Z</dcterms:created>
  <dcterms:modified xsi:type="dcterms:W3CDTF">2021-06-30T15:09:43Z</dcterms:modified>
</cp:coreProperties>
</file>