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March 24, 2022</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333-254987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POST-EFFECTIVE</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AMENDMENT NO. 1</w:t>
      </w:r>
    </w:p>
    <w:p>
      <w:pPr>
        <w:jc w:val="center"/>
        <w:ind w:right="-99"/>
        <w:spacing w:after="0"/>
        <w:rPr>
          <w:sz w:val="20"/>
          <w:szCs w:val="20"/>
          <w:color w:val="auto"/>
        </w:rPr>
      </w:pPr>
      <w:r>
        <w:rPr>
          <w:rFonts w:ascii="Arial" w:cs="Arial" w:eastAsia="Arial" w:hAnsi="Arial"/>
          <w:sz w:val="27"/>
          <w:szCs w:val="27"/>
          <w:b w:val="1"/>
          <w:bCs w:val="1"/>
          <w:color w:val="auto"/>
        </w:rPr>
        <w:t>TO</w:t>
      </w:r>
    </w:p>
    <w:p>
      <w:pPr>
        <w:jc w:val="center"/>
        <w:ind w:right="-99"/>
        <w:spacing w:after="0"/>
        <w:rPr>
          <w:sz w:val="20"/>
          <w:szCs w:val="20"/>
          <w:color w:val="auto"/>
        </w:rPr>
      </w:pPr>
      <w:r>
        <w:rPr>
          <w:rFonts w:ascii="Arial" w:cs="Arial" w:eastAsia="Arial" w:hAnsi="Arial"/>
          <w:sz w:val="27"/>
          <w:szCs w:val="27"/>
          <w:b w:val="1"/>
          <w:bCs w:val="1"/>
          <w:color w:val="auto"/>
        </w:rPr>
        <w:t>FORM S-1</w:t>
      </w: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Ouster,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149"/>
        </w:trPr>
        <w:tc>
          <w:tcPr>
            <w:tcW w:w="2720" w:type="dxa"/>
            <w:vAlign w:val="bottom"/>
          </w:tcPr>
          <w:p>
            <w:pPr>
              <w:jc w:val="center"/>
              <w:ind w:right="996"/>
              <w:spacing w:after="0"/>
              <w:rPr>
                <w:sz w:val="20"/>
                <w:szCs w:val="20"/>
                <w:color w:val="auto"/>
              </w:rPr>
            </w:pPr>
            <w:r>
              <w:rPr>
                <w:rFonts w:ascii="Arial" w:cs="Arial" w:eastAsia="Arial" w:hAnsi="Arial"/>
                <w:sz w:val="13"/>
                <w:szCs w:val="13"/>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6"/>
              </w:rPr>
              <w:t>3569</w:t>
            </w:r>
          </w:p>
        </w:tc>
        <w:tc>
          <w:tcPr>
            <w:tcW w:w="2360" w:type="dxa"/>
            <w:vAlign w:val="bottom"/>
          </w:tcPr>
          <w:p>
            <w:pPr>
              <w:jc w:val="center"/>
              <w:ind w:left="1036"/>
              <w:spacing w:after="0"/>
              <w:rPr>
                <w:sz w:val="20"/>
                <w:szCs w:val="20"/>
                <w:color w:val="auto"/>
              </w:rPr>
            </w:pPr>
            <w:r>
              <w:rPr>
                <w:rFonts w:ascii="Arial" w:cs="Arial" w:eastAsia="Arial" w:hAnsi="Arial"/>
                <w:sz w:val="13"/>
                <w:szCs w:val="13"/>
                <w:b w:val="1"/>
                <w:bCs w:val="1"/>
                <w:color w:val="auto"/>
                <w:w w:val="95"/>
              </w:rPr>
              <w:t>86-2528989</w:t>
            </w:r>
          </w:p>
        </w:tc>
      </w:tr>
      <w:tr>
        <w:trPr>
          <w:trHeight w:val="135"/>
        </w:trPr>
        <w:tc>
          <w:tcPr>
            <w:tcW w:w="2720" w:type="dxa"/>
            <w:vAlign w:val="bottom"/>
          </w:tcPr>
          <w:p>
            <w:pPr>
              <w:jc w:val="center"/>
              <w:ind w:right="996"/>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6"/>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6"/>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350 Treat Avenue</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San Francisco, California 94110</w:t>
      </w:r>
    </w:p>
    <w:p>
      <w:pPr>
        <w:jc w:val="center"/>
        <w:ind w:right="-99"/>
        <w:spacing w:after="0" w:line="229" w:lineRule="auto"/>
        <w:rPr>
          <w:sz w:val="20"/>
          <w:szCs w:val="20"/>
          <w:color w:val="auto"/>
        </w:rPr>
      </w:pPr>
      <w:r>
        <w:rPr>
          <w:rFonts w:ascii="Arial" w:cs="Arial" w:eastAsia="Arial" w:hAnsi="Arial"/>
          <w:sz w:val="13"/>
          <w:szCs w:val="13"/>
          <w:b w:val="1"/>
          <w:bCs w:val="1"/>
          <w:color w:val="auto"/>
        </w:rPr>
        <w:t>(415) 949-0108</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Adam Dolinko</w:t>
      </w:r>
    </w:p>
    <w:p>
      <w:pPr>
        <w:jc w:val="center"/>
        <w:ind w:right="-99"/>
        <w:spacing w:after="0" w:line="216" w:lineRule="auto"/>
        <w:rPr>
          <w:sz w:val="20"/>
          <w:szCs w:val="20"/>
          <w:color w:val="auto"/>
        </w:rPr>
      </w:pPr>
      <w:r>
        <w:rPr>
          <w:rFonts w:ascii="Arial" w:cs="Arial" w:eastAsia="Arial" w:hAnsi="Arial"/>
          <w:sz w:val="13"/>
          <w:szCs w:val="13"/>
          <w:b w:val="1"/>
          <w:bCs w:val="1"/>
          <w:color w:val="auto"/>
        </w:rPr>
        <w:t>General Counsel</w:t>
      </w:r>
    </w:p>
    <w:p>
      <w:pPr>
        <w:jc w:val="center"/>
        <w:ind w:right="-99"/>
        <w:spacing w:after="0" w:line="217" w:lineRule="auto"/>
        <w:rPr>
          <w:sz w:val="20"/>
          <w:szCs w:val="20"/>
          <w:color w:val="auto"/>
        </w:rPr>
      </w:pPr>
      <w:r>
        <w:rPr>
          <w:rFonts w:ascii="Arial" w:cs="Arial" w:eastAsia="Arial" w:hAnsi="Arial"/>
          <w:sz w:val="13"/>
          <w:szCs w:val="13"/>
          <w:b w:val="1"/>
          <w:bCs w:val="1"/>
          <w:color w:val="auto"/>
        </w:rPr>
        <w:t>Ouster, Inc.</w:t>
      </w:r>
    </w:p>
    <w:p>
      <w:pPr>
        <w:jc w:val="center"/>
        <w:ind w:right="-99"/>
        <w:spacing w:after="0" w:line="217" w:lineRule="auto"/>
        <w:rPr>
          <w:sz w:val="20"/>
          <w:szCs w:val="20"/>
          <w:color w:val="auto"/>
        </w:rPr>
      </w:pPr>
      <w:r>
        <w:rPr>
          <w:rFonts w:ascii="Arial" w:cs="Arial" w:eastAsia="Arial" w:hAnsi="Arial"/>
          <w:sz w:val="13"/>
          <w:szCs w:val="13"/>
          <w:b w:val="1"/>
          <w:bCs w:val="1"/>
          <w:color w:val="auto"/>
        </w:rPr>
        <w:t>350 Treat Avenue</w:t>
      </w:r>
    </w:p>
    <w:p>
      <w:pPr>
        <w:jc w:val="center"/>
        <w:ind w:right="-99"/>
        <w:spacing w:after="0" w:line="216" w:lineRule="auto"/>
        <w:rPr>
          <w:sz w:val="20"/>
          <w:szCs w:val="20"/>
          <w:color w:val="auto"/>
        </w:rPr>
      </w:pPr>
      <w:r>
        <w:rPr>
          <w:rFonts w:ascii="Arial" w:cs="Arial" w:eastAsia="Arial" w:hAnsi="Arial"/>
          <w:sz w:val="13"/>
          <w:szCs w:val="13"/>
          <w:b w:val="1"/>
          <w:bCs w:val="1"/>
          <w:color w:val="auto"/>
        </w:rPr>
        <w:t>San Francisco, California 94110</w:t>
      </w:r>
    </w:p>
    <w:p>
      <w:pPr>
        <w:jc w:val="center"/>
        <w:ind w:right="-99"/>
        <w:spacing w:after="0" w:line="217" w:lineRule="auto"/>
        <w:rPr>
          <w:sz w:val="20"/>
          <w:szCs w:val="20"/>
          <w:color w:val="auto"/>
        </w:rPr>
      </w:pPr>
      <w:r>
        <w:rPr>
          <w:rFonts w:ascii="Arial" w:cs="Arial" w:eastAsia="Arial" w:hAnsi="Arial"/>
          <w:sz w:val="13"/>
          <w:szCs w:val="13"/>
          <w:b w:val="1"/>
          <w:bCs w:val="1"/>
          <w:color w:val="auto"/>
        </w:rPr>
        <w:t>(415) 949-0108</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i w:val="1"/>
          <w:iCs w:val="1"/>
          <w:color w:val="auto"/>
        </w:rPr>
        <w:t>Copies to:</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Benjamin Potter</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Drew Capurro</w:t>
      </w:r>
    </w:p>
    <w:p>
      <w:pPr>
        <w:jc w:val="center"/>
        <w:ind w:right="-99"/>
        <w:spacing w:after="0"/>
        <w:rPr>
          <w:sz w:val="20"/>
          <w:szCs w:val="20"/>
          <w:color w:val="auto"/>
        </w:rPr>
      </w:pPr>
      <w:r>
        <w:rPr>
          <w:rFonts w:ascii="Arial" w:cs="Arial" w:eastAsia="Arial" w:hAnsi="Arial"/>
          <w:sz w:val="13"/>
          <w:szCs w:val="13"/>
          <w:b w:val="1"/>
          <w:bCs w:val="1"/>
          <w:color w:val="auto"/>
        </w:rPr>
        <w:t>Latham &amp; Watkins LLP</w:t>
      </w:r>
    </w:p>
    <w:p>
      <w:pPr>
        <w:jc w:val="center"/>
        <w:ind w:right="-99"/>
        <w:spacing w:after="0"/>
        <w:rPr>
          <w:sz w:val="20"/>
          <w:szCs w:val="20"/>
          <w:color w:val="auto"/>
        </w:rPr>
      </w:pPr>
      <w:r>
        <w:rPr>
          <w:rFonts w:ascii="Arial" w:cs="Arial" w:eastAsia="Arial" w:hAnsi="Arial"/>
          <w:sz w:val="13"/>
          <w:szCs w:val="13"/>
          <w:b w:val="1"/>
          <w:bCs w:val="1"/>
          <w:color w:val="auto"/>
        </w:rPr>
        <w:t>140 Scott Drive</w:t>
      </w:r>
    </w:p>
    <w:p>
      <w:pPr>
        <w:jc w:val="center"/>
        <w:ind w:right="-99"/>
        <w:spacing w:after="0"/>
        <w:rPr>
          <w:sz w:val="20"/>
          <w:szCs w:val="20"/>
          <w:color w:val="auto"/>
        </w:rPr>
      </w:pPr>
      <w:r>
        <w:rPr>
          <w:rFonts w:ascii="Arial" w:cs="Arial" w:eastAsia="Arial" w:hAnsi="Arial"/>
          <w:sz w:val="13"/>
          <w:szCs w:val="13"/>
          <w:b w:val="1"/>
          <w:bCs w:val="1"/>
          <w:color w:val="auto"/>
        </w:rPr>
        <w:t>Menlo Park, California 94025</w:t>
      </w:r>
    </w:p>
    <w:p>
      <w:pPr>
        <w:jc w:val="center"/>
        <w:ind w:right="-99"/>
        <w:spacing w:after="0"/>
        <w:rPr>
          <w:sz w:val="20"/>
          <w:szCs w:val="20"/>
          <w:color w:val="auto"/>
        </w:rPr>
      </w:pPr>
      <w:r>
        <w:rPr>
          <w:rFonts w:ascii="Arial" w:cs="Arial" w:eastAsia="Arial" w:hAnsi="Arial"/>
          <w:sz w:val="13"/>
          <w:szCs w:val="13"/>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ind w:left="440"/>
        <w:spacing w:after="0"/>
        <w:rPr>
          <w:sz w:val="20"/>
          <w:szCs w:val="20"/>
          <w:color w:val="auto"/>
        </w:rPr>
      </w:pPr>
      <w:r>
        <w:rPr>
          <w:rFonts w:ascii="Arial" w:cs="Arial" w:eastAsia="Arial" w:hAnsi="Arial"/>
          <w:sz w:val="12"/>
          <w:szCs w:val="12"/>
          <w:b w:val="1"/>
          <w:bCs w:val="1"/>
          <w:color w:val="auto"/>
        </w:rPr>
        <w:t xml:space="preserve">Approximate date of commencement of proposed sale of the securities to the public: </w:t>
      </w:r>
      <w:r>
        <w:rPr>
          <w:rFonts w:ascii="Arial" w:cs="Arial" w:eastAsia="Arial" w:hAnsi="Arial"/>
          <w:sz w:val="12"/>
          <w:szCs w:val="12"/>
          <w:color w:val="auto"/>
        </w:rPr>
        <w:t>From time to time after this Registration Statement becomes effective.</w:t>
      </w:r>
    </w:p>
    <w:p>
      <w:pPr>
        <w:spacing w:after="0" w:line="33" w:lineRule="exact"/>
        <w:rPr>
          <w:sz w:val="24"/>
          <w:szCs w:val="24"/>
          <w:color w:val="auto"/>
        </w:rPr>
      </w:pPr>
    </w:p>
    <w:p>
      <w:pPr>
        <w:ind w:left="44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1"/>
          <w:szCs w:val="11"/>
          <w:color w:val="auto"/>
        </w:rPr>
        <w:t>☒</w:t>
      </w:r>
    </w:p>
    <w:p>
      <w:pPr>
        <w:spacing w:after="0" w:line="83" w:lineRule="exact"/>
        <w:rPr>
          <w:sz w:val="24"/>
          <w:szCs w:val="24"/>
          <w:color w:val="auto"/>
        </w:rPr>
      </w:pPr>
    </w:p>
    <w:p>
      <w:pPr>
        <w:ind w:left="120" w:right="80" w:firstLine="330"/>
        <w:spacing w:after="0" w:line="149"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7" w:lineRule="exact"/>
        <w:rPr>
          <w:sz w:val="24"/>
          <w:szCs w:val="24"/>
          <w:color w:val="auto"/>
        </w:rPr>
      </w:pPr>
    </w:p>
    <w:p>
      <w:pPr>
        <w:ind w:left="120" w:right="60" w:firstLine="330"/>
        <w:spacing w:after="0" w:line="149"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7" w:lineRule="exact"/>
        <w:rPr>
          <w:sz w:val="24"/>
          <w:szCs w:val="24"/>
          <w:color w:val="auto"/>
        </w:rPr>
      </w:pPr>
    </w:p>
    <w:p>
      <w:pPr>
        <w:ind w:left="120" w:right="60" w:firstLine="330"/>
        <w:spacing w:after="0" w:line="149"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7" w:lineRule="exact"/>
        <w:rPr>
          <w:sz w:val="24"/>
          <w:szCs w:val="24"/>
          <w:color w:val="auto"/>
        </w:rPr>
      </w:pPr>
    </w:p>
    <w:p>
      <w:pPr>
        <w:ind w:left="120" w:right="180" w:firstLine="330"/>
        <w:spacing w:after="0" w:line="25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280" w:type="dxa"/>
            <w:vAlign w:val="bottom"/>
          </w:tcPr>
          <w:p>
            <w:pPr>
              <w:spacing w:after="0"/>
              <w:rPr>
                <w:sz w:val="20"/>
                <w:szCs w:val="20"/>
                <w:color w:val="auto"/>
              </w:rPr>
            </w:pPr>
            <w:r>
              <w:rPr>
                <w:rFonts w:ascii="Arial" w:cs="Arial" w:eastAsia="Arial" w:hAnsi="Arial"/>
                <w:sz w:val="13"/>
                <w:szCs w:val="13"/>
                <w:color w:val="auto"/>
                <w:w w:val="97"/>
              </w:rPr>
              <w:t>Large 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2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28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5360" w:type="dxa"/>
            <w:vAlign w:val="bottom"/>
          </w:tcPr>
          <w:p>
            <w:pPr>
              <w:ind w:left="378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3" w:lineRule="exact"/>
        <w:rPr>
          <w:sz w:val="24"/>
          <w:szCs w:val="24"/>
          <w:color w:val="auto"/>
        </w:rPr>
      </w:pPr>
    </w:p>
    <w:p>
      <w:pPr>
        <w:ind w:left="120" w:right="560" w:firstLine="330"/>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p>
      <w:pPr>
        <w:ind w:left="120" w:right="320" w:firstLine="330"/>
        <w:spacing w:after="0" w:line="245"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original registration statement (the “Existing Registration Statement”) of Ouster, Inc. (“Ouster”) on Form S-1 (File No. 333-254987) declared effective by the Securities and Exchange Commission (the “SEC”) on August 19, 2021, to which this Registration Statement is a Post-Effective Amendment No. 1 (this “Registration Statement”), covered (i) the resale of 103,054,834 shares of common stock, par value $0.0001 per share (the “common stock”) issued in connection with the Merger (as defined below) by certain of the securityholders named in this prospectus (each a “Registered Holder” and, collectively, the “Registered Holders”), (ii) the resale of 10,000,000 shares of common stock issued in the PIPE Investment (as defined below) by certain of the Registered Holders, (iii) the resale of up to 152,568 shares of common stock upon the settlement of restricted stock units and (iv) the issuance by us of up to 15,999,996 shares of common stock upon the exercise of outstanding warrants (the “Public Warrants”). The Existing Registration Statement also relates to the resale of up to 6,000,000 of our outstanding warrants originally purchased in a private placement by certain of the Registered Holders (the “Private Warrants”).</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Post-Effective Amendment No. 1 to the Existing Registration Statement contains an updated prospectus relating to the offering and sale of (i) the shares of outstanding common stock covered by the Existing Registration Statement, (ii) the shares common stock remaining available for issuance under the Existing Registration Statement (including upon exercise of the Public Warrants and/or Private Placement Warrants) and (iii) the Private Placement Warrants. This Registration Statement amends and restates the information contained in the Existing Registration Statement (and all amendments thereto) under the headings contained herein.</w:t>
      </w:r>
    </w:p>
    <w:p>
      <w:pPr>
        <w:spacing w:after="0" w:line="18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All filing fees payable in connection with the registration of the shares of common stock and the Private Placement Warrants covered by this Registration Statement were paid by the Registrant at the time of the initial filing of the Existing Registration Statement. No additional securities are registered hereby.</w:t>
      </w:r>
    </w:p>
    <w:p>
      <w:pPr>
        <w:sectPr>
          <w:pgSz w:w="11900" w:h="16838" w:orient="portrait"/>
          <w:cols w:equalWidth="0" w:num="1">
            <w:col w:w="11100"/>
          </w:cols>
          <w:pgMar w:left="320" w:top="48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SUBJECT TO COMPLETION, DATED MARCH 24, 2022</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97,472,424 SHARES OF COMMON STOCK AND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6,000,000 WARRANTS TO PURCHASE SHARES OF COMMON STOCK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15,999,996 SHARES OF COMMON STOCK UNDERLYING WARRANTS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OUSTER, INC.</w:t>
      </w:r>
    </w:p>
    <w:p>
      <w:pPr>
        <w:spacing w:after="0" w:line="103"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relates to (i) the resale of 92,151,523 shares of common stock, par value $0.0001 per share (the “common stock”) issued in connection with the Merger (as defined below) by certain of the securityholders named in this prospectus (each a “Registered Holder” and, collectively, the “Registered Holders”), (ii) the resale of 5,168,333 shares of common stock issued in the PIPE Investment (as defined below) by certain of the Registered Holders, (iii) the resale of up to 152,568 shares of common stock upon the settlement of restricted stock units and (iv) the issuance by us of up to 15,999,996 shares of common stock upon the exercise of outstanding warrants. This prospectus also relates to the resale of up to 6,000,000 of our outstanding warrants originally purchased in a private placement by certain of the Registered Holders.</w:t>
      </w:r>
    </w:p>
    <w:p>
      <w:pPr>
        <w:spacing w:after="0" w:line="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March 11, 2021, we consummated the transactions contemplated by that certain Agreement and Plan of Merger, dated as of December 21, 2020 (the “Merger Agreement”), by and among Colonnade Acquisition Corp., a Cayman Islands exempted company (“CLA”), Beam Merger Sub Inc., a Delaware corporation and a direct wholly owned subsidiary of CLA (“Merger Sub”), and Ouster, Inc., a Delaware corporation (“Old Ouster”). As contemplated by the Merger Agreement, CLA was domesticated as a Delaware corporation and changed its name to “Ouster, Inc.” (the “Domestication”). Following the Domestication, Merger Sub merged with and into Old Ouster, the separate corporate existence of Merger Sub ceased and Old Ouster survived as a wholly owned subsidiary of Ouster (the “Merger” and, together with the Domestication, the “Business Combination”).</w:t>
      </w:r>
    </w:p>
    <w:p>
      <w:pPr>
        <w:spacing w:after="0" w:line="5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will receive the proceeds from any exercise of the warrants for cash, but not from the resale of the shares of common stock or warrants by the Registered Holders.</w:t>
      </w:r>
    </w:p>
    <w:p>
      <w:pPr>
        <w:spacing w:after="0" w:line="62"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We will bear all costs, expenses and fees in connection with the registration of the shares of common stock and warrants. The Registered Holders will bear all commissions and discounts, if any, attributable to their respective sales of the shares of common stock and warrants.</w:t>
      </w:r>
    </w:p>
    <w:p>
      <w:pPr>
        <w:spacing w:after="0" w:line="3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common stock trades on the New York Stock Exchange (the “NYSE”) under the ticker symbol “OUST” and our warrants trade on the NYSE under the ticker symbol “OUST WS”. On March 23, 2022, the closing sale price of our common stock as reported by the NYSE was $3.86 per share and the closing price of our warrants was $0.74 per warrant.</w:t>
      </w:r>
    </w:p>
    <w:p>
      <w:pPr>
        <w:spacing w:after="0" w:line="62" w:lineRule="exact"/>
        <w:rPr>
          <w:sz w:val="20"/>
          <w:szCs w:val="20"/>
          <w:color w:val="auto"/>
        </w:rPr>
      </w:pPr>
    </w:p>
    <w:p>
      <w:pPr>
        <w:ind w:left="120" w:right="66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shares of our common stock or warrants involves risks that are described in the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4 of this prospectus.</w:t>
      </w:r>
    </w:p>
    <w:p>
      <w:pPr>
        <w:spacing w:after="0" w:line="6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34" w:lineRule="exact"/>
        <w:rPr>
          <w:sz w:val="20"/>
          <w:szCs w:val="20"/>
          <w:color w:val="auto"/>
        </w:rPr>
      </w:pPr>
    </w:p>
    <w:p>
      <w:pPr>
        <w:ind w:left="3920"/>
        <w:spacing w:after="0"/>
        <w:tabs>
          <w:tab w:leader="none" w:pos="72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3"/>
          <w:szCs w:val="13"/>
          <w:b w:val="1"/>
          <w:bCs w:val="1"/>
          <w:color w:val="auto"/>
        </w:rPr>
        <w:t>.</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060" w:type="dxa"/>
            <w:vAlign w:val="bottom"/>
            <w:tcBorders>
              <w:bottom w:val="single" w:sz="8" w:color="0000EE"/>
            </w:tcBorders>
            <w:gridSpan w:val="10"/>
          </w:tcPr>
          <w:p>
            <w:pPr>
              <w:spacing w:after="0" w:line="190"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SELECTED DEFINITIONS</w:t>
              </w:r>
            </w:hyperlink>
          </w:p>
        </w:tc>
        <w:tc>
          <w:tcPr>
            <w:tcW w:w="7720" w:type="dxa"/>
            <w:vAlign w:val="bottom"/>
            <w:gridSpan w:val="11"/>
          </w:tcPr>
          <w:p>
            <w:pPr>
              <w:spacing w:after="0"/>
              <w:rPr>
                <w:sz w:val="16"/>
                <w:szCs w:val="16"/>
                <w:color w:val="auto"/>
              </w:rPr>
            </w:pPr>
          </w:p>
        </w:tc>
        <w:tc>
          <w:tcPr>
            <w:tcW w:w="118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304"/>
        </w:trPr>
        <w:tc>
          <w:tcPr>
            <w:tcW w:w="634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CAUTIONARY STATEMENT REGARDING FORWARD-LOOKING STATEMENTS</w:t>
              </w:r>
            </w:hyperlink>
          </w:p>
        </w:tc>
        <w:tc>
          <w:tcPr>
            <w:tcW w:w="3440" w:type="dxa"/>
            <w:vAlign w:val="bottom"/>
            <w:gridSpan w:val="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80" w:type="dxa"/>
            <w:vAlign w:val="bottom"/>
            <w:tcBorders>
              <w:top w:val="single" w:sz="8" w:color="0000EE"/>
            </w:tcBorders>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770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USE OF PROCEEDS</w:t>
              </w:r>
            </w:hyperlink>
          </w:p>
        </w:tc>
        <w:tc>
          <w:tcPr>
            <w:tcW w:w="8180" w:type="dxa"/>
            <w:vAlign w:val="bottom"/>
            <w:gridSpan w:val="1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5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DIVIDEND POLICY</w:t>
              </w:r>
            </w:hyperlink>
          </w:p>
        </w:tc>
        <w:tc>
          <w:tcPr>
            <w:tcW w:w="8200" w:type="dxa"/>
            <w:vAlign w:val="bottom"/>
            <w:gridSpan w:val="1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BUSINESS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MANAGEMENT</w:t>
              </w:r>
            </w:hyperlink>
          </w:p>
        </w:tc>
        <w:tc>
          <w:tcPr>
            <w:tcW w:w="7600" w:type="dxa"/>
            <w:vAlign w:val="bottom"/>
            <w:tcBorders>
              <w:top w:val="single" w:sz="8" w:color="0000EE"/>
            </w:tcBorders>
            <w:gridSpan w:val="16"/>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24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EXECUTIVE COMPENSATION</w:t>
              </w:r>
            </w:hyperlink>
          </w:p>
        </w:tc>
        <w:tc>
          <w:tcPr>
            <w:tcW w:w="734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DIRECTOR COMPENSATION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23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PRINCIPAL STOCKHOLDERS</w:t>
              </w:r>
            </w:hyperlink>
          </w:p>
        </w:tc>
        <w:tc>
          <w:tcPr>
            <w:tcW w:w="7400" w:type="dxa"/>
            <w:vAlign w:val="bottom"/>
            <w:gridSpan w:val="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9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REGISTERED HOLDERS</w:t>
              </w:r>
            </w:hyperlink>
          </w:p>
        </w:tc>
        <w:tc>
          <w:tcPr>
            <w:tcW w:w="780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8"/>
        </w:trPr>
        <w:tc>
          <w:tcPr>
            <w:tcW w:w="560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10">
              <w:r>
                <w:rPr>
                  <w:rFonts w:ascii="Arial" w:cs="Arial" w:eastAsia="Arial" w:hAnsi="Arial"/>
                  <w:sz w:val="18"/>
                  <w:szCs w:val="18"/>
                  <w:color w:val="0000EE"/>
                  <w:w w:val="95"/>
                </w:rPr>
                <w:t>CERTAIN RELATIONSHIPS AND RELATED PERSON TRANSACTIONS</w:t>
              </w:r>
            </w:hyperlink>
          </w:p>
        </w:tc>
        <w:tc>
          <w:tcPr>
            <w:tcW w:w="418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DESCRIPTION OF OUR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2920" w:type="dxa"/>
            <w:vAlign w:val="bottom"/>
            <w:tcBorders>
              <w:top w:val="single" w:sz="8" w:color="0000EE"/>
            </w:tcBorders>
            <w:gridSpan w:val="1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PLAN OF DISTRIBUTION</w:t>
              </w:r>
            </w:hyperlink>
          </w:p>
        </w:tc>
        <w:tc>
          <w:tcPr>
            <w:tcW w:w="6860" w:type="dxa"/>
            <w:vAlign w:val="bottom"/>
            <w:gridSpan w:val="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24"/>
                <w:szCs w:val="24"/>
                <w:color w:val="auto"/>
              </w:rPr>
            </w:pPr>
          </w:p>
        </w:tc>
        <w:tc>
          <w:tcPr>
            <w:tcW w:w="774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EXPERTS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WHERE YOU CAN FIND MORE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800" w:type="dxa"/>
            <w:vAlign w:val="bottom"/>
            <w:gridSpan w:val="1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1"/>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INDEX TO CONSOLIDATED FINANCIAL STATEMENTS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SELECTED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“2021 Plan” are to the Ouster 2021 Incentive Award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are to the Company’s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Combination” are to the Domestication together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are to our bylaws dated as of March 10,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“Certificate of Incorporation” are our certificate of incorporation dated as of March 10,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 are to Colonnade Acquisition Corp. prior to its domestication as a corporation in the State of Delaware;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 Class A ordinary shares” are to CLA’s Class A ordinary shares,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 Class B ordinary shares” are to CLA’s Class B ordinary shares, par value $0.0001 per share;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 units” and “units” are to the units of CLA, each unit representing one CLA Class A ordinary share and one-half of one redeemable warrant to acquire one CLA Class A ordinary share, that were offered and sold by CLA in its initial public offering and registered pursuant to the IPO registration statement;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30"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“Company,” “we,” “us” and “our” are to CLA prior to its domestication as a corporation in the State of Delaware and to Ouster after its domestication as a corporation incorporated in the State of Delaware, including after its change of name to Ouster, Inc.;</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“Continental” are to Continental Stock Transfer &amp; Trust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“DGCL” are to the General Corporation Law of the State of Delaware;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“Domestication” are to the domestication of Colonnade Acquisition Corp. as a corporation incorporated in the State of Delaware;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 Act” are to the Securities Exchange Act of 1934, as amended;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 Ratio” are to the quotient obtained by dividing (i) 150,000,000 by (ii) the aggregate fully-diluted number of shares of Old Ouster common stock issued and outstanding immediately prior to the Merger;</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“founder shares” are to the CLA Class B ordinary shares purchased by the Sponsor in a private placement prior to the initial public offering, and the CLA Class A ordinary shares that were issued upon the conversion thereof in connection with the Business Combination;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are to accounting principles generally accepted in the United States of America;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“initial public offering” are to CLA’s initial public offering that was consummated on August 25, 2020;</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“IPO registration statement” are to the Registration Statement on Form S-1 (333-240378) filed by CLA in connection with its initial public offering, which became effective on August 20,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“IRS” are to the U.S. Internal Revenue Service;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Old Ouster, with Old Ouster surviving the merger as a wholly owned subsidiary of Ouster;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“NYSE” are to the New York Stock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“Old Ouster” are to Ouster, Inc. prior to the Business Combination, which became a wholly owned subsidiary of Ouster as a result of the Business Combination and changed its name from Ouster, Inc. to Ouster Technologies, Inc.;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“Old Ouster Capital Stock” are to shares of Old Ouster common stock and Old Ouster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“Old Ouster common stock” are to shares of Old Ouster common stock, par value $0.00001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“Old Ouster preferred stock” are to shares of Series B redeemable convertible preferred stock of Old Ouster, par value $0.00001 per share.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are to the CLA Class A ordinary shares and the CLA Class B ordinary shares, collectively;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“Organizational Documents” are to the Certificate of Incorporation and the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“Ouster” are to CLA after the Domestication and its name change from Colonnade Acquisition Corp. to Ouster,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“Ouster common stock” are to shares of Ouster common stock,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“PIPE Investment” are to the purchase of shares of Ouster common stock pursuant to the Subscription Agreements;</w:t>
      </w:r>
    </w:p>
    <w:p>
      <w:pPr>
        <w:spacing w:after="0" w:line="130"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“PIPE Investors” are to those certain institutional and accredited investors participating in the PIPE Investment pursuant to the Subscription Agreements;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“private placement warrants” are to the CLA private placement warrants outstanding as of the date of this prospectus and the warrants of Ouster issued as a matter of law upon the conversion thereof at the time of the Domestication;</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warrants” are to the redeemable warrants that were offered and sold by CLA in its initial public offering and registered pursuant to the IPO registration statement or the redeemable warrants of Ouster issued as a matter of law upon the conversion thereof at the time of the Domestication, as context requires;</w:t>
      </w:r>
    </w:p>
    <w:p>
      <w:pPr>
        <w:spacing w:after="0" w:line="89"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Rights Agreement” are to the Amended and Restated Registration Rights Agreement, by and among Ouster, the Sponsor, certain members of the Sponsor, the Sponsor Related PIPE Investor and certain former stockholders of Old Ouster, as amended and modified from time to time;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“Sarbanes-Oxley Act” are to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are to the United States Securities and Exchange Commission;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“Sponsor” are to Colonnade Sponsor LLC, a Delaware limited liability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“Sponsor Related PIPE Investor” are to Colonnade WPB LLC, an affiliate of the Sponsor (together with its permitted transferees);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Agreements” are to the subscription agreements pursuant to which the PIPE Investment was consummated;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Party PIPE Investor” are to any PIPE Investor who is not the Sponsor Related PIPE Investor;</w:t>
      </w:r>
    </w:p>
    <w:p>
      <w:pPr>
        <w:spacing w:after="0" w:line="130" w:lineRule="exact"/>
        <w:rPr>
          <w:rFonts w:ascii="Arial" w:cs="Arial" w:eastAsia="Arial" w:hAnsi="Arial"/>
          <w:sz w:val="18"/>
          <w:szCs w:val="18"/>
          <w:color w:val="auto"/>
        </w:rPr>
      </w:pPr>
    </w:p>
    <w:p>
      <w:pPr>
        <w:ind w:left="1080" w:right="7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 are to Old Ouster becoming a wholly owned subsidiary of Ouster as a result of Merger Sub, a direct wholly owned subsidiary of CLA, merging with and into Old Ouster, with Old Ouster surviving as a wholly owned subsidiary of Ouster;</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“trust account” are to the trust account established at the consummation of CLA’s initial public offering at JP Morgan Chase Bank, N.A. and maintained by Continental, acting as trustee;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are to the public warrants and the private placement warrants.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86"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Additionally, unless the context otherwise requires, references in this prospectus to the “Company,” “we,” “us” or “our” refer to the business of Ouster Technologies, Inc., which became the business of Ouster, Inc. and its subsidiaries following the Closing.</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0"/>
          </w:cols>
          <w:pgMar w:left="320" w:top="486"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contains forward-looking statements. We intend such forward-looking statements to be covered by the safe harbor provisions for forward-looking statements contained in Section 27A of the Securities Act and Section 21E of the Exchange Act. All statements other than statements of historical facts contained in this prospectus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prospectus include, but are not limited to statements regarding:</w:t>
      </w:r>
    </w:p>
    <w:p>
      <w:pPr>
        <w:spacing w:after="0" w:line="98"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lidar technology generally and of our digital lidar technology, in particular;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following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products and product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protect our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single-source suppliers and a third-party manufacturer;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under the section entitled “Risk Factors” in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You should read this prospectus and the documents that have filed as exhibits to the registration statement of which this prospectus is a part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prospectus. Except as required by applicable law, we do not plan to publicly update or revise any forward-looking statements contained in this prospectus, whether as a result of any new information, future events or otherwise.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Additional Information.”</w:t>
      </w:r>
    </w:p>
    <w:p>
      <w:pPr>
        <w:spacing w:after="0" w:line="188"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i w:val="1"/>
          <w:iCs w:val="1"/>
          <w:color w:val="auto"/>
        </w:rPr>
        <w:t>Unless context otherwise requires, references in this prospectus to the “Company,” “we,” “us” or “our” refer to the business of Ouster Technologies, Inc., which became the business of Ouster, Inc. following the Closing.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180" w:firstLine="426"/>
        <w:spacing w:after="0" w:line="308" w:lineRule="auto"/>
        <w:rPr>
          <w:sz w:val="20"/>
          <w:szCs w:val="20"/>
          <w:color w:val="auto"/>
        </w:rPr>
      </w:pPr>
      <w:r>
        <w:rPr>
          <w:rFonts w:ascii="Arial" w:cs="Arial" w:eastAsia="Arial" w:hAnsi="Arial"/>
          <w:sz w:val="17"/>
          <w:szCs w:val="17"/>
          <w:color w:val="auto"/>
        </w:rPr>
        <w:t>Ouster is building the eyes of autonomy. We are a leading provider of high-resolution digital lidar sensors and enabling software that gives robots, machinery, vehicles and fixed infrastructure advanced 3D vision allowing them to safely interact with the physical world.</w:t>
      </w:r>
    </w:p>
    <w:p>
      <w:pPr>
        <w:spacing w:after="0" w:line="146"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design and manufacture digital lidar sensors that we believe to be the highest performing, lowest cost lidar solutions available today across each of our four target markets: automotive, industrial automation; smart infrastructure and robotics.</w:t>
      </w:r>
    </w:p>
    <w:p>
      <w:pPr>
        <w:spacing w:after="0" w:line="170"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believe that our digital lidar technology positions us at the center of a global revolution in autonomy. We believe that 3D vision technologies, coupled with artificial intelligence, will power new autonomous technologies that in turn will fundamentally disrupt business models across many existing industries and also enable entirely new industries and capabilities.</w:t>
      </w:r>
    </w:p>
    <w:p>
      <w:pPr>
        <w:spacing w:after="0" w:line="184"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the year ended December 31, 2021, 34% of our total sensors shipped were to automotive customers. The automotive industry is undergoing a rapid shift towards advanced safety and autonomy features, powered by lidar, and we believe we are uniquely positioned, with our true solid-state digital lidar technology, to enable this transformation. We work with companies across the entire automotive ecosystem, from technology providers to direct automotive parts suppliers (“Tier 1s”) original equipment manufacturers (“OEMs”), to design and manufacture lidar sensors for these advanced vehicle systems.</w:t>
      </w:r>
    </w:p>
    <w:p>
      <w:pPr>
        <w:spacing w:after="0" w:line="188"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Beyond the automotive market, we believe that there is an even larger market for lidar sensors. We believe our highly flexible digital lidar architecture strongly positions us to address what we believe is a rapidly growing demand. Our industrial customers today are using lidar to increase safety and automating operations across the global supply chain, in material handling vehicles at ports and warehouses, in off-highway vehicles at mines and farms, and in manufacturing equipment in factories. In our smart infrastructure vertical, cities are increasing safety and efficiency through using lidar control traffic lights and warning systems, and security companies are improving intrusion detection and tracking by augmenting existing CCTV systems with the spatial tracking capabilities of lidar. We believe these markets present a significant opportunity for growth, as they touch nearly every aspect of our daily lives.</w:t>
      </w:r>
    </w:p>
    <w:p>
      <w:pPr>
        <w:spacing w:after="0" w:line="17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We envision a future where lidar-powered solutions are widespread, with useful and affordable 3D perception capabilities built into every moving robot, car, truck and drone, as well as every factory, building, stoplight, dock, and airport terminal.</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8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the section entitled “Risk Factors” immediately following this prospectus summary. You should carefully consider these risks and uncertainties when investing in our common stock. The principal risks and uncertainties affecting our business include the following:</w:t>
      </w:r>
    </w:p>
    <w:p>
      <w:pPr>
        <w:spacing w:after="0" w:line="89"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makes it difficult to evaluate our future prospects and the risks and challenges we may encounter.</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to date and may never achieve or sustain profitability.</w:t>
      </w:r>
    </w:p>
    <w:p>
      <w:pPr>
        <w:spacing w:after="0" w:line="130" w:lineRule="exact"/>
        <w:rPr>
          <w:rFonts w:ascii="Arial" w:cs="Arial" w:eastAsia="Arial" w:hAnsi="Arial"/>
          <w:sz w:val="18"/>
          <w:szCs w:val="18"/>
          <w:color w:val="auto"/>
        </w:rPr>
      </w:pPr>
    </w:p>
    <w:p>
      <w:pPr>
        <w:ind w:left="1240" w:right="140" w:hanging="415"/>
        <w:spacing w:after="0" w:line="311"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overcome our limited sales history and establish and maintain confidence in our long-term business prospects among customers in our target markets revenue opportunity, including from strategic customer agreements, does not materialize into sales and revenue, then our financial condition, operating results, business prospects and access to capital may suffer materially.</w:t>
      </w:r>
    </w:p>
    <w:p>
      <w:pPr>
        <w:spacing w:after="0" w:line="54" w:lineRule="exact"/>
        <w:rPr>
          <w:rFonts w:ascii="Arial" w:cs="Arial" w:eastAsia="Arial" w:hAnsi="Arial"/>
          <w:sz w:val="16"/>
          <w:szCs w:val="16"/>
          <w:color w:val="auto"/>
        </w:rPr>
      </w:pPr>
    </w:p>
    <w:p>
      <w:pPr>
        <w:ind w:left="1240" w:right="12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currently target many customers that are large corporations with substantial negotiating power and exacting product standards. If we are unable to sell our products to these customers, our prospects and results of operations will be adversely affected.</w:t>
      </w:r>
    </w:p>
    <w:p>
      <w:pPr>
        <w:spacing w:after="0" w:line="29" w:lineRule="exact"/>
        <w:rPr>
          <w:rFonts w:ascii="Arial" w:cs="Arial" w:eastAsia="Arial" w:hAnsi="Arial"/>
          <w:sz w:val="16"/>
          <w:szCs w:val="16"/>
          <w:color w:val="auto"/>
        </w:rPr>
      </w:pPr>
    </w:p>
    <w:p>
      <w:pPr>
        <w:ind w:left="1240" w:right="20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29" w:lineRule="exact"/>
        <w:rPr>
          <w:rFonts w:ascii="Arial" w:cs="Arial" w:eastAsia="Arial" w:hAnsi="Arial"/>
          <w:sz w:val="16"/>
          <w:szCs w:val="16"/>
          <w:color w:val="auto"/>
        </w:rPr>
      </w:pPr>
    </w:p>
    <w:p>
      <w:pPr>
        <w:ind w:left="1240" w:right="7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the risks of cancellation or postponement of our contracts with customers or unsuccessful implementation. Additionally, certain customers may not be sufficiently funded or cease operations.</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and margins could be adversely affected if we fail to maintain competitive average selling prices, high sales volumes, and/or fail to reduce product costs.</w:t>
      </w:r>
    </w:p>
    <w:p>
      <w:pPr>
        <w:spacing w:after="0" w:line="75" w:lineRule="exact"/>
        <w:rPr>
          <w:rFonts w:ascii="Arial" w:cs="Arial" w:eastAsia="Arial" w:hAnsi="Arial"/>
          <w:sz w:val="18"/>
          <w:szCs w:val="18"/>
          <w:color w:val="auto"/>
        </w:rPr>
      </w:pPr>
    </w:p>
    <w:p>
      <w:pPr>
        <w:ind w:left="1240" w:right="20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 components in our products come from limited or single source third party suppliers, and we expect to rely on third-party to manufacture a significant portion of our products for the foreseeable future. Interruptions in our relationship with these third parties could adversely impact our business.</w:t>
      </w:r>
    </w:p>
    <w:p>
      <w:pPr>
        <w:spacing w:after="0" w:line="89"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adoption of lidar remains uncertain, and it is difficult to forecast long-term end-customer adoption rates and demand for our products.</w:t>
      </w:r>
    </w:p>
    <w:p>
      <w:pPr>
        <w:spacing w:after="0" w:line="75"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compete against established market participants that may have substantially greater resources than us and against known and unknown market entrants who may disrupt our target markets.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products are not selected for inclusion in our target markets, our business will be materially and adversely affected.</w:t>
      </w:r>
    </w:p>
    <w:p>
      <w:pPr>
        <w:spacing w:after="0" w:line="130"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in the future in order to execute our business plan, which may not be available on terms acceptable to us, or at all.</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adequately protect or enforce our intellectual property rights or prevent competitors or other unauthorized parties from copying or reverse engineering our technology.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are frequently used in applications that are subject to evolving regulations and standards.</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86"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38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were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Domestication.</w:t>
      </w:r>
    </w:p>
    <w:p>
      <w:pPr>
        <w:spacing w:after="0" w:line="187"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principal executive office is located at 350 Treat Avenue, San Francisco, CA 94110. Our telephone number is (415) 949-0108. Our website address is www.ouster.com. Information contained on our website is not a part of this prospectus, and the inclusion of our website address in this prospectus is an inactive textual reference only.</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8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future prospects and the risks and challenges we may encounter.</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spacing w:after="0" w:line="2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supply significant parts of our production process or to manufacture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successful relationships with our suppliers or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commercial scale production of our products on a cost-effective basis and in a timely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expand our product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protect intellectual property;</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gain market acceptance of our products with customers and maintain and expand customer relationships, whether through strategic customer agreements or otherwise;</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adaptability of our products and the ability of our customers to integrate our products into their products in a timely and effective manner;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actions of direct and indirect competitors that may seek to enter the markets in which we expect to compete or that may seek to impose barriers to one or more markets that we intend to target;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long-lead time for development of market opportunities, for which we are only at an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forecast our revenue and budget for, and manage, our expenses;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existing and new or modified laws and regulations applicable to our business, or laws and regulations applicable to our customers for applications in which they may use our products;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plan for and manage capital expenditures for our current and future products, and manage our supply chain and supplier relationships related to these current and future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anticipate and respond to macroeconomic changes and changes in the markets in which we operate and expect to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enhance the value of our reputation and brand;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manage our growth and business operations, including the impacts of the COVID-19 pandemic on our business;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and retain talented people at all levels of our organization.</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significant losses to date and may never achieve or sustain profitability.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experienced net losses in each year since our inception. In the years ended December 31, 2021 and 2020, we incurred net losses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$94.0 million and $106.8 million, respectively. We expect these losses to continue for at least the next several years as we expand our product offering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continue to scale our commercial operations and research and development program. As of December 31, 2021, we had an accumulated deficit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$303.4 million. Even if we are able to increase sales of our products, there can be no assurance that we will be commercially successful.</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we will continue to incur significant losses for the foreseeable future as we:</w:t>
      </w:r>
    </w:p>
    <w:p>
      <w:pPr>
        <w:spacing w:after="0" w:line="131" w:lineRule="exact"/>
        <w:rPr>
          <w:sz w:val="20"/>
          <w:szCs w:val="20"/>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hire additional personnel and make investments in research and development (“R&amp;D”) in order to develop technology and related software;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sales and marketing functions, including expansion of our customer support and distribution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personnel to support compliance requirements in connection with being a public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operations and manufacturing.</w:t>
      </w:r>
    </w:p>
    <w:p>
      <w:pPr>
        <w:spacing w:after="0" w:line="22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spacing w:after="0" w:line="23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we are unable to overcome our limited sales history and establish and maintain confidence in our long-term business prospects among customers in our target markets or revenue opportunity does not materialize into sales and revenue, then our financial condition, operating results, business prospects and access to capital may suffer materially.</w:t>
      </w:r>
    </w:p>
    <w:p>
      <w:pPr>
        <w:spacing w:after="0" w:line="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relationships with many of our existing customers are limited as they may not be prepared to select the company as a long-term supplier given our limited operating and sales history. To establish preliminary relationships with certain customers and to build their confidence, we have entered, and may continue to enter, into evaluation agreements, spot buy purchase 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with them. If we are unable to build confidence with our existing customers, either through these preliminary agreements (due to any failure to enter into or perform under the agreements) or otherwise, or if we are unable secure opportunity from these non-binding agreements, involving strategic customer agreements, we may be unable to produce accurate forecasts and become profitable.</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With respect to new customers, they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and other interested parties.</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We currently target many customers that are large corporations with substantial negotiating power and exacting product standards. If we are unable to sell our products to these customers, our prospects and results of operations will be adversely affected.</w:t>
      </w:r>
    </w:p>
    <w:p>
      <w:pPr>
        <w:spacing w:after="0" w:line="3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This disparate power has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 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been and may continue to be uncertain about their technical specifications for our products and terminate our agreement or make a later determination that our products are not satisfactory. We therefore have no assurance that we can establish relationships with these companies, that our products will meet the needs of these or other companies, or that a contract with these companies will culminate in significant or any product sales. Even when we secure agreements with these companies, we may not be effective in negotiating contract terms or managing such relationships, which could adversely affect our future results of operations.</w:t>
      </w:r>
    </w:p>
    <w:p>
      <w:pPr>
        <w:spacing w:after="0" w:line="17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spacing w:after="0" w:line="25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3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Our financial results may fluctuate as a result of a variety of factors, including:</w:t>
      </w:r>
    </w:p>
    <w:p>
      <w:pPr>
        <w:spacing w:after="0" w:line="76" w:lineRule="exact"/>
        <w:rPr>
          <w:sz w:val="20"/>
          <w:szCs w:val="20"/>
          <w:color w:val="auto"/>
        </w:rPr>
      </w:pPr>
    </w:p>
    <w:p>
      <w:pPr>
        <w:ind w:left="5580" w:right="1920" w:hanging="4924"/>
        <w:spacing w:after="0" w:line="449" w:lineRule="auto"/>
        <w:tabs>
          <w:tab w:leader="none" w:pos="10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ultimate end market and customer adoption of our products and particular versions of our products; 6</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varying length of production cycles for our customers to integrate our products into their broader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supply chain constraints and considerations and impacts on our costs of goods sold, such as shortages of semiconductor chips;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mix and average selling prices, including negotiated selling prices and long-term strategic customer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raw materials or supplied components critical for the manufacture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relating to our digital lidar technology and related software;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regulations affecting us or applications in which our customers use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epidemics or pandemics, including current business disruption and related financial impact resulting from the global COVID-19 health crisis;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Many of these factors are outside of our control and may not fully reflect the underlying performance of our business. 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the risks of cancellation or postponement of our contracts with customers or unsuccessful implementation.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experienced, and may experience in the future, unexpected cancellations of major purchases of our products, which has affected and in the future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The development cycles of our products with new customers vary widely depending on the application, market, customer and the complexity of the product. In our target markets, development cycles can be six months to seven or more years. These development cycles require us to invest our resources prior to realizing any revenue from the commercialization. Further, we are also subject to the risk that a customer may cancel or postpone implementation of its technology, as well as that it will not be able to integrate its technology successfully into a larger system with other sensing modalities. Our revenue growth may be impaired if the system, product or vehicle model that includes our digital lidar sensors is unsuccessful, including for reasons unrelated to our technology. Long development cycles and product cancellations or postponements may adversely affect our business, results of operations and financial condition.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Market adoption of lidar remains uncertain, and it is difficult to forecast long-term end-customer adoption rates and demand for our products.</w:t>
      </w:r>
    </w:p>
    <w:p>
      <w:pPr>
        <w:spacing w:after="0" w:line="14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Substantially all of our revenue is generated by the sale of our digital lidar sensors.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prospective customers have a negative perception of, or experience with, lidar or a competitor’s lidar products they may be reluctant to adopt lidar in general or specifically our products. Any negative publicity, regardless of its accuracy, could materially adversely affect our business.</w:t>
      </w:r>
    </w:p>
    <w:p>
      <w:pPr>
        <w:spacing w:after="0" w:line="16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Additionally, existing non-lidar technologies may emerge as customers’ preferred alternative to lidar and may adversely affect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adoption of lidar and sales of our current products or materially delay development and introduction of new and enhanced products, which could result in the loss of competitiveness of our products, decreased revenue and a loss of market share to competitors.</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These same concerns are also applicable to the robotics, industrial and smart infrastructure markets that we are targeting for use of our products.</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or anticipated needs; whether the benefits of designing lidar into larger sensing systems outweigh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can keep pace with rapid technological change in certain developing markets. If lidar technology generally does not achieve commercial success or if the market develops at a pace slower than we expect, our business, results of operation and financial condition will be materially and adversely affected.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If we are not able to effectively grow our global sales and marketing organization, or maintain or grow an effective network of distributors, software value add resellers, and integrators, our business prospects, results of operations and financial condition could be adversely affected.</w:t>
      </w:r>
    </w:p>
    <w:p>
      <w:pPr>
        <w:spacing w:after="0" w:line="1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order to generate future sales growth, we will need to expand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 set, we may not be able to attract or retain such personnel on reasonable terms, if at all. If we are unable to grow our global sales and marketing organization, we may not be able to increase our revenue, which would adversely affect our business, financial condition and results of operations.</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those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287" w:lineRule="exact"/>
        <w:rPr>
          <w:sz w:val="20"/>
          <w:szCs w:val="20"/>
          <w:color w:val="auto"/>
        </w:rPr>
      </w:pPr>
    </w:p>
    <w:p>
      <w:pPr>
        <w:ind w:left="120" w:right="660"/>
        <w:spacing w:after="0" w:line="340" w:lineRule="auto"/>
        <w:rPr>
          <w:sz w:val="20"/>
          <w:szCs w:val="20"/>
          <w:color w:val="auto"/>
        </w:rPr>
      </w:pPr>
      <w:r>
        <w:rPr>
          <w:rFonts w:ascii="Arial" w:cs="Arial" w:eastAsia="Arial" w:hAnsi="Arial"/>
          <w:sz w:val="15"/>
          <w:szCs w:val="15"/>
          <w:b w:val="1"/>
          <w:bCs w:val="1"/>
          <w:i w:val="1"/>
          <w:iCs w:val="1"/>
          <w:color w:val="auto"/>
        </w:rPr>
        <w:t>We expect to incur substantial R&amp;D costs and devote significant resources to developing and commercializing new products, which could significantly affect our ability to become profitable and may never result in revenue to us. Any delay or interruption of the development and commercialization of new products may adversely affect our existing business and prospects for winning future business.</w:t>
      </w:r>
    </w:p>
    <w:p>
      <w:pPr>
        <w:spacing w:after="0" w:line="23"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customer requirements, and introducing new and effective products on a timely basis that then achieve market acceptance. To remain competitive, we are developing a suite of new products, including our DF solid-state lidar sensor and a software solution that is complementary to our existing and future hardware. In connection with the development of the DF solid-state lidar sensor, complementary software, and other R&amp;D for new products and product enhancements to be performed by the company, we plan to incur substantial, and potentially increasing, R&amp;D costs. Our R&amp;D expenses were $34.6 million and</w:t>
      </w:r>
    </w:p>
    <w:p>
      <w:pPr>
        <w:spacing w:after="0" w:line="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$23.3 million during the years ended December 31, 2021 and December 31, 2020, respectively, and are likely to grow in the future. Because we account for R&amp;D as an operating expense, these expenditures will adversely affect our results of operations in the future.</w:t>
      </w:r>
    </w:p>
    <w:p>
      <w:pPr>
        <w:spacing w:after="0" w:line="18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target and new markets.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expect to rely on products we are currently developing, such as our DF solid-state lidar and our software solutions, for a significant portion of our future growth; however, even if our R&amp;D efforts are successful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completed on time, there is no guarantee that we will be successful in adapting our business to our new products or that our new products will achieve market acceptance or generate sufficient revenue to make us profitable. Our future products, such as any software solutions we develop, may be products we have limited or no experience commercializing. In launching such products, we may face foreseen and unforeseen difficulties that adversely affect such the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spacing w:after="0" w:line="19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promise of new products and successful R&amp;D may even decrease our expected and actual revenue attributable to existing products, as historically, customers have delayed or cancelled outstanding purchasing commitments for current generation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spacing w:after="0" w:line="27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compete against established market participants that have substantially greater resources than us and against known and unknown market entrants who may disrupt our target markets.</w:t>
      </w:r>
    </w:p>
    <w:p>
      <w:pPr>
        <w:spacing w:after="0" w:line="6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spacing w:after="0" w:line="19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addition to the established market competitors, new competitors may be preparing to enter or are entering the lidar market that may disrupt the commercial landscape of target markets in ways that we may not be able to prepare for, including customers of lidar who may be developing their own competitive solutions. We do not know how close any of our current and potential competitors are to commercializing their lidar products and services, nor what they intend to develop as part of their product roadmaps. The already competitive landscape of the lidar market, along with both foreseeable and unforeseeable entries of competitors and lidar technology from those competitors in our target markets, may result in pricing pressure, reduced margins and may impede our ability to increase the sales of our products or cause us to lose market share, any of which will adversely affect our business, results of operations and financial condition.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our products are not selected for inclusion in our target markets, our business will be materially and adversely affected.</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Although our products are designed for use in multiple markets, each of our target or new markets may have unique barriers to entry. If we are unsuccessful in overcoming these barriers, it may affect our entrance into these target or new markets which could adversely affect our future results of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products are used in a wide variety of existing and emerging use cases in the industrial market, where our target customers are generally engaged in the manufacturing, operation, or after-market modification of heavy industrial machinery. These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a nascent market, and while this industry is experimenting with the use of lidar in these applications, our customers may decide that lidar is not a feasible solution for one of a variety of reasons, including current price points of lidar sensors. Customers in this market are often local governments, such as city governments, which may be subject to political pressures, and may not control their own budgets. For example, programs could be cancelled due to legislative action that is out of a local government’s control.</w:t>
      </w:r>
    </w:p>
    <w:p>
      <w:pPr>
        <w:spacing w:after="0" w:line="19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products also are used in a wide variety of existing and emerging use cases in the robotics market, in which our customers are generally engaged in the design, production, operation, or after-market modification of small mobile human-less vehicles. This is a competitive market that often has 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certain other specifications. We spend significant time and resources to pursue the business of having our products selected by automotive OEMs and their suppliers for use in the manufacture of a particular vehicle model. Because we do not have long-term, binding relationships with Tier 1s, automotive OEMs may be less inclined to select our products for use in their vehicle models. If we are not chosen to supply products for a particular vehicle model, we may not have an opportunity to supply our products to that automotive OEM for that vehicle model for a period of many years, perhaps as long as five to seven or more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spacing w:after="0" w:line="28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 which may not be available on terms acceptable to us, or at all.</w:t>
      </w:r>
    </w:p>
    <w:p>
      <w:pPr>
        <w:spacing w:after="0" w:line="62"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If we raise additional funds through the issuance of equity or convertible debt or other equity-linked securities or if it issues equity or equity-linked securities to current or potential customers to further business relationships,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could be materially and adversely affected.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Key components in our products come from limited or single source third party suppliers, and we expect to rely on third-party to manufacture a significant portion of our products for the foreseeable future. Interruptions in our relationship with these third parties could adversely impact our business.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rely on third parties to supply key components of our digital lidar sensors and to manufacture a significant portion of our digital liar sensors. In particular, for the year ended December 31, 2021, approximately 67% of our manufacturing output was provided through our relationship with Benchmark Electronics, Inc. (“Benchmark”), a percentage which we expect will increase over time as we scale our operations. We have also outsourced much of our transportation and logistics management.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the global COVID-19 pandemic, other health epidemics and outbreaks, or work stoppages or capacity constraints, our ability to ship products to distributors and customers may be delayed.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spacing w:after="0" w:line="18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components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An interruption in, or the loss of operations at, one or more of our suppliers’ facilities or at Benchmark’s facility,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Outsourcing a substantial percentage of our manufacturing outside of the United States involves certain risks or may not be successful, which could harm our ability to deliver products and recognize revenue.</w:t>
      </w:r>
    </w:p>
    <w:p>
      <w:pPr>
        <w:spacing w:after="0" w:line="6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Historically, we manufactured all of our digital sensors at our facility in San Francisco, California. We intend to maintain a portion of our manufacturing at this facility; however, in 2019, we began moving a portion of our manufacturing operations to a manufacturing facility in Thailand in connection with our relationship with Benchmark, which for the year ended December 31, 2021, accounted for a majority of our manufacturing output. Any substantial delay in bringing this facility up to full production on our current schedule may hinder our ability to produce all of the products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If and when this manufacturing facility is brought up to full production according to our current schedule, it may not provide us with all of the operational and financial benefits we expect to receive.</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We have invested in manufacturing process equipment which is held at Benchmark’s facility, and we may make prepayments to some of our suppliers associated with long-term supply agreements. While these arrangements help ensure the supply of components and finished goods, if our co-manufacturer or suppliers experience severe financial problems or other disruptions in their business, such continued supply would be reduced or terminated, and the recoverability of manufacturing process equipment or prepayments would be negatively impacted.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manufacturing outside the United States is subject to several inherent risks, including:</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or export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government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stricter lockdown measures in some countries aimed at controlling the spread of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other trade barriers and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exposed to the risk of write-downs on the value of our inventory and other assets, in addition to purchase commitment cancellation risk.</w:t>
      </w:r>
    </w:p>
    <w:p>
      <w:pPr>
        <w:spacing w:after="0" w:line="140"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Although we believe our inventory, capital assets, and other assets and purchase commitments are currently recoverable, no assurance can be given that we will not incur write-downs, fees, impairments and other charges given the rapid and unpredictable pace of product obsolescence in the industries in which we compete.</w:t>
      </w:r>
    </w:p>
    <w:p>
      <w:pPr>
        <w:spacing w:after="0" w:line="17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firm our purchase commitments.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forecasts of market growth may not be accurate.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Market opportunity estimates and growth forecasts included in this prospectus and in our other public disclosures are subject to significant uncertainty and are based on assumptions and estimates that may not prove to be accurate. The forecasts and estimates relating to the expected size and growth of the markets for lidar-based technology may prove to be inaccurate. Even if these markets experience the forecasted growth, we may not grow our business at similar rates, or at all. Our future growth is subject to many factors, including market adoption of our products, which is subject to many risks and uncertainties. Accordingly, the forecasts and estimates of market size and growth described in this prospectus and in our other public disclosures, should not be taken as indicative of our future growth. In addition, these forecasts do not take into account the impact of the current global COVID-19 pandemic, and we have no assurances that these forecasts will not be materially and adversely affected as a result.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spacing w:after="0" w:line="292"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We do not currently have long-term, committed supply contracts with many of our suppliers. Loss of one or more of these suppliers or our inability to identify and establish relationships with new suppliers could harm our business and impede our growth.</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of the absence of long-term supply contracts, any of these suppliers could seek to alter or terminate its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do not maintain sufficient inventory or if we do not adequately manage our inventory, we could lose sales or incur higher inventory-related expenses, which could negatively affect our operating results.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To ensure adequate inventory supply, we forecast inventory needs and expenses, place orders sufficiently in advance with our suppliers and manufacturing partner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 competitors, the COVID-19 pandemic, other health epidemics and outbreaks,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and Benchmark may not be able to manufacture our products at a rate necessary to satisfy the levels of demand, which would negatively affect our short-term and long-term growth. This risk may be exacerbated by the fact that we may not carry or be able to obtain for our suppliers a significant amount of inventory to satisfy short-term demand increases. If we fail to accurately forecast customer demand, we may experience excess inventory levels or a shortage of products available for sale.</w:t>
      </w:r>
    </w:p>
    <w:p>
      <w:pPr>
        <w:spacing w:after="0" w:line="17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Inventory levels in excess of customer demand may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business could be materially and adversely affected if our customers become unable to, or otherwise do not, pay their invoices.</w:t>
      </w:r>
    </w:p>
    <w:p>
      <w:pPr>
        <w:spacing w:after="0" w:line="1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one or more of our major customers would be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we could be forced to record a substantial loss. Additionally, a number of our customers are early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stage, startup companies that are privately funded, have limited resources, and do not have a history of creditworthiness that we can audit to determine reliability. They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w:t>
      </w:r>
    </w:p>
    <w:p>
      <w:pPr>
        <w:spacing w:after="0" w:line="29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We are exposed to credit risk on our trade accounts receivable, supplier non-trade receivables and prepayments related to long-term supply agreements, and this risk is heightened during periods when economic conditions worsen.</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sell our products directly to small and mid-sized businesses and educational customers.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 supplier non-trade receivables, there can be no assurance such procedures will effectively limit our credit risk and avoid losses.</w:t>
      </w:r>
    </w:p>
    <w:p>
      <w:pPr>
        <w:spacing w:after="0" w:line="28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we engage in acquisitions to grow our business, we will incur a variety of costs and may potentially face numerous risks that could adversely affect our business and operations and cause our stock price to decline.</w:t>
      </w:r>
    </w:p>
    <w:p>
      <w:pPr>
        <w:spacing w:after="0" w:line="6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appropriate opportunities become available, we may seek to acquire businesses, assets, technologies or products to enhance our business. For example, in October 2021, we acquired Sense to help us expand our presence in the automotive vertical by executing on our hiring goal product roadmap on a faster timeline. In connection with any acquisitions, we could issue additional equity securities, which would dilute our stockholders, incur substantial debt to fund the acquisitions or assume significant liabilities.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Acquisitions involve many and diverse risks and uncertainties, including problems integrating the purchased operations, assets, technologies or products as well as unanticipated costs, liabilities, and economic, political, legal and regulatory challenges due to our inexperience operating in new regions or countries and we may fail to successfully integrate acquired companies, such as Sense, or retain key personnel from the acquired company. To date, we have limited experience with acquisitions and the integration of acquired technology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17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and operations in international markets expose us to operational, financial and regulatory risks.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International sales comprise a significant amount of our overall revenue. Sales to international customers accounted for 56% and 56% of our revenue for the years ended December 31, 2021 and 2020, respectively. Growing our international sales is an important part of our growth strategy, but these efforts may not be successful. International operations are subject to a number of other risks, including:</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laws and the impact of tariffs;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war, international terrorism and anti-American sentiment, particularly in emerging markets and the current situation in Russia and Ukraine;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or regional health crises, such as the COVID-19 pandemic or other health epidemics and outbreaks;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for violations of anti-corruption laws and regulations, such as those related to bribery and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preference for locally branded products, and laws and business practices favoring local competition;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consequences of, and uncertainty related to, the “Brexit” process in the United Kingdom, which could lead to additional expense and complexity in doing business there;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difficulty in managing inventory;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risk in collecting trade receivables;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revenue recognition;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w:t>
      </w:r>
    </w:p>
    <w:p>
      <w:pPr>
        <w:spacing w:after="0" w:line="130" w:lineRule="exact"/>
        <w:rPr>
          <w:rFonts w:ascii="Arial" w:cs="Arial" w:eastAsia="Arial" w:hAnsi="Arial"/>
          <w:sz w:val="18"/>
          <w:szCs w:val="18"/>
          <w:color w:val="auto"/>
        </w:rPr>
      </w:pPr>
    </w:p>
    <w:p>
      <w:pPr>
        <w:ind w:left="1080" w:right="30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European Ecodesign Directive that are costly to comply with and may vary from country to country;</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local tax and customs duty laws or changes in the enforcement, application or interpretation of such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government’s restrictions on certain technology transfer to certain countries of concern.</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occurrence of any of these risks could negatively affect our international business and consequently our business, operating results, and financial condition.</w:t>
      </w:r>
    </w:p>
    <w:p>
      <w:pPr>
        <w:spacing w:after="0" w:line="2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The complexity of our products could result in unforeseen delays or expenses from undetected defects, errors or reliability issues in hardware or software which could reduce the market adoption of our new products, damage our reputation with current or prospective customers, expose us to product liability and other claims and adversely affect our operating costs.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57" w:lineRule="auto"/>
        <w:rPr>
          <w:sz w:val="20"/>
          <w:szCs w:val="20"/>
          <w:color w:val="auto"/>
        </w:rPr>
      </w:pPr>
      <w:r>
        <w:rPr>
          <w:rFonts w:ascii="Arial" w:cs="Arial" w:eastAsia="Arial" w:hAnsi="Arial"/>
          <w:sz w:val="18"/>
          <w:szCs w:val="18"/>
          <w:color w:val="auto"/>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 than 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spacing w:after="0" w:line="30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revenue and margins could be adversely affected if we fail to maintain competitive average selling prices, high sales volumes, and/or fail to reduce product costs.</w:t>
      </w:r>
    </w:p>
    <w:p>
      <w:pPr>
        <w:spacing w:after="0" w:line="6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may also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In addition, we must continuously drive initiatives to reduce labor cost, improve worker efficiency, reduce the cost of materials, use fewer materials and further lower overall product costs by carefully managing component prices, inventory and shipping cost.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would likely decline.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Adverse conditions in the industries we target or the global economy more generally could have adverse effects on our results of operations.</w:t>
      </w:r>
    </w:p>
    <w:p>
      <w:pPr>
        <w:spacing w:after="0" w:line="14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December 31, 2021, we had $224.4 million of U.S. federal and $146.8 million of state net operating loss carryforwards available to reduce future taxable income. The $215.9 million in U.S. federal operating loss carryforwards will be carried forward indefinitely for U.S. federal tax purposes. Of our U.S. state net operating loss carryforwards, $146.8 million will begin to expire in 2035. It is possible that we will not generate taxable income in time to use these net operating loss carryforwards before their expiration (or that we will not generate taxable income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Although the Company has experienced ownership changes since its inception, there has been no limitation or loss of net operating losses or tax credits as of December 31, 2021.</w:t>
      </w:r>
    </w:p>
    <w:p>
      <w:pPr>
        <w:spacing w:after="0" w:line="29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Our future success depends in part on recruiting and retaining key personnel and if we fail to do so, it may be more difficult for us to execute our business strategy. We are currently a small organization and will need to hire additional qualified personnel to effectively implement our strategic plan.</w:t>
      </w:r>
    </w:p>
    <w:p>
      <w:pPr>
        <w:spacing w:after="0" w:line="7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our ability to successfully execute on our strategic plan depends in part on our ability to continue to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efforts, it may adversely affect our business and our growth prospects.</w:t>
      </w:r>
    </w:p>
    <w:p>
      <w:pPr>
        <w:spacing w:after="0" w:line="27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Some of our employees are employed by professional employer organizations which may have unexpected costs that could adversely impact our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contract with non-US professional employer organizations (“PEOs”), to administer our human resources, payroll and employee benefits functions for some of our subsidiaries’ employees outside of the United States. Although we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 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 Related to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products are frequently used in applications that are subject to evolving regulations and standards.</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spacing w:after="0" w:line="26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spacing w:after="0" w:line="3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 entities. Any such provision could have negative consequences, including government investigations, penalties, or reputational harm.</w:t>
      </w:r>
    </w:p>
    <w:p>
      <w:pPr>
        <w:spacing w:after="0" w:line="16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In addition, complying with export control and sanctions regulations for a particular sale may be time-consuming and create delays in the introduction of our products and solutions in some international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spacing w:after="0" w:line="29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conduct business. In recent years,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As additional trade-related policies are instituted, we need to modify our business operations to comply and adapt to such developments, which may be time-consuming and expensive.</w:t>
      </w:r>
    </w:p>
    <w:p>
      <w:pPr>
        <w:spacing w:after="0" w:line="2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become involved in legal and regulatory proceedings and commercial or contractual disputes, which could have a material adverse effect on our profitability and consolidated financial position.</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w:t>
      </w:r>
    </w:p>
    <w:p>
      <w:pPr>
        <w:spacing w:after="0" w:line="18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on June 10, 2021, we received a letter from the SEC notifying us of an investigation and document subpoena. The subpoena seeks documents regarding projected financial information in CLA’s Form S-4 registration statement filed on December 22, 2020. We are cooperating with the SEC’s subpoena. There can be no assurance whether there will be further information requests or potential litigation, which is necessarily uncertain.</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could be forced to expend significant resources in the defense of these lawsuits or future ones, and we may not prevail. No assurances can be given that any proceedings and claims will not have a material adverse impact on our operating results and consolidated financial position or that our available insurance will mitigate this impact.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We are subject to, and must remain in compliance with, numerous laws and governmental regulations concerning the manufacturing, use, distribution and sale of our products. Some of our customers also require that we comply with their own unique requirements relating to these matters.</w:t>
      </w:r>
    </w:p>
    <w:p>
      <w:pPr>
        <w:spacing w:after="0" w:line="76"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U.S. Senate has passed a bill to effectively ban all products from China’s Xinjiang province due to concerns that the goods were produced with forced labor, which, if enacted, is expected to have adverse impacts on global supply chains. In such circumstances, we may also be subject to litigation, lose customers, suffer negative publicity and our business, results of operations, and financial condition could be adversely affected.</w:t>
      </w:r>
    </w:p>
    <w:p>
      <w:pPr>
        <w:spacing w:after="0" w:line="28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and our vendors are subject to various environmental laws and regulations that could impose substantial costs upon us and cause delays in expanding production facilities.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Environmental pollution and climate change have been the subject of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increased their focus on environmental sustainability, which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6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contamination is found at properties we operate or formerly operated, this may result in liability for us under environmental laws and regulations, including the Comprehensive Environmental Response, Compensation and Liability 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also experience pressure to make commitments relating to sustainability matters that affect companies in our industry, including the design and implementation of specific risk mitigation strategic initiatives relating to sustainability. If we are not effective in addressing environmental, social and other sustainability matters affecting our industry, or setting and meeting relevant sustainability goals, our reputation may suffer. In addition, we may experience increased costs in order to execute upon our sustainability goals and measure achievement of those goals, which could have an adverse impact on our business and financial condition.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We can face criminal liability and other serious consequences for violations, which can harm our business.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195" w:lineRule="exact"/>
        <w:rPr>
          <w:sz w:val="20"/>
          <w:szCs w:val="20"/>
          <w:color w:val="auto"/>
        </w:rPr>
      </w:pPr>
    </w:p>
    <w:p>
      <w:pPr>
        <w:ind w:left="120" w:right="280"/>
        <w:spacing w:after="0" w:line="273"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if it fails to comply with the regulatory requirements under the Federal Food, Drug, and Cosmetic Act or the Food and Drug Administration (the “FDA”).</w:t>
      </w:r>
    </w:p>
    <w:p>
      <w:pPr>
        <w:spacing w:after="0" w:line="6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spacing w:after="0" w:line="2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Our current and potential future operations and sales subject us to laws and regulations addressing privacy and the collection, use, storage, disclosure, transfer and protection of a variety of types of data. For example,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European Commission has adopted the General Data Protection Regulation and California recently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customers using our products unless our customers choose to proactively provide such information to us. Our products may evolve to address potential customer requirements or to add new features and functionality. Therefore, the full impact of these privacy regimes on our business is rapidly evolving across jurisdictions and remains uncertain at this time.</w:t>
      </w:r>
    </w:p>
    <w:p>
      <w:pPr>
        <w:spacing w:after="0" w:line="19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may also be affected by cyber-attacks and other means of gaining unauthorized access to our products, systems, and data. For instance, cyber criminals or insiders may target us or third parties with which we have business relationships to obtain data, or in a manner that disrupts our operations or compromises our products or the systems into which our products are integrated.</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developments in a timely manner.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or enforce our intellectual property rights or prevent competitors or other unauthorized parties from copying or reverse engineering our technology.</w:t>
      </w:r>
    </w:p>
    <w:p>
      <w:pPr>
        <w:spacing w:after="0" w:line="62"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filed for patents and trademarks in the United States and in certain international jurisdictions, but such protections may not be available, and we may not have applied for protections in all countries in which we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operate or sell our products. 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similar products, potentially resulting in the loss of some of our competitive advantage, market share and a decrease in our revenue, which would adversely affect our business, operating results, financial condition and prospects.</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Claims that we are infringing third-party intellectual property, whether successful or not, could subject us to costly and time-consuming litigation or expensive licenses, and adversely affect our business.</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Any intellectual property and related contractual litigation, if it is initiated in the future by us or a third 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29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 party’s intellectual property rights, even if untrue, could adversely affect our relationships with our customers and deter future customers from purchasing our products. Our defense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intellectual property rights claims brought against us, or our customers, suppliers or partners, with or without merit, could be time-consuming and expensive to litigate or settle.</w:t>
      </w:r>
    </w:p>
    <w:p>
      <w:pPr>
        <w:spacing w:after="0" w:line="170"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Even if we are not a party to any litigation between a customer and a third 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spacing w:after="0" w:line="16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Any intellectual property and related contractual litigation, if it is initiated in the future by us or a third 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2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intellectual property applications may not issue or be registered, which may have a material adverse effect on our ability to prevent others from commercially exploiting products similar to ours.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In addition to patented technology, we rely on our unpatented proprietary technology, copyrights, trade secrets, proprietary processes and know-how.</w:t>
      </w:r>
    </w:p>
    <w:p>
      <w:pPr>
        <w:spacing w:after="0" w:line="15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Also, we may not be able to detect or prevent the unauthorized use of such information or take appropriate and timely steps to enforce our intellectual property rights.</w:t>
      </w:r>
    </w:p>
    <w:p>
      <w:pPr>
        <w:spacing w:after="0" w:line="29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Certain of our warrants are accounted for as liabilities and the changes in value of such warrants could have a material effect on our financial results.</w:t>
      </w:r>
    </w:p>
    <w:p>
      <w:pPr>
        <w:spacing w:after="0" w:line="6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private placement warrants. We evaluated the accounting treatment of our private placement warrants, and determined to classify such warrants as derivative liabilities measured at fair value, with changes in fair value each period reported in earnings. Due to the recurring fair value measurement, we recognize non-cash gains or losses on our private placement warrants each reporting period and the amount of such gains or losses has been material and could continue to be material in the future.</w:t>
      </w:r>
    </w:p>
    <w:p>
      <w:pPr>
        <w:spacing w:after="0" w:line="16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accounting treatment of the private placement warrants and public warrants is based on its current interpretation of the SEC Statement and other guidance and may change in light of any further interpretive guidance, as may be applicable.</w:t>
      </w:r>
    </w:p>
    <w:p>
      <w:pPr>
        <w:spacing w:after="0" w:line="2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restatement of CLA’s financial statements may lead to additional risks and uncertainties, including regulatory, litigation, stockholder or other actions, loss of investor and counterparty confidence and negative impacts on our stock price.</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disclosed in the Company’s Current Report on Form 8-K filed with the SEC on May 14, 2021, on May 13, 2021, the Audit Committee of our Board of Directors, in response to the SEC Statement after discussion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of the Company and based on management’s consultation with Marcum LLP, CLA’s independent registered public accounting firm prior to the Merger, and its legal advisors, concluded that CLA’s previously issued consolidated financial statements as of and for the year ended December 31, 2020 included in CLA’s Annual Report on Form 10-K for the year ended December 31, 2020 should be restated to reflect the impact of the change in accounting for the warrants and accordingly, should no longer be relied upon.</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As a result of the restatement and associated non-reliance on CLA’s previously issued consolidated financial statements for the year ended December 31, 2020, we incurred additional costs. We could also be subject to regulatory, litigation,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which could be material. Any of these occurrences could have a material adverse effect on our business, results of operations, financial condition, and stock price.</w:t>
      </w:r>
    </w:p>
    <w:p>
      <w:pPr>
        <w:spacing w:after="0" w:line="26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or cause our access to the capital markets to be impaired.</w:t>
      </w:r>
    </w:p>
    <w:p>
      <w:pPr>
        <w:spacing w:after="0" w:line="7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the course of preparing our financial statements for year ended December 31,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54" w:lineRule="exact"/>
        <w:rPr>
          <w:sz w:val="20"/>
          <w:szCs w:val="20"/>
          <w:color w:val="auto"/>
        </w:rPr>
      </w:pPr>
    </w:p>
    <w:p>
      <w:pPr>
        <w:ind w:left="1080" w:right="60" w:hanging="424"/>
        <w:spacing w:after="0" w:line="273"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83" w:lineRule="exact"/>
        <w:rPr>
          <w:rFonts w:ascii="Arial" w:cs="Arial" w:eastAsia="Arial" w:hAnsi="Arial"/>
          <w:sz w:val="17"/>
          <w:szCs w:val="17"/>
          <w:color w:val="auto"/>
        </w:rPr>
      </w:pPr>
    </w:p>
    <w:p>
      <w:pPr>
        <w:ind w:left="1080" w:right="40" w:hanging="424"/>
        <w:spacing w:after="0" w:line="28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the year ended December 31, 2021, we have taken several measures to design and implement controls to improve our internal control over financial reporting, and continue to make progress towards establishing an effective internal control framework to remediate the foregoing material weaknesses. Our efforts included the following:</w:t>
      </w:r>
    </w:p>
    <w:p>
      <w:pPr>
        <w:spacing w:after="0" w:line="89" w:lineRule="exact"/>
        <w:rPr>
          <w:sz w:val="20"/>
          <w:szCs w:val="20"/>
          <w:color w:val="auto"/>
        </w:rPr>
      </w:pPr>
    </w:p>
    <w:p>
      <w:pPr>
        <w:ind w:left="1080" w:right="72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Recruiting additional personnel with appropriate internal controls, accounting knowledge and experience commensurate with our accounting and reporting requirements, in addition to engaging and utilizing third party consultants and specialists.</w:t>
      </w:r>
    </w:p>
    <w:p>
      <w:pPr>
        <w:spacing w:after="0" w:line="51" w:lineRule="exact"/>
        <w:rPr>
          <w:rFonts w:ascii="Arial" w:cs="Arial" w:eastAsia="Arial" w:hAnsi="Arial"/>
          <w:sz w:val="17"/>
          <w:szCs w:val="17"/>
          <w:color w:val="auto"/>
        </w:rPr>
      </w:pPr>
    </w:p>
    <w:p>
      <w:pPr>
        <w:ind w:left="1080" w:right="32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Enhancing Entity Level Controls including increasing Board and Audit Committee oversight, expanding senior management review of financial and business performance, creating an internal audit function and charter, and providing code of conduct trainings.</w:t>
      </w:r>
    </w:p>
    <w:p>
      <w:pPr>
        <w:spacing w:after="0" w:line="29"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Strengthening IT governance and designing IT general controls including restricted user access to our internal systems for financial reporting, change management, program development and computer operations.</w:t>
      </w:r>
    </w:p>
    <w:p>
      <w:pPr>
        <w:spacing w:after="0" w:line="75" w:lineRule="exact"/>
        <w:rPr>
          <w:rFonts w:ascii="Arial" w:cs="Arial" w:eastAsia="Arial" w:hAnsi="Arial"/>
          <w:sz w:val="18"/>
          <w:szCs w:val="18"/>
          <w:color w:val="auto"/>
        </w:rPr>
      </w:pPr>
    </w:p>
    <w:p>
      <w:pPr>
        <w:jc w:val="both"/>
        <w:ind w:left="1080" w:right="44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we continue to undertake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these material weaknesses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18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a public company, we will be required pursuant to Section 404(a) of the Sarbanes-Oxley Act to furnish a report by management on, among other things, the effectiveness of our internal control over financial reporting for each future annual report on Form 10-K to be filed with the SEC. This assessment will need to include disclosure of any material weaknesses identified by our management in internal control over financial reporting. At such time as we are required to provide management’s foregoing assessment, our independent registered public accounting firm will also be required to attest to the effectiveness of our internal control over financial reporting in each annual report on Form 10-K to be filed with the SEC pursuant to Section 404(b) of the Sarbanes-Oxley Act.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 We have begun the costly and challenging process of compiling the system and processing documentation necessary to perform the evaluation needed to comply with Section 404, but we may not be able to complete our evaluation, testing and any required remediation in a timely fashion.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devote substantial time to new compliance initiatives.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that we did not incur as a private company. As a public company, we are subject to the reporting requirements of the Securities Exchange Act of 1934, the Sarbanes-Oxley Act and the Dodd-Frank Wall Street Reform and Consumer Protection Act of 2010 (the “Dodd-Frank Act”), as well as rules adopted, and to be adopted, by the SEC and the applicable stock exchange. Our management and other personnel, many of whom have limited experience managing a public company, will need to devote a substantial amount of time to these compliance initiatives. Moreover, these rules and regulations have substantially increased and we expect to continue to increase our legal and financial compliance costs and make some activities more time-consuming and costly. For example, these rules and regulations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results of operations and financial condition have been and could continue to be adversely affected by the COVID-19 pandemic.</w:t>
      </w:r>
    </w:p>
    <w:p>
      <w:pPr>
        <w:spacing w:after="0" w:line="14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COVID-19 pandemic has caused significant volatility and disruption globally. The COVID-19 measures adopted by governments and businesses, including restrictions on travel and business operations and shelter in place and other quarantine orders, have affected our business, and could continue to adversely affect our business operations or the business operations of our customers. At certain times during the pandemic, the COVID-19 pandemic has impacted our business by slowing the pace of manufacturing ramp up due to employees’ inability to travel to our manufacturing facility in Thailand, temporarily disrupting the operations of certain of our suppliers, and resulting in increased costs of overtime pay and additional personnel in San Francisco to create separate manufacturing teams that rotate every other week in our facility to avoid any possible transmission of COVID-19 between teams. The full impact of the COVID-19 pandemic on our operations depends on factors outside of our control. The duration of the ongoing COVID-19 pandemic and the associated business interruptions may affect our sales, supply chain or the manufacture or distribution of products, which could result in a material adverse effect on our financial condition. Our response to the ongoing COVID-19 pandemic may prove to be inadequate. We may be unable to continue our operations in the manner that we did prior to the outbreak and we may endure interruptions, reputational harm, delays in product development and shipments, all of which could have an adverse effect on our business, operating results, and financial condition. The COVID-19 pandemic may also intensify or exacerbate other risks described in this section.</w:t>
      </w:r>
    </w:p>
    <w:p>
      <w:pPr>
        <w:spacing w:after="0" w:line="2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facilities in California are located near an earthquake fault and an earthquake or other natural disaster or resource shortage could disrupt our operations.</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 In addition, we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result in delays or cancellations of orders or impede our suppliers’ ability to timely deliver product components, our business, operating results and financial condition would be adversely affected.</w:t>
      </w:r>
    </w:p>
    <w:p>
      <w:pPr>
        <w:spacing w:after="0" w:line="278"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infrastructure, firmware in our lidar and customer data processed by us or third-party vendors or suppliers and any material failure, weakness, interruption, cyber event, incident or breach of security could prevent us from effectively operating our business.</w:t>
      </w:r>
    </w:p>
    <w:p>
      <w:pPr>
        <w:spacing w:after="0" w:line="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have experienced and expect to continue to experience actual and attempted cyber-attacks of our IT networks, such as through phishing scams and ransomware. Although none of these actual or attempted cyber-attacks has had a material adverse impact on our operations or financial condition, we cannot guarantee that any such incidents will not have such an impact in the future. For example, 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customer or driver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73"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 In addition, our insurance coverage for cyber-attacks may not be sufficient to cover all the losses we may experience as a result of a cyber incident. Any problems with our third-party cloud hosting providers, whether due to cyber security failures or other causes, could result in lengthy interruptions in our business.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 and Our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price of our common stock, as well as our warrants, may fluctuate due to a variety of factors,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stockholders, including the sale by significant stockholders of any of their shares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our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30"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the effects of the COVID-19 outbreak, recessions, interest rates, local and national elections, fuel prices, international currency fluctuations, corruption, political instability and acts of war or terrorism.</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our common stock and warrants regardless of our operating performance.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target of this type of litigation in the future. Securities litigation against us could result in substantial costs and divert management’s attention from other business concerns, which could seriously harm our business.</w:t>
      </w:r>
    </w:p>
    <w:p>
      <w:pPr>
        <w:spacing w:after="0" w:line="278"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Certification of Incorporation and Bylaws include provisions regarding:</w:t>
      </w:r>
    </w:p>
    <w:p>
      <w:pPr>
        <w:spacing w:after="0" w:line="100"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29" w:lineRule="exact"/>
        <w:rPr>
          <w:rFonts w:ascii="Arial" w:cs="Arial" w:eastAsia="Arial" w:hAnsi="Arial"/>
          <w:sz w:val="16"/>
          <w:szCs w:val="16"/>
          <w:color w:val="auto"/>
        </w:rPr>
      </w:pPr>
    </w:p>
    <w:p>
      <w:pPr>
        <w:ind w:left="1080" w:right="10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7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board of directors or management.</w:t>
      </w:r>
    </w:p>
    <w:p>
      <w:pPr>
        <w:spacing w:after="0" w:line="278" w:lineRule="exact"/>
        <w:rPr>
          <w:sz w:val="20"/>
          <w:szCs w:val="20"/>
          <w:color w:val="auto"/>
        </w:rPr>
      </w:pPr>
    </w:p>
    <w:p>
      <w:pPr>
        <w:ind w:left="120" w:right="440"/>
        <w:spacing w:after="0" w:line="375" w:lineRule="auto"/>
        <w:rPr>
          <w:sz w:val="20"/>
          <w:szCs w:val="20"/>
          <w:color w:val="auto"/>
        </w:rPr>
      </w:pPr>
      <w:r>
        <w:rPr>
          <w:rFonts w:ascii="Arial" w:cs="Arial" w:eastAsia="Arial" w:hAnsi="Arial"/>
          <w:sz w:val="15"/>
          <w:szCs w:val="15"/>
          <w:b w:val="1"/>
          <w:bCs w:val="1"/>
          <w:i w:val="1"/>
          <w:iCs w:val="1"/>
          <w:color w:val="auto"/>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jurisdiction on the Court of Chancery of the State of Delaware, or (v) any action, suit or proceeding asserting a claim against us or any current or former director, officer or stockholder governed by the internal affairs doctrine.</w:t>
      </w:r>
    </w:p>
    <w:p>
      <w:pPr>
        <w:spacing w:after="0" w:line="170"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You will not be permitted to exercise your warrants unless we register and qualify the underlying common stock or certain exemptions are available.</w:t>
      </w:r>
    </w:p>
    <w:p>
      <w:pPr>
        <w:spacing w:after="0" w:line="15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issuance of the common stock upon exercise of our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common stock included in the units.</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the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28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4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8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common stock equals or exceeds $18.00 per share (as adjusted for share splits,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All of the shares of common stock and warrants offered by the Registered Holders will be sold by them for their respective accounts. We will not receive any of the proceeds from these sales.</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Registered Holders will pay any underwriting fees, discounts, selling commissions, stock transfer taxes and certain legal expenses incurred by such Registered Holders in disposing of their shares of common stock and warrants, and we will bear all other costs, fees and expenses incurred in effecting the registration of such securities covered by this prospectus, including, without limitation, all registration and filing fees, NYSE listing fees and fees and expenses of our counsel and our independent registered public accountants.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will receive any proceeds from the exercise of the warrants for cash, but not from the sale of the shares of common stock issuable upon such exercise.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320" w:top="486" w:right="6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Ouster is building the eyes of autonomy. We are a leading provider of high-resolution digital lidar sensors and enabling software that gives robots, machinery, vehicles and fixed infrastructure advanced 3D vision allowing them to safely interact with the physical world.</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design and manufacture digital lidar sensors that we believe to be the highest performing, lowest cost lidar solutions available today across each of our four target markets: automotive, industrial automation; smart infrastructure and robotics.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believe that our digital lidar technology positions us at the center of a global revolution in autonomy. We believe that 3D vision technologies, coupled with artificial intelligence, will power new autonomous technologies that in turn will fundamentally disrupt business models across many existing industries and also enable entirely new industries and capabilities.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year ended December 31, 2021, 34% of our total sensors shipped were to automotive customers. The automotive industry is undergoing a rapid shift towards advanced safety and autonomy features, powered by lidar, and we believe we are uniquely positioned, with our true solid-state digital lidar technology, to enable this transformation. We work with companies across the entire automotive ecosystem, from technology providers to direct automotive parts suppliers (“Tier 1s”) original equipment manufacturers (“OEMs”), to design and manufacture lidar sensors for these advanced vehicle systems.</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Beyond the automotive market, we believe that there is an even larger market for lidar sensors. We believe our highly flexible digital lidar architecture strongly positions us to address what we believe is a rapidly growing demand. Our industrial customers today are using lidar to increase safety and automating operations across the global supply chain, in material handling vehicles at ports and warehouses, in off-highway vehicles at mines and farms, and in manufacturing equipment in factories. In our smart infrastructure vertical, cities are increasing safety and efficiency through using lidar control traffic lights and warning systems, and security companies are improving intrusion detection and tracking by augmenting existing CCTV systems with the spatial tracking capabilities of lidar. We believe these markets present a significant opportunity for growth, as they touch nearly every aspect of our daily lives.</w:t>
      </w:r>
    </w:p>
    <w:p>
      <w:pPr>
        <w:spacing w:after="0" w:line="19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envision a future where lidar-powered solutions are widespread, with useful and affordable 3D perception capabilities built into every moving robot, car, truck and drone, as well as every factory, building, stoplight, dock, and airport terminal.</w:t>
      </w:r>
    </w:p>
    <w:p>
      <w:pPr>
        <w:spacing w:after="0" w:line="170"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have invested heavily in our patent portfolio since our inception by pursuing comprehensive coverage of invention families, use cases, and broad international coverage. As of December 31, 2021, we held over 50 patents and nearly 200 pending patent applications.</w:t>
      </w:r>
    </w:p>
    <w:p>
      <w:pPr>
        <w:spacing w:after="0" w:line="14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believe that our semiconductor-based digital approach mirrors the type of evolution seen during the analog-to-digital transition across the electronics and camera industries. The end result in each of these other industrial transitions was the emergence of high-performance, low-cost digital technology that addressed expanded and diverse use cases. We believe these technology breakthroughs are central to our competitive advantage and dramatically improve sensor performance while making our approach difficult to replicate. In the lidar space, we believe analog technologies have less room for future improvement. In contrast, we anticipate that the key components of our digital lidar have many years of exponential growth ahead, distinguishing Ouster from its analog-focused competitors.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believe the simplicity of our digital lidar design gives us meaningful cost advantages in manufacturing, supply chain, and production yields. A common digital lidar architecture underpins our entire product portfolio,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which we believe will drive economies of scale in our supply chain. With virtually unlimited software-defined customization, we are able to deliver new SKUs for industry-specific applications, expanding our product offerings with minimal manufacturing or inventory changes. We continue to expand our manufacturing capacity by outsourcing to our manufacturing partner, Benchmark Electronics, Inc. (“Benchmark”). Benchmark manufactures our products at its facility in Thailand, which we expect will reduce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mission to make the physical world safer and more efficient is aligned with our commitment to sustainability now and into the future. We believe that our lidar technology is a key enabler of sustainable solutions for our customers, driving the efficient use of vehicles, industrial machinery, and robotics across our end markets. Greater levels of industrial and vehicular automation have been shown to have the potential to significantly reduce global carbon dioxide emissions, helping to curb the effects of climate change. Likewise, smarter cities powered by lidar can better manage traffic, reduce commute times, and further reduce emissions. In smart city use cases, Ouster’s lidar sensors also can be customized with a “privacy-safe” mode, protecting citizens from facial recognition technology. We believe that our lidar products offer superior performance at lower cost and that this will facilitate a wide array of sustainable solutions that generally help drive lidar technology into the mainstream.</w:t>
      </w:r>
    </w:p>
    <w:p>
      <w:pPr>
        <w:spacing w:after="0" w:line="166"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have entered into several, and are actively negotiating a number of additional, multi-year contracts with our customers. In 2021 and 2020 we had over 600 and 500 paying customers, respectively. In 2021, with the acquisition of Sense Photonics, Inc. (“Sense”) and establishment of Ouster Automotive, we increased our number of automotive engagements significantly. Leading with our true solid-state technology, we are working directly with top automotive OEM and Tier 1s in North America, Europe, and Asia. We expect these engagements to continue to rapidly grow in the coming years, as more advanced Advanced Driver Assisted Systems (“ADAS”) and Automated Driving systems enter production and come to market. Outside automotive, our industrial, smart infrastructure, and robotics businesses have continued their rapid growth. We continue to add new industrial, smart infrastructure, and robotics customers, and traction with existing customers is increasing as they progress and bring their products to market. Just as we have seen in automotive, we expect our engagements to rapidly scale over the coming years as our customers bring both advanced safety systems and autonomous operation systems into production.</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see a future where our digital technology enables lidar to become universal, playing a key role in the autonomy revolution that will change innumerable aspects of our economy and daily lives. We believe Ouster’s patented digital approach to lidar positions us well to be at the epicenter of this societal shift, and we anticipate that our software-defined product architecture can accelerate adoption and unlock more applications for lidar in our focus markets and beyond.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Digital Lidar Technology</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founders and engineering team have many years of lidar industry experience. By leveraging our deep knowledge of lidar technology, we have invented and patented an integrated, semiconductor-based digital lidar technology, which consists of the following key features: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Patented digital lidar architecture</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digital lidar systems are based on a simplified architecture that achieves high resolution and reliability at a lower cost than analog lidar systems. Our sensors have three main technologies that, combined with embedded software, power our high-performance “OS” and “DF” product lines.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 system-on-a-chip (“SoC”) with single photon avalanche diode (“SPAD”) detectors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sensors contain a custom-designed SoC that replaces the functionality of hundreds of discrete analog components and integrates those capabilities onto a single complementary metal-oxide-semiconductor (“CMOS”) chip. In our “OS” product line, we are currently on our fourth-generation SoC, “L2X”, which combines significant processing power with a 128-channel SPAD array onto a single piece of silicon. Our SoC is capable of counting individual photons in order to detect very weak laser light pulses from long range targets. This digital SPAD-based approach enables our “OS” sensors to be compact, high-performance, and low-cost in order to provide advanced autonomy functionality to our industrial, robotics, smart infrastructure, and automotive customers.</w:t>
      </w:r>
    </w:p>
    <w:p>
      <w:pPr>
        <w:spacing w:after="0" w:line="192"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Our “DF” product line currently features our first generation solid-state CMOS SoC. Powered by this chip, the solid-state “DF” product line features short, medium, and long-range sensing options that we believe has the potential to meet the performance, reliability, design, and cost requirements of global automotive OEMs.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 cavity surface emitting laser (“VCSEL”) array</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Patented micro-optical system</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 We believe this breakthrough intellectual property gives us significant competitive advantages over other companies that are currently attempting or may attempt to use a similar digital architecture.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Embedded software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currently offer two digital lidar product lines, our “OS” scanning sensors and our “DF” true solid-state flash sensors. Introduced in 2018, our OS product line today features three different sensor models available in numerous configurations. We are currently developing our solid-state digital flash the DF product line, which replaces the “ES” sensor line and accelerates our product roadmap. In October of 2021, Ouster acquired Sense Photonics, Inc. (“Sense”) a developer of solid-state flash lidar based on VCSEL and SPAD technology. This acquisition enables the development of the DF sensor line which leverages technology and engineering expertise from both companies.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OS Product line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OS product line, based on our fourth-generation L2X SoC, is available in three different models to meet the needs of our end customers. The model options include the ultra-wide view “OS0,” the mid-range “OS1,” and the long-range “OS2.” Within each of these models we offer numerous configuration options, including but not limited to different resolutions and different data output structures. As we continue to release new generations of the silicon CMOS SoCs that power the OS product line, we expect the performance of the sensors to improve.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528"/>
        <w:spacing w:after="0"/>
        <w:rPr>
          <w:sz w:val="20"/>
          <w:szCs w:val="20"/>
          <w:color w:val="auto"/>
        </w:rPr>
      </w:pPr>
      <w:r>
        <w:rPr>
          <w:rFonts w:ascii="Arial" w:cs="Arial" w:eastAsia="Arial" w:hAnsi="Arial"/>
          <w:sz w:val="18"/>
          <w:szCs w:val="18"/>
          <w:b w:val="1"/>
          <w:bCs w:val="1"/>
          <w:i w:val="1"/>
          <w:iCs w:val="1"/>
          <w:color w:val="auto"/>
        </w:rPr>
        <w:t>OS0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694055"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0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52"/>
        <w:spacing w:after="0"/>
        <w:rPr>
          <w:sz w:val="20"/>
          <w:szCs w:val="20"/>
          <w:color w:val="auto"/>
        </w:rPr>
      </w:pPr>
      <w:r>
        <w:rPr>
          <w:rFonts w:ascii="Arial" w:cs="Arial" w:eastAsia="Arial" w:hAnsi="Arial"/>
          <w:sz w:val="18"/>
          <w:szCs w:val="18"/>
          <w:b w:val="1"/>
          <w:bCs w:val="1"/>
          <w:color w:val="auto"/>
        </w:rPr>
        <w:t>Ultra-Wide View Digital Lidar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28"/>
        <w:spacing w:after="0"/>
        <w:rPr>
          <w:sz w:val="20"/>
          <w:szCs w:val="20"/>
          <w:color w:val="auto"/>
        </w:rPr>
      </w:pPr>
      <w:r>
        <w:rPr>
          <w:rFonts w:ascii="Arial" w:cs="Arial" w:eastAsia="Arial" w:hAnsi="Arial"/>
          <w:sz w:val="18"/>
          <w:szCs w:val="18"/>
          <w:b w:val="1"/>
          <w:bCs w:val="1"/>
          <w:i w:val="1"/>
          <w:iCs w:val="1"/>
          <w:color w:val="auto"/>
        </w:rPr>
        <w:t>OS1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168910</wp:posOffset>
            </wp:positionV>
            <wp:extent cx="634365" cy="643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43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Mid-Range Digital Lidar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Resolution options (channels): </w:t>
      </w:r>
      <w:r>
        <w:rPr>
          <w:rFonts w:ascii="Arial" w:cs="Arial" w:eastAsia="Arial" w:hAnsi="Arial"/>
          <w:sz w:val="18"/>
          <w:szCs w:val="18"/>
          <w:color w:val="auto"/>
        </w:rPr>
        <w:t>32, 64 and 128</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Range: </w:t>
      </w:r>
      <w:r>
        <w:rPr>
          <w:rFonts w:ascii="Arial" w:cs="Arial" w:eastAsia="Arial" w:hAnsi="Arial"/>
          <w:sz w:val="18"/>
          <w:szCs w:val="18"/>
          <w:color w:val="auto"/>
        </w:rPr>
        <w:t>50 meters</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Field of View (FoV): </w:t>
      </w:r>
      <w:r>
        <w:rPr>
          <w:rFonts w:ascii="Arial" w:cs="Arial" w:eastAsia="Arial" w:hAnsi="Arial"/>
          <w:sz w:val="18"/>
          <w:szCs w:val="18"/>
          <w:color w:val="auto"/>
        </w:rPr>
        <w:t>90° vertical FoV &amp; 360° horizontal FoV</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Horizontal resolution (@ 10 Hz): 2048</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Precision: ±1.5 - 5 cm</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Points per second (@128 channels): </w:t>
      </w:r>
      <w:r>
        <w:rPr>
          <w:rFonts w:ascii="Arial" w:cs="Arial" w:eastAsia="Arial" w:hAnsi="Arial"/>
          <w:sz w:val="18"/>
          <w:szCs w:val="18"/>
          <w:color w:val="auto"/>
        </w:rPr>
        <w:t>2.6 million</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Power consumption: </w:t>
      </w:r>
      <w:r>
        <w:rPr>
          <w:rFonts w:ascii="Arial" w:cs="Arial" w:eastAsia="Arial" w:hAnsi="Arial"/>
          <w:sz w:val="18"/>
          <w:szCs w:val="18"/>
          <w:color w:val="auto"/>
        </w:rPr>
        <w:t>14 - 20 W</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protection: </w:t>
      </w:r>
      <w:r>
        <w:rPr>
          <w:rFonts w:ascii="Arial" w:cs="Arial" w:eastAsia="Arial" w:hAnsi="Arial"/>
          <w:sz w:val="18"/>
          <w:szCs w:val="18"/>
          <w:color w:val="auto"/>
        </w:rPr>
        <w:t>IP68, IP69K</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Customization options: </w:t>
      </w:r>
      <w:r>
        <w:rPr>
          <w:rFonts w:ascii="Arial" w:cs="Arial" w:eastAsia="Arial" w:hAnsi="Arial"/>
          <w:sz w:val="18"/>
          <w:szCs w:val="18"/>
          <w:color w:val="auto"/>
        </w:rPr>
        <w:t>30+</w:t>
      </w:r>
    </w:p>
    <w:p>
      <w:pPr>
        <w:spacing w:after="0" w:line="130" w:lineRule="exact"/>
        <w:rPr>
          <w:rFonts w:ascii="Arial" w:cs="Arial" w:eastAsia="Arial" w:hAnsi="Arial"/>
          <w:sz w:val="18"/>
          <w:szCs w:val="18"/>
          <w:color w:val="auto"/>
        </w:rPr>
      </w:pPr>
    </w:p>
    <w:p>
      <w:pPr>
        <w:ind w:left="268" w:right="480" w:hanging="268"/>
        <w:spacing w:after="0" w:line="282"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Illustrative use cases: </w:t>
      </w:r>
      <w:r>
        <w:rPr>
          <w:rFonts w:ascii="Arial" w:cs="Arial" w:eastAsia="Arial" w:hAnsi="Arial"/>
          <w:sz w:val="18"/>
          <w:szCs w:val="18"/>
          <w:color w:val="auto"/>
        </w:rPr>
        <w:t>Factory AGVs, Automated forklifts, Robo-taxis,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Autonomous shuttles, Anonymous People counting</w:t>
      </w:r>
    </w:p>
    <w:p>
      <w:pPr>
        <w:spacing w:after="0" w:line="67"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Resolution options (channels): </w:t>
      </w:r>
      <w:r>
        <w:rPr>
          <w:rFonts w:ascii="Arial" w:cs="Arial" w:eastAsia="Arial" w:hAnsi="Arial"/>
          <w:sz w:val="18"/>
          <w:szCs w:val="18"/>
          <w:color w:val="auto"/>
        </w:rPr>
        <w:t>32, 64 and 128</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Range: </w:t>
      </w:r>
      <w:r>
        <w:rPr>
          <w:rFonts w:ascii="Arial" w:cs="Arial" w:eastAsia="Arial" w:hAnsi="Arial"/>
          <w:sz w:val="18"/>
          <w:szCs w:val="18"/>
          <w:color w:val="auto"/>
        </w:rPr>
        <w:t>120 meters</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FoV: </w:t>
      </w:r>
      <w:r>
        <w:rPr>
          <w:rFonts w:ascii="Arial" w:cs="Arial" w:eastAsia="Arial" w:hAnsi="Arial"/>
          <w:sz w:val="18"/>
          <w:szCs w:val="18"/>
          <w:color w:val="auto"/>
        </w:rPr>
        <w:t>45° vertical FoV &amp; 360° horizontal FoV</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Horizontal resolution (@ 10 Hz)</w:t>
      </w:r>
      <w:r>
        <w:rPr>
          <w:rFonts w:ascii="Arial" w:cs="Arial" w:eastAsia="Arial" w:hAnsi="Arial"/>
          <w:sz w:val="18"/>
          <w:szCs w:val="18"/>
          <w:color w:val="auto"/>
        </w:rPr>
        <w:t>: 2048</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Precision</w:t>
      </w:r>
      <w:r>
        <w:rPr>
          <w:rFonts w:ascii="Arial" w:cs="Arial" w:eastAsia="Arial" w:hAnsi="Arial"/>
          <w:sz w:val="18"/>
          <w:szCs w:val="18"/>
          <w:color w:val="auto"/>
        </w:rPr>
        <w:t>: ±0.7 - 5 cm</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Points per second</w:t>
      </w:r>
      <w:r>
        <w:rPr>
          <w:rFonts w:ascii="Arial" w:cs="Arial" w:eastAsia="Arial" w:hAnsi="Arial"/>
          <w:sz w:val="18"/>
          <w:szCs w:val="18"/>
          <w:color w:val="auto"/>
        </w:rPr>
        <w:t>: 2.6 million</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Power consumption: </w:t>
      </w:r>
      <w:r>
        <w:rPr>
          <w:rFonts w:ascii="Arial" w:cs="Arial" w:eastAsia="Arial" w:hAnsi="Arial"/>
          <w:sz w:val="18"/>
          <w:szCs w:val="18"/>
          <w:color w:val="auto"/>
        </w:rPr>
        <w:t>14 - 20 W</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Customization options: </w:t>
      </w:r>
      <w:r>
        <w:rPr>
          <w:rFonts w:ascii="Arial" w:cs="Arial" w:eastAsia="Arial" w:hAnsi="Arial"/>
          <w:sz w:val="18"/>
          <w:szCs w:val="18"/>
          <w:color w:val="auto"/>
        </w:rPr>
        <w:t>30+</w:t>
      </w:r>
    </w:p>
    <w:p>
      <w:pPr>
        <w:spacing w:after="0" w:line="130" w:lineRule="exact"/>
        <w:rPr>
          <w:rFonts w:ascii="Arial" w:cs="Arial" w:eastAsia="Arial" w:hAnsi="Arial"/>
          <w:sz w:val="18"/>
          <w:szCs w:val="18"/>
          <w:color w:val="auto"/>
        </w:rPr>
      </w:pPr>
    </w:p>
    <w:p>
      <w:pPr>
        <w:ind w:left="248" w:hanging="248"/>
        <w:spacing w:after="0"/>
        <w:tabs>
          <w:tab w:leader="none" w:pos="24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protection: </w:t>
      </w:r>
      <w:r>
        <w:rPr>
          <w:rFonts w:ascii="Arial" w:cs="Arial" w:eastAsia="Arial" w:hAnsi="Arial"/>
          <w:sz w:val="18"/>
          <w:szCs w:val="18"/>
          <w:color w:val="auto"/>
        </w:rPr>
        <w:t>IP68, IP69K</w:t>
      </w:r>
    </w:p>
    <w:p>
      <w:pPr>
        <w:spacing w:after="0" w:line="130" w:lineRule="exact"/>
        <w:rPr>
          <w:rFonts w:ascii="Arial" w:cs="Arial" w:eastAsia="Arial" w:hAnsi="Arial"/>
          <w:sz w:val="18"/>
          <w:szCs w:val="18"/>
          <w:color w:val="auto"/>
        </w:rPr>
      </w:pPr>
    </w:p>
    <w:p>
      <w:pPr>
        <w:jc w:val="both"/>
        <w:ind w:left="268" w:right="140" w:hanging="268"/>
        <w:spacing w:after="0" w:line="266"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Illustrative use cases: </w:t>
      </w:r>
      <w:r>
        <w:rPr>
          <w:rFonts w:ascii="Arial" w:cs="Arial" w:eastAsia="Arial" w:hAnsi="Arial"/>
          <w:sz w:val="18"/>
          <w:szCs w:val="18"/>
          <w:color w:val="auto"/>
        </w:rPr>
        <w:t>Last-mile delivery robots, Autonomous trucking, Autonomous</w:t>
      </w:r>
      <w:r>
        <w:rPr>
          <w:rFonts w:ascii="Arial" w:cs="Arial" w:eastAsia="Arial" w:hAnsi="Arial"/>
          <w:sz w:val="18"/>
          <w:szCs w:val="18"/>
          <w:b w:val="1"/>
          <w:bCs w:val="1"/>
          <w:color w:val="auto"/>
        </w:rPr>
        <w:t xml:space="preserve"> </w:t>
      </w:r>
      <w:r>
        <w:rPr>
          <w:rFonts w:ascii="Arial" w:cs="Arial" w:eastAsia="Arial" w:hAnsi="Arial"/>
          <w:sz w:val="18"/>
          <w:szCs w:val="18"/>
          <w:color w:val="auto"/>
        </w:rPr>
        <w:t>mining vehicles, Autonomous agricultural vehicles, Autonomous buses, Autonomous drones, Traffic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-5191125</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792" w:space="720"/>
            <w:col w:w="6588"/>
          </w:cols>
          <w:pgMar w:left="320" w:top="486" w:right="479" w:bottom="1440" w:gutter="0" w:footer="0" w:header="0"/>
        </w:sectPr>
      </w:pPr>
    </w:p>
    <w:p>
      <w:pPr>
        <w:ind w:left="2000"/>
        <w:spacing w:after="0"/>
        <w:tabs>
          <w:tab w:leader="none" w:pos="4500" w:val="left"/>
          <w:tab w:leader="none" w:pos="4740" w:val="left"/>
        </w:tabs>
        <w:rPr>
          <w:sz w:val="20"/>
          <w:szCs w:val="20"/>
          <w:color w:val="auto"/>
        </w:rPr>
      </w:pPr>
      <w:r>
        <w:rPr>
          <w:rFonts w:ascii="Arial" w:cs="Arial" w:eastAsia="Arial" w:hAnsi="Arial"/>
          <w:sz w:val="18"/>
          <w:szCs w:val="18"/>
          <w:b w:val="1"/>
          <w:bCs w:val="1"/>
          <w:i w:val="1"/>
          <w:iCs w:val="1"/>
          <w:color w:val="auto"/>
        </w:rPr>
        <w:t>OS2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 xml:space="preserve">Resolution options (channels): </w:t>
      </w:r>
      <w:r>
        <w:rPr>
          <w:rFonts w:ascii="Arial" w:cs="Arial" w:eastAsia="Arial" w:hAnsi="Arial"/>
          <w:sz w:val="15"/>
          <w:szCs w:val="15"/>
          <w:color w:val="auto"/>
        </w:rPr>
        <w:t>32, 64 and 128</w:t>
      </w:r>
    </w:p>
    <w:p>
      <w:pPr>
        <w:spacing w:after="0" w:line="131" w:lineRule="exact"/>
        <w:rPr>
          <w:sz w:val="20"/>
          <w:szCs w:val="20"/>
          <w:color w:val="auto"/>
        </w:rPr>
      </w:pPr>
    </w:p>
    <w:p>
      <w:pPr>
        <w:ind w:left="4760" w:hanging="248"/>
        <w:spacing w:after="0"/>
        <w:tabs>
          <w:tab w:leader="none" w:pos="4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Range: </w:t>
      </w:r>
      <w:r>
        <w:rPr>
          <w:rFonts w:ascii="Arial" w:cs="Arial" w:eastAsia="Arial" w:hAnsi="Arial"/>
          <w:sz w:val="18"/>
          <w:szCs w:val="18"/>
          <w:color w:val="auto"/>
        </w:rPr>
        <w:t>240 meters</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FoV: </w:t>
      </w:r>
      <w:r>
        <w:rPr>
          <w:rFonts w:ascii="Arial" w:cs="Arial" w:eastAsia="Arial" w:hAnsi="Arial"/>
          <w:sz w:val="18"/>
          <w:szCs w:val="18"/>
          <w:color w:val="auto"/>
        </w:rPr>
        <w:t>22.5° vertical FoV &amp; 360° horizontal FoV</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Horizontal resolution (@ 10 Hz): </w:t>
      </w:r>
      <w:r>
        <w:rPr>
          <w:rFonts w:ascii="Arial" w:cs="Arial" w:eastAsia="Arial" w:hAnsi="Arial"/>
          <w:sz w:val="18"/>
          <w:szCs w:val="18"/>
          <w:color w:val="auto"/>
        </w:rPr>
        <w:t>2048</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Horizontal resolution (@ 10 Hz): </w:t>
      </w:r>
      <w:r>
        <w:rPr>
          <w:rFonts w:ascii="Arial" w:cs="Arial" w:eastAsia="Arial" w:hAnsi="Arial"/>
          <w:sz w:val="18"/>
          <w:szCs w:val="18"/>
          <w:color w:val="auto"/>
        </w:rPr>
        <w:t>2048</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Precision: </w:t>
      </w:r>
      <w:r>
        <w:rPr>
          <w:rFonts w:ascii="Arial" w:cs="Arial" w:eastAsia="Arial" w:hAnsi="Arial"/>
          <w:sz w:val="18"/>
          <w:szCs w:val="18"/>
          <w:color w:val="auto"/>
        </w:rPr>
        <w:t>±2.5 - 8 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-899160</wp:posOffset>
            </wp:positionV>
            <wp:extent cx="1131570" cy="840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1570" cy="840105"/>
                    </a:xfrm>
                    <a:prstGeom prst="rect">
                      <a:avLst/>
                    </a:prstGeom>
                    <a:noFill/>
                  </pic:spPr>
                </pic:pic>
              </a:graphicData>
            </a:graphic>
          </wp:anchor>
        </w:drawing>
      </w:r>
    </w:p>
    <w:p>
      <w:pPr>
        <w:spacing w:after="0" w:line="111" w:lineRule="exact"/>
        <w:rPr>
          <w:sz w:val="20"/>
          <w:szCs w:val="20"/>
          <w:color w:val="auto"/>
        </w:rPr>
      </w:pPr>
    </w:p>
    <w:p>
      <w:pPr>
        <w:ind w:left="1160"/>
        <w:spacing w:after="0"/>
        <w:tabs>
          <w:tab w:leader="none" w:pos="4500" w:val="left"/>
          <w:tab w:leader="none" w:pos="4740" w:val="left"/>
        </w:tabs>
        <w:rPr>
          <w:sz w:val="20"/>
          <w:szCs w:val="20"/>
          <w:color w:val="auto"/>
        </w:rPr>
      </w:pPr>
      <w:r>
        <w:rPr>
          <w:rFonts w:ascii="Arial" w:cs="Arial" w:eastAsia="Arial" w:hAnsi="Arial"/>
          <w:sz w:val="18"/>
          <w:szCs w:val="18"/>
          <w:b w:val="1"/>
          <w:bCs w:val="1"/>
          <w:color w:val="auto"/>
        </w:rPr>
        <w:t>Long-Range Digital Lidar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 xml:space="preserve">Points per second (@128 channels): </w:t>
      </w:r>
      <w:r>
        <w:rPr>
          <w:rFonts w:ascii="Arial" w:cs="Arial" w:eastAsia="Arial" w:hAnsi="Arial"/>
          <w:sz w:val="16"/>
          <w:szCs w:val="16"/>
          <w:color w:val="auto"/>
        </w:rPr>
        <w:t>2.6 million</w:t>
      </w:r>
    </w:p>
    <w:p>
      <w:pPr>
        <w:spacing w:after="0" w:line="131" w:lineRule="exact"/>
        <w:rPr>
          <w:sz w:val="20"/>
          <w:szCs w:val="20"/>
          <w:color w:val="auto"/>
        </w:rPr>
      </w:pPr>
    </w:p>
    <w:p>
      <w:pPr>
        <w:ind w:left="4760" w:hanging="248"/>
        <w:spacing w:after="0"/>
        <w:tabs>
          <w:tab w:leader="none" w:pos="47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Power consumption: </w:t>
      </w:r>
      <w:r>
        <w:rPr>
          <w:rFonts w:ascii="Arial" w:cs="Arial" w:eastAsia="Arial" w:hAnsi="Arial"/>
          <w:sz w:val="18"/>
          <w:szCs w:val="18"/>
          <w:color w:val="auto"/>
        </w:rPr>
        <w:t>18 - 24 W</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Customization options: </w:t>
      </w:r>
      <w:r>
        <w:rPr>
          <w:rFonts w:ascii="Arial" w:cs="Arial" w:eastAsia="Arial" w:hAnsi="Arial"/>
          <w:sz w:val="18"/>
          <w:szCs w:val="18"/>
          <w:color w:val="auto"/>
        </w:rPr>
        <w:t>15+</w:t>
      </w:r>
    </w:p>
    <w:p>
      <w:pPr>
        <w:spacing w:after="0" w:line="130" w:lineRule="exact"/>
        <w:rPr>
          <w:rFonts w:ascii="Arial" w:cs="Arial" w:eastAsia="Arial" w:hAnsi="Arial"/>
          <w:sz w:val="18"/>
          <w:szCs w:val="18"/>
          <w:color w:val="auto"/>
        </w:rPr>
      </w:pPr>
    </w:p>
    <w:p>
      <w:pPr>
        <w:ind w:left="4760" w:hanging="248"/>
        <w:spacing w:after="0"/>
        <w:tabs>
          <w:tab w:leader="none" w:pos="47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protection: </w:t>
      </w:r>
      <w:r>
        <w:rPr>
          <w:rFonts w:ascii="Arial" w:cs="Arial" w:eastAsia="Arial" w:hAnsi="Arial"/>
          <w:sz w:val="18"/>
          <w:szCs w:val="18"/>
          <w:color w:val="auto"/>
        </w:rPr>
        <w:t>IP68, IP69K</w:t>
      </w:r>
    </w:p>
    <w:p>
      <w:pPr>
        <w:spacing w:after="0" w:line="130" w:lineRule="exact"/>
        <w:rPr>
          <w:rFonts w:ascii="Arial" w:cs="Arial" w:eastAsia="Arial" w:hAnsi="Arial"/>
          <w:sz w:val="18"/>
          <w:szCs w:val="18"/>
          <w:color w:val="auto"/>
        </w:rPr>
      </w:pPr>
    </w:p>
    <w:p>
      <w:pPr>
        <w:ind w:left="4780" w:hanging="268"/>
        <w:spacing w:after="0" w:line="282" w:lineRule="auto"/>
        <w:tabs>
          <w:tab w:leader="none" w:pos="4764"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Illustrative use cases: </w:t>
      </w:r>
      <w:r>
        <w:rPr>
          <w:rFonts w:ascii="Arial" w:cs="Arial" w:eastAsia="Arial" w:hAnsi="Arial"/>
          <w:sz w:val="18"/>
          <w:szCs w:val="18"/>
          <w:color w:val="auto"/>
        </w:rPr>
        <w:t>Autonomous trucking, Robo-taxis, Autonomous shuttles, Traffic</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Autonomous mining, Building security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customization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Within our OS sensor models, we offer numerous customization options, all enabled by embedded software. For each of our three models, we offer resolution options of 128 lines vertically (“channels”), 64 channels, or 32 channels. Additionally, within the 64 and 32 channel options, we offer further customization to determine the channels are distributed throughout the vertical field-of-view. These options for beam spacing are: uniform (evenly distributed channels), gradient (denser channels around the center of the vertical field-of-view and sparser by the top and bottom edges), below horizon (evenly spaced on the bottom half of the field of view), and above horizon (evenly spaced in the top half of the field-of-view). Illustrative beam spacing options for the OS1 model are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285750</wp:posOffset>
            </wp:positionV>
            <wp:extent cx="4225925" cy="969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25925" cy="96901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1545590</wp:posOffset>
            </wp:positionV>
            <wp:extent cx="4225925" cy="9944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259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beam spacing options, we also offer a “Privacy Mode” configuration which removes data that could potentially be used for facial recognition purposes. Through our existing and future embedded software, we anticipate offering additional customization options to our customers as demand arises. Because these configurations are offered through software, the incremental cost of additional options is lower than designing new hardware, giving us operational flexibility to respond to market demand.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DF product line</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DF series is a suite of short, mid, and long-range solid-state digital lidar sensors. The true solid-state DF series is built for best-in-class reliability, durability, and affordability. The DF series is designed to meet automaker requirements for ADAS and automated driving, while seamlessly integrating into the vehicle architecture and design. We expect to make the DF series available for consumer vehicles starting production in 2025. The Company is already shipping functional prototypes and samples to OEMs and Tier 1s partners.</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DF product line was specifically engineered to meet consumer ADAS performance requirements and certifications related to automotive functional safety and reliability. Its key features include high resolution sensors, adaptability, and scalability.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High resolution. </w:t>
      </w:r>
      <w:r>
        <w:rPr>
          <w:rFonts w:ascii="Arial" w:cs="Arial" w:eastAsia="Arial" w:hAnsi="Arial"/>
          <w:sz w:val="18"/>
          <w:szCs w:val="18"/>
          <w:color w:val="auto"/>
        </w:rPr>
        <w:t>The patented breakthrough solid-state digital flash architecture produces high-resolution 3D point clouds.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Adaptability. </w:t>
      </w:r>
      <w:r>
        <w:rPr>
          <w:rFonts w:ascii="Arial" w:cs="Arial" w:eastAsia="Arial" w:hAnsi="Arial"/>
          <w:sz w:val="18"/>
          <w:szCs w:val="18"/>
          <w:color w:val="auto"/>
        </w:rPr>
        <w:t>The multi-sensor suite is a flexible platform that can be easily adapted to different form-factors and sensor configurations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varying ranges, fields of view, and vehicle design freedoms - all with a simple change in optics or housing.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86"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 xml:space="preserve">Scalability. </w:t>
      </w:r>
      <w:r>
        <w:rPr>
          <w:rFonts w:ascii="Arial" w:cs="Arial" w:eastAsia="Arial" w:hAnsi="Arial"/>
          <w:sz w:val="17"/>
          <w:szCs w:val="17"/>
          <w:color w:val="auto"/>
        </w:rPr>
        <w:t>The true solid-state DF product line is highly manufacturable and offers the durability, reliability, and affordability needed for</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series production. We are offering individual solid-state sensors as well as a multi-sensor lidar suite at a price point that we believe could enable broad adoption in consumer vehicles. We believe that we are well-positioned to deliver on OEM requirements with a single supplier offering, reducing overall costs and making us a preferred potential partner for both automotive OEMs and Tier 1s.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Roadmap And Development</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digital lidar technology is core to our products. By transitioning to our digital architecture, we expect our product improvements will be primarily driven by improvements to our semiconductors-the receiver SoC and VCSEL laser array-instead of through complete redesigns of our sensors or further significant changes in architecture.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to maintain our OS product line with our three current sensor models. Our product roadmap primarily consists of designing, fabricating and integrating improved semiconductors into the OS product line, which we expect to improve the range and resolution of our sensors, among other features, while making no major changes to the form factor of our sensors.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already shipped functional forward-facing prototypes for the automotive ADAS market and intend to release our first prototypes as early as 2022. After the initial release, we anticipate our DF product line will improve in performance over time as we improve our core SoC and laser components.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target four markets globally: industrial; smart infrastructure; robotics; and automotive. In total, we shipped sensors to over 600 paying customers in 2021 across these diversified end markets. For the year ended December 31, 2021, no single customer accounted for more than 10% of our revenue from product sales.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Industrial</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customers in the industrial market are generally engaged in the manufacturing, operation, or after-market modification of heavy industrial machinery, which includes mining vehicles,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Smart Infrastructure</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customers in the smart infrastructure market are generally engaged in the monitoring and analysis of pedestrian and vehicle movements for the purpose of providing building security, improving road user safety, and increasing roadway efficiency. This market includes federal, state, and local governments as well as private commercial businesses. For our smart infrastructure customers, digital lidar provides accurate spatial data, immunity to low lighting conditions, and privacy protection, which are all areas where traditional cameras may struggle. We believe that our smart infrastructure customers value the high resolution, 360° horizontal field-of-view, and high reliability of our digital lidar sensors.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Robotics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wide vertical field-of-view, and high reliability of our digital lidar sensors.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86"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customers in the automotive industry fall into two categories: customers developing various forms of self-driving technology for driverless mobility and freight applications, and companies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digital lidar technology.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the following strengths will allow us to maintain and extend our position as a leading provider in high-resolution lidar solutions.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Patented digital lidar technology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invented and patented our digital lidar technology beginning in 2015 and have since launched a suite of products built on a shared architecture that are competitive with legacy analog lidar. We believe that our lidar technology breaks the link between cost and performance in the lidar industry. Our proprietary SoC replaces hundreds to thousands of discrete components with a single tightly integrated SPAD receiver array, and our high-efficiency VCSEL array integrates every laser into a single die. Moreover, our patented micro-optical system increases digital lidar performance by the equivalent of an orders-of-magnitude increase in detector efficiency. We believe that this architecture will allow us to continue to increase sensor performance while reducing its cost for many years to come. The Sense acquisition enabled us to acquire significant intellectual property, which we believe will distinguish us in the digital lidar space and provides a strong moat around our solid-state DF sensors.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 performance at an affordable price</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As we introduce future generations of our proprietary SoC, we expect to be able to offer improved resolution, range, precision, reliability, and unlock new data types. Our simple digital architecture shared across our products results in a single manufacturing process and common supply chain for all of our sensor models that we believe results in cost advantages that help us offer lower prices to our customers while maintaining gross margins.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Flexible and scalable product architecture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products employ a software-defined architecture, enabling rapid customization in the software layer, and a simple shared hardware architecture for scalable manufacturing. With software-defined products continuing to drive low-cost customization, we expect to develop new SKUs for industry-specific applications, expanding our product offering without requiring significant manufacturing or inventory changes.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 and diversified customer base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sold sensors to over 600 paying customers worldwide in 2021 and no single customer accounted for more than 10% of our revenue in that time period. We believe that the diversity of our customer base and our presence in all four of our targeted markets gives Ouster several advantages. First, our customer and market diversity add stability to our business. By diversifying our customer base, we are able to reduce our exposure to the risk of customer development delays or regulatory changes that may affect our sales to a single customer or in a particular market rather than all four of the targeted markets. Second, we believe that a large, diverse customer base will ultimately result in more engaged customers purchasing our products and help us to achieve higher sales more quickly than other companies that depend on a smaller set of customers in fewer markets. As we increase our sales volume, we expect our cost per sensor to decrease, allowing us to compete more effectively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each of the targeted markets. Finally, we believe our early entrance into non-automotive markets will enable us to gain market-specific expertise, informing our product development decisions so that we may more effectively customize our products’ fit for the end market customers’ needs. We also believe that our early entrance into our targeted markets affords us the opportunity to establish strong relationships globally with key customers in each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Volume manufacturing today</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To achieve our vision of making lidar technology widely adopted, we designed our technology for high-volume manufacturing. We are successfully expanding our manufacturing capacity by outsourcing manufacturing to the Thailand facility of our manufacturing partner Benchmark. We believe our relationship with Benchmark provides a myriad of benefits, including the ability to leverage Benchmark’s manufacturing capacity to help us scale our production.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solid-state technology positioned to capture automotive scale</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We expect that our prospective customers in the ADAS market will select lidar suppliers primarily based on the anticipated ability to meet performance, reliability, design, and cost requirements. We believe that the true solid-state digital lidar technology in our DF sensors will meet these performance, reliability, design, and cost requirements of the ADAS market, and lead to production wins and growth in this segment.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reliable and rugged technology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to high performance, comparatively low cost, and high customization flexibility, our sensors are designed to be highly reliable. Our OS product line of sensors have achieved the highest ingress ratings in the industry-IP68 and IP69K-meaning they can survive submersion in up to 1 meter of water for 30 minutes and withstand high-temperature power washing. We believe Ouster has one of the lowest field failure rates in the industry, which reduces the total cost of ownership for our sensors. We believe that the high component count of certain analog sensors may cause these sensors to have higher field failure rates and may require recalibration from time-to-time at the expense of the customer, causing downtime in the field and requiring an inventory of spare lidar parts. We expect our digital technology will significantly reduce these added expenses in both time and money and enable higher revenue and platform utilization by our customers.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IP portfolio</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digital technology is backed by a comprehensive suite of patent protections. We own numerous issued patents and pending patent applications. As of December 31, 2021, we held more than 50 U.S. patents. We believe these technology breakthroughs are central to our competitive advantage, dramatically improving sensor performance while making our approach difficult to replicate.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management team</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Innovation is central to our corporate culture. Our co-founders Angus Pacala and Mark Frichtl have over 15 years of combined experience in lidar engineering. In collaboration with our executive management team, they drive our vision and corporate strategy. We believe that the digital lidar technology invented by our founders will continue to drive significant improvements in autonomous technology. As the company has developed, we have built a strong supporting team, adding leaders in sales, marketing, operations, engineering, manufacturing, legal, and finance.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Our growth strategy is based upon three components: the attractive performance and cost economics of our digital lidar technology, the introduction of value-added software, and focused commercial execution.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Today, our digital lidar technology powers OS and DF sensors that are high performance, highly customizable, reliable, and available at a competitive price point.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believe the introduction of value-added software that aids in the processing of lidar data presents a significant growth opportunity. For existing lidar users, software to aid in the processing of lidar data has the potential to decrease development time and improve system performance. For customers who lack expertise in lidar technology, the introduction software to aid in the processing of lidar data will remove a significant barrier to their adoption of lidar technology.</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to our sensor and software growth opportunities, we believe we have opportunity to increase our growth through commercial execution excellence. Through building a commercial organization with highly-skilled employees and efficient processes and systems, we believe we can improve our customer acquisition, accelerate existing customer growth, increase sales through distribution networks, and build valuable strategic partnerships.</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2021, we saw strong growth in customers and strategic customer agreements across each of our four verticals and throughout the Americas, Asia Pacific, Europe and the Middle East. The automotive vertical, which includes robotaxi, robotrucking, shuttles and buses, and consumer ADAS, accounted for 34% of sensors shipped in 2021. The industrial vertical which includes material handling, off-highway equipment, and factory automation accounted for 25% of sensors shipped in 2021. We saw the strongest growth in smart infrastructure, which accounted for 15% of sensors shipped in 2021 to support 86 deployed projects within our intelligent transportation systems, smart places and security sub-markets. We were also selected for 24 additional smart infrastructure projects in 2021 that are scheduled to be shipped after 2021. Finally, robotics accounted for 26% of sensors shipped in 2021.</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elements of our growth strategy include: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Execute on our product roadmap</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continue to place a priority on innovation and product development. We plan to continue improving our product performance and adding unique functionality while maintaining a competitive price point. We believe our improving products at a consistently competitive price positions us to win new and expanded business opportunities in our target markets over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Commercialize digital lidar for emerging automotive opportunity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when our planned cost-reduced solid-state DF sensor is released, it will meet the automotive industry’s long-term requirements for performance, cost, and reliability in ADAS applications. As development progresses, we will strive to build and maintain relationships with global automotive OEMs and Tier 1s to further build demand.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investment in software development</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Developing software to ingest and make use of lidar data is a complex task. Many of our existing customers have software development and artificial intelligence expertise, yet can spend many months developing software for a single type of lidar sensor. We plan to build software to save our technically advanced customers time in the development of lidar processing algorithms. Furthermore, for less technically advanced customers, they may be unable to make use of a lidar sensor due to a lack of expertise. We plan to build full software solutions to enable these customers to unlock the benefits of lidar technology. We intend to increase our investment in software development in order to accelerate this effort.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worldwide sales and marketing presence</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shipped sensors to over 600 paying customers worldwide in 2021. To further grow our market share in our target markets, we intend to strategically hire globally, scaling our commercial team to serve the needs of each end market. As our market presence grows through targeted sales and marketing activity, we believe our customer base will grow. In addition, we are increasingly cross-selling within accounts, accessing new projects and opportunities within accounts where we have a beachhead position and increasing the number of addressable opportunities even within single accounts.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sales volumes from existing accounts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 - we believe our order volumes will increase at each stage in the sales process. We expect that moving to series production can provide a material increase of up to several orders of magnitude in annual sales volume for each given customer program. Sales for these programs are often, but not always, memorialized in multi-year contracts that provide a closer relationship to the customer and increased growth opportunities for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distribution network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While the majority of our sales are direct to customers, we also sell our sensors through an international distribution network.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partner ecosystem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In collaboration with our value-added software and integrator partners, we intend to further develop complementary solutions and integration services that we believe will give us access to customers seeking out technical know-how and we expect that this will accelerate our sales growth.</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Pursue strategic acquisitions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pursue acquisitions as a means to complement our technology and digital lidar architecture if they represent a strategic fit and are consistent with our overall growth strategy. For example, in October 2021, we completed the acquisition of Sense and formally established Ouster Automotive, a new functional division of the Company focusing on driving mass-market adoption of digital lidar in consumer and commercial vehicles. While we see significant and growing demand for our products today, we believe such acquisitions can create more expansive use cases for our products, provide greater access to our current target markets, or enable us to access additional markets.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have invested significant time in streamlining our production process. Our optical alignment processes are partially or completely automated, which reduces manufacturing time and increases our production output. Our sensors also undergo an application-focused final test, which allows us to understand the real-world performance of our sensors before they are shipped to customers, reducing returned merchandise costs. Ouster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has also invested in building manufacturing process control systems. Today, we have real-time manufacturing visibility on every sensor produced in Thailand due to our integrated data stores and dashboards. All of this results in lowered labor and overhead cost per unit, with repeatable, scalable, and predictable quality.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Benchmark Manufacturing Services Agreement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March 2018, we entered into a manufacturing services agreement with Benchmark, pursuant to which Benchmark has agreed to provide certain manufacturing and related services for the production of our digital lidar sensors, including procuring materials and assembling and testing finished products.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initial term of the agreement expired in March 2020, but the term of the agreement automatically extends for additional one-year periods until either we or Benchmark provide notice of non-renewal at least 90 days prior to the end of the then-current term or extension. Among other things, either party may terminate the agreement for convenience upon one-year notice to the other party. Either party may also terminate the agreement under certain other customary conditions, including for uncured breaches of the agreement or if the other party if the other party materials breaches the agreement or in the event of the other party’s insolvency.</w:t>
      </w:r>
    </w:p>
    <w:p>
      <w:pPr>
        <w:spacing w:after="0" w:line="188"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In connection with the services provided under the agreement, we have agreed to indemnify Benchmark against certain claims, including infringement of third-party intellectual property rights and noncompliance of our products with safety or other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market for lidar solutions for autonomous applications is an emerging market, with many potential applications in the development stage. As a result, we face competition from a range of companies developing lidar solutions for incorporation into these developing applications, some of which may be similar to ours. Additionally, some of our targeted customers may have their own internal lidar development programs. Although we believe our digital solutions and innovation support our position as a market leader, we have and will continue to face competition from existing competitors and new companies developing lidar solutions for the industrial, smart infrastructure, robotics and automotive industries.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Although we may encounter companies that are independently developing lidar solutions, we believe we compete favorably on the basis of the simplified and flexible digital architecture of our product design, our comparatively low customization costs, our commercial traction, and our comprehensive suite of patented technology. Additionally, we expect our product costs per unit to continue to decrease over time as production volume expands.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maintain a global sales presence and sell directly to the majority of our customers. We have grown our commercial team across the Americas, Europe, Middle East and Africa, and Asia and Pacific markets and brought on experienced leaders to develop a focused sales organization geared towards ramping our sales pipeline. We plan to continue expanding our sales and marketing efforts to attract new customers and grow orders from existing customers. Members of our sales team typically focus most of their effort in one of our target markets, allowing them to learn from customers and gain subject matter expertise.</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While we maintain direct relationships with the majority of our customers, we have also developed a global network of active direct dealers and distributors to sell, install and support our solutions. We collect feedback directly from our customers to generate insights that drive our business and products. We will continue to expand and optimize our dealer network to ensure that we have sufficient geographic coverage across both existing and new markets.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take a targeted marketing approach to each of our four focused markets. We develop and publish digital content designed to educate and equip our audience to use Ouster’s products, and selectively use other digital channels and advertising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From time to time, we sponsor universities and other non-profit organizations to increase awareness of our technology and showcase its capabilities.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have invested significant resources into research and development of our lidar-based technologies. We believe our ability to maintain a leadership position depends in part on our ongoing research and development activities.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research and development activities are primarily based in San Francisco, California, and Edinburgh, Scotland. Our research and development team is responsible for the design, development, manufacturing and testing of our products. We focus our efforts on the development of digital lidar technology, software functionality,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believe our success, competitive advantages, and growth prospects depend in part upon our ability to develop and protect our core technology and intellectual property. We have built a portfolio of intellectual property, including issued patents and registered trademarks, copyrights, confidential technical information, and expertise in the development of lidar technology and software.</w:t>
      </w:r>
    </w:p>
    <w:p>
      <w:pPr>
        <w:spacing w:after="0" w:line="184"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Our digital technology is backed by a comprehensive suite of patent protections. We own numerous issued patents and pending patent applications.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December 31, 2021, we held more than 50 U.S. patents, and 19 foreign patents in Australia, China, Japan, Russia, South Africa, South Korea, Singapore, and Taiwan. The earliest of our patents are expected to expire in 2036. Our patents contain a broad range of claims related to devices and methods for implementing digital lidar, among other things. Our patents cover our micro-optic technology that enables improved digital lidar performance; our digital lidar architecture combining VSCELs and SPADs; our data processing circuits for in-silicon digital signal processing; and our lidar-camera convergence, combining active and passive sensing technologies. We believe these technology breakthroughs are central to our competitive advantage and dramatically improve sensor performance while making our approach difficult to replicate.</w:t>
      </w:r>
    </w:p>
    <w:p>
      <w:pPr>
        <w:spacing w:after="0" w:line="164"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 We currently have an exclusive license to over 250 patents and patent applications worldwide.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reports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 written attestation by international third-party certification agencies, manufacturers are required to create Self Declarations of Compliance (“SDOC”) of their products to such regulations, and label their products accordingly.</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Similarly, we are also subject to sourcing regulations such as the requirements under the Dodd-Frank Wall Street Reform and Consumer Protection Act of 2010 and the EU Conflict Minerals Regulation 2017/821, that will require us to carefully monitor our supply chain. The implementation of these requirements could adversely affect the sourcing, availability and pricing of the materials that may be used in the manufacture of components used in our products.</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line, and we expect to design, engineer and test our new DF product line,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spacing w:after="0" w:line="17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Finally, our operations are subject to various federal, state and local laws and regulations governing the occupational health and safety of our employees and wage regulations. We are subject to the requirements of the federal Occupational Safety and Health Act, as amended, and comparable state laws that protect and regulate employee health and safety.</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Like all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laws, rules and regulations may include permits, licenses and inspections of our facilities and products.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As of December 31, 2021, we employed approximately 217 people on a full-time basis in the United States and 61 people on a full-time basis internationally, either directly through our international subsidiaries or through a professional employer organization. We employ approximately 113 engineers and technical talent, and we are continuing to look to significantly expand our technical employee count in order to meet our product development goals. We also engage numerous consultants and contractors to supplement our permanent workforce. None of our employees are represented by a labor union or covered by collective bargaining agreements. We believe we have strong and positive relations with our employees.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Diversity and Inclusion. </w:t>
      </w:r>
      <w:r>
        <w:rPr>
          <w:rFonts w:ascii="Arial" w:cs="Arial" w:eastAsia="Arial" w:hAnsi="Arial"/>
          <w:sz w:val="17"/>
          <w:szCs w:val="17"/>
          <w:color w:val="auto"/>
        </w:rPr>
        <w:t>To attract, motivate and retain a highly-skilled workforce throughout our organization, we are committed to having a safe</w:t>
      </w:r>
      <w:r>
        <w:rPr>
          <w:rFonts w:ascii="Arial" w:cs="Arial" w:eastAsia="Arial" w:hAnsi="Arial"/>
          <w:sz w:val="17"/>
          <w:szCs w:val="17"/>
          <w:i w:val="1"/>
          <w:iCs w:val="1"/>
          <w:color w:val="auto"/>
        </w:rPr>
        <w:t xml:space="preserve"> </w:t>
      </w:r>
      <w:r>
        <w:rPr>
          <w:rFonts w:ascii="Arial" w:cs="Arial" w:eastAsia="Arial" w:hAnsi="Arial"/>
          <w:sz w:val="17"/>
          <w:szCs w:val="17"/>
          <w:color w:val="auto"/>
        </w:rPr>
        <w:t>and inclusive environment that leverages the capabilities of our employees and encourages diversity of thought. In furtherance of these objectives, we provide Diversity, Inclusion, and Belonging training for our employees to promote a healthy and inclusive organizational culture.</w:t>
      </w:r>
    </w:p>
    <w:p>
      <w:pPr>
        <w:spacing w:after="0" w:line="16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Employee engagement. </w:t>
      </w:r>
      <w:r>
        <w:rPr>
          <w:rFonts w:ascii="Arial" w:cs="Arial" w:eastAsia="Arial" w:hAnsi="Arial"/>
          <w:sz w:val="18"/>
          <w:szCs w:val="18"/>
          <w:color w:val="auto"/>
        </w:rPr>
        <w:t>We prioritize employee engagement and value employee feedback, which we gauge notably through an annual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survey which allows us to monitor both engagement and satisfaction and provides an additional reference point for evaluating initiatives to enhance our employees’ experience.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We offer competitive compensation and benefit packages, which may include depending on location and eligibility,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bonuses, paid time-off, 401(k) and Company match up to 4% (subject to the IRS annual limit), stock awards, purchase plans, health and wellness programs and other benefits. Our long-term equity compensation is intended to align management interests with those of our stockholders and to encourage the creation of long-term value.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CLA, the Company’s legal predecessor, was originally a blank check company incorporated as a Cayman Islands exempted company on June 4,</w:t>
      </w:r>
    </w:p>
    <w:p>
      <w:pPr>
        <w:spacing w:after="0" w:line="46" w:lineRule="exact"/>
        <w:rPr>
          <w:sz w:val="20"/>
          <w:szCs w:val="20"/>
          <w:color w:val="auto"/>
        </w:rPr>
      </w:pPr>
    </w:p>
    <w:p>
      <w:pPr>
        <w:jc w:val="both"/>
        <w:ind w:left="120" w:right="440"/>
        <w:spacing w:after="0" w:line="302" w:lineRule="auto"/>
        <w:rPr>
          <w:sz w:val="20"/>
          <w:szCs w:val="20"/>
          <w:color w:val="auto"/>
        </w:rPr>
      </w:pPr>
      <w:r>
        <w:rPr>
          <w:rFonts w:ascii="Arial" w:cs="Arial" w:eastAsia="Arial" w:hAnsi="Arial"/>
          <w:sz w:val="16"/>
          <w:szCs w:val="16"/>
          <w:color w:val="auto"/>
        </w:rPr>
        <w:t>2020. CLA was formed for the purpose of effecting a merger, share exchange, asset acquisition, share purchase, reorganization or similar business combination with one or more businesses. In March, 2021, CLA reincorporated in Delaware and consummated a merger with OTI pursuant to an Agreement and Plan of Merger, dated as of December 21, 2020. OTI was incorporated in the state of Delaware on June 30, 2015.</w:t>
      </w:r>
    </w:p>
    <w:p>
      <w:pPr>
        <w:spacing w:after="0" w:line="15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Internet address is https://ouster.com. At our Investor Relations website, https://investors.ouster.com,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8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prospectus.</w:t>
      </w:r>
    </w:p>
    <w:p>
      <w:pPr>
        <w:spacing w:after="0" w:line="170"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i w:val="1"/>
          <w:iCs w:val="1"/>
          <w:color w:val="auto"/>
        </w:rPr>
        <w:t>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“Business Combination”), as further described below.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92"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over 600 paying customers including approximately 40 distributors in the year ended December 31, 2021.</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In October of 2021, Ouster acquired Sense Photonics,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Inc. (“Sense”) a developer of solid-state flash lidar based on VCSEL and SPAD technology. This acquisition enables the development of the DF sensor line which leverages technology and engineering expertise from both companies. As such, the product line has been renamed to reflect the underlying technology of our solid-state sensor lineup.</w:t>
      </w:r>
    </w:p>
    <w:p>
      <w:pPr>
        <w:spacing w:after="0" w:line="18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With virtually unlimited software-defined products driving low-cost customization, we are able to increase stock keeping units (“SKUs”) for industry-specific applications, expanding our product offering with minimal manufacturing or inventory changes.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6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won and are actively negotiating a number of additional, multi-year sales contracts which includes our Strategic Customer Agreements (“SCAs”) which establish a multi-year purchase and supply framework for Ouster and the customer, and include details about customer programs and applications where the customer intends to use Ouster products. SCAs also include multi-year binding and non-binding customer forecasts (typically of three to five years in length) that provide Ouster with more visibility into its customers’ potential business requirements as well as potential revenue streams derived from sources such as mutually agreed upon pricing over the duration of the agreement.</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approximately 278 employees serving over 600 paying customers globally in the year ended December 31, 2021.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December 21, 2020, OTI entered into the Merger Agreement with CLA, and Merger Sub.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w:t>
      </w:r>
    </w:p>
    <w:p>
      <w:pPr>
        <w:ind w:left="120" w:right="200" w:hanging="4"/>
        <w:spacing w:after="0" w:line="255"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then issued and outstanding 6,000,000 private placement warrants of CLA (the “Private Placement warrants”) converted automatically into a warrant to purchase one share of Ouster common stock pursuant to the Warrant Agreement. No fractional Public warrants were issued upon separation of the CLA units.</w:t>
      </w:r>
    </w:p>
    <w:p>
      <w:pPr>
        <w:spacing w:after="0" w:line="19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5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the closing of the Merger, the Company received gross proceeds of $299.9 million from the Merger and private offering, offset by $8.5 million of pre-merger costs relating to CLA and offering costs of $26.6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Sense Acquisition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October 22, 2021, we completed the acquisition of Sense, a lidar technology company for autonomous vehicles, and formally established Ouster Automotive, a new functional division of the Company focusing on driving mass-market adoption of digital lidar in consumer and commercial vehicles. The transaction has been accounted for as a business combination. We purchased all of the outstanding shares of the capital stock of Sense and settled all Sense debt for a total consideration of $72.8 million comprised of 9,163,982 shares of the our common stock having a fair value of $60.0 million, fully vested replacement equity awards having a fair value of $1.1 million and a cash payment of $11.7 million to settle Sense pre-existing debt and transaction costs incurred by Sense in connection with the acquisition. We issued and held back 1,573,427 shares of common stock with the aggregate fair value of $10.3 million to satisfy any necessary adjustments, including without limitation certain indemnification claims and net working capital shortfall (“Holdback Shares”). The Holdback Shares will be released, net of any shares necessary to satisfy all unsatisfied or disputed claims for indemnification and net working capital shortfall, and distributed to the Sense stockholders in 18 months from the acquisition date. The Holdback Shares are considered issued and outstanding from a legal perspective and have the same economic and voting rights as other issued and outstanding shares of our common stock. We expect this acquisition will continue to help us expand our presence in the automotive vertical by executing on our hiring goals and product roadmap on a faster timeline.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Impact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Throughout 2020 and 2021, the worldwide spread of the pandemic caused by the novel coronavirus (“COVID-19”), including several of its variants, and the measures intended to contain the spread of COVID-19, have resulted in a global slowdown of economic activity and caused disruptions to our business. In particular, our headquarters are based in the San Francisco Bay Area, which has been subject to ongoing government measures and orders such as quarantines and social distancing. During the second and third quarters of 2020 we slowed our operating and capital spending with the expectation that our revenue and ability to raise capital would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impacted by the global pandemic. We believe that our overall growth rate during 2020 and 2021 was negatively impacted by the pandemic due in part to pandemic related supply chain issues, though, despite this impact, we were able to continue to grow our sales during 2021 and estimate that in the long-term the pandemic will act as a catalyst for wider adoption of automation and lidar technology.</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San Francisco Bay Area based company, we were affected by the “shelter in place” order in the first and second quarter of 2020. While the majority of our employees were able to work remotely, some employees, especially manufacturing employees, were not able to work from home. The “shelter in place” order delayed order fulfillment and revenue recognition during the first and second quarters of 2020. We continued to pay employees during the “shelter in place” order whether or not they were able to work. Manufacturing and order fulfillment employees were able to return to work in the second quarter of 2020; however, the number of employees allowed on premises at one time was greatly reduced as a result of the California reduced capacity mandates, which also affected our ability to fulfill orders and recognize revenue. Some essential employees were paid hazard pay, and the hazard pay combined with underutilized employee pay increased our employee overhead and decreased gross margins in the first and second quarter of 2020. Manufacturing employees continued to work in a reduced capacity at our San Francisco facility until the second quarter of 2021. We have moved a large portion of our manufacturing to our contract manufacturer in Thailand, which allowed us to satisfy demand for our digital lidar sensors in the first two quarters of 2021 and consequently allowing us to increase our year over year revenue. This trend continued throughout the rest of 2021 as we continued to ramp manufacturing at our contract manufacturer.</w:t>
      </w:r>
    </w:p>
    <w:p>
      <w:pPr>
        <w:spacing w:after="0" w:line="18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suppliers are located worldwide, and some of our key suppliers have been affected by the pandemic resulting in supply chain disruptions. We have experienced and continue to experience some unfavorable purchase price variance and situational expedite fees in order to meet production and delivery timelines. While we may see additional or new pressures on our supply chain both related and unrelated to the pandemic, we are actively taking steps to mitigate the impact of the materials shortages on our business.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While we experienced quarter-over-quarter increases in revenue in 2020 and 2021,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the development of new variants of the disease and the actions taken to contain, prevent or treat COVID-19, rate and success of vaccination efforts, vaccine hesitancy, any resurgence of the pandemic in areas where we, Benchmark or our suppliers operate, and the economic impact on local, regional, national and international customers and markets.</w:t>
      </w:r>
    </w:p>
    <w:p>
      <w:pPr>
        <w:spacing w:after="0" w:line="17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Going forward, the situation remains uncertain, rapidly changing and hard to predict, and the COVID-19 pandemic may have a material negative impact on our future results.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Supply Chain Continuity</w:t>
      </w:r>
      <w:r>
        <w:rPr>
          <w:rFonts w:ascii="Arial" w:cs="Arial" w:eastAsia="Arial" w:hAnsi="Arial"/>
          <w:sz w:val="17"/>
          <w:szCs w:val="17"/>
          <w:color w:val="auto"/>
        </w:rPr>
        <w:t>. A recent surge in demand for electronics containing semiconductor chips and stockpiling of chips by certain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has created disruptions in the supply chain, resulting in a global chip shortage impacting our industry. Some chip manufacturers are estimating this supply shortage may continue into 2022.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2021 and may continue to do so. We anticipate fluctuation in our cost of goods sold over the next 12-18 months as a result of ongoing supply chain constraints. These constraints have caused and may in the future cause us to implement certain temporary price surcharges.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Over time, we expect our overall average selling prices to decline as our volume increases.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18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i w:val="1"/>
          <w:iCs w:val="1"/>
          <w:color w:val="auto"/>
        </w:rPr>
        <w:t>Commercialization of Lidar Applications</w:t>
      </w:r>
      <w:r>
        <w:rPr>
          <w:rFonts w:ascii="Arial" w:cs="Arial" w:eastAsia="Arial" w:hAnsi="Arial"/>
          <w:sz w:val="16"/>
          <w:szCs w:val="16"/>
          <w:color w:val="auto"/>
        </w:rPr>
        <w:t>. 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Number of Customers in Production</w:t>
      </w:r>
      <w:r>
        <w:rPr>
          <w:rFonts w:ascii="Arial" w:cs="Arial" w:eastAsia="Arial" w:hAnsi="Arial"/>
          <w:sz w:val="16"/>
          <w:szCs w:val="16"/>
          <w:color w:val="auto"/>
        </w:rPr>
        <w:t>. For certain strategic customers and markets, our products must be integrated into a broader platform,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then 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Customers’ Sales Volumes</w:t>
      </w:r>
      <w:r>
        <w:rPr>
          <w:rFonts w:ascii="Arial" w:cs="Arial" w:eastAsia="Arial" w:hAnsi="Arial"/>
          <w:sz w:val="16"/>
          <w:szCs w:val="16"/>
          <w:color w:val="auto"/>
        </w:rPr>
        <w:t>. Our customer base is diversified and we will continue to penetrate into diverse end markets to increase our sales</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Average Selling Prices (“ASPs”), Product Costs and Margins</w:t>
      </w:r>
      <w:r>
        <w:rPr>
          <w:rFonts w:ascii="Arial" w:cs="Arial" w:eastAsia="Arial" w:hAnsi="Arial"/>
          <w:sz w:val="17"/>
          <w:szCs w:val="17"/>
          <w:color w:val="auto"/>
        </w:rPr>
        <w:t>. Our product costs and gross margins depend largely on the volumes of sensors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supply chain constraints discussed above. We expect these customer-specific selling price fluctuations combined with our volume-driven product costs may drive fluctuations in revenue and gross margins on a quarterly basis. However, notwithstanding any short-term price surcharge on our products, we expect that over time our volume-driven product costs will lead to gross margin improvement as our sales volume increases.</w:t>
      </w:r>
    </w:p>
    <w:p>
      <w:pPr>
        <w:spacing w:after="0" w:line="1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Lidar is an emerging market, and there are competitors for the growing market. This has created downward pressure on our ASPs,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Continued Investment and Innovation</w:t>
      </w:r>
      <w:r>
        <w:rPr>
          <w:rFonts w:ascii="Arial" w:cs="Arial" w:eastAsia="Arial" w:hAnsi="Arial"/>
          <w:sz w:val="18"/>
          <w:szCs w:val="18"/>
          <w:color w:val="auto"/>
        </w:rPr>
        <w:t>. We believe that we are a leading digital lidar provider. Our financial performance is significantly 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ability to maintain this leading position which is further dependent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Market Trends and Uncertainties</w:t>
      </w:r>
      <w:r>
        <w:rPr>
          <w:rFonts w:ascii="Arial" w:cs="Arial" w:eastAsia="Arial" w:hAnsi="Arial"/>
          <w:sz w:val="17"/>
          <w:szCs w:val="17"/>
          <w:color w:val="auto"/>
        </w:rPr>
        <w:t>. We anticipate robust demand for our digital lidar solution. We estimate a multibillion 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International Expansion</w:t>
      </w:r>
      <w:r>
        <w:rPr>
          <w:rFonts w:ascii="Arial" w:cs="Arial" w:eastAsia="Arial" w:hAnsi="Arial"/>
          <w:sz w:val="17"/>
          <w:szCs w:val="17"/>
          <w:color w:val="auto"/>
        </w:rPr>
        <w:t>. We view international expansion as an important element of our strategy to increase revenue and achieve profitability.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86"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move into their respective production phases, we expect the majority of our product revenue to shift to larger volume orders based on predictable production schedules. We also expect more of our revenue to come from international customers, and anticipate that our sales from regions outside of North and South America will continue to grow over the long-term.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unit costs to improve as we manufacture higher unit volumes of sensors and a greater portion of our sensors are produced by our contract manufacturer in Thailand.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Research and development (“R&amp;D”) activities are primarily conducted at our San Francisco based headquarters and our additional R&amp;D facility in Edinburgh, Scotland and consist of the following activities:</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expenses will grow over time; however, we expect R&amp;D as a percentage of revenue to decrease annually as our business grows.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8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We have experienced additional sales and marketing expenses as a result of our global expansion, but expect sales and marketing spend as a percentage of revenue to decrease over time as our business grows.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annually as our business grows. We have experienced and may in the near term experience additional increases in general and administrative expenses related to hiring more personnel and consultants to support our growing international expansion and compliance with the applicable provisions of the Sarbanes-Oxley Act (“SOX”) and other U.S. Securities and Exchange Commission (“SEC”) rules and regulations as a result of being a public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discounts. Other income (expense), net consists primarily of realized and unrealized gains and losses on foreign currency transactions and balances, the change in fair value of financial instruments, including warrants issued in connection with a debt agreement, and warrants initially issued by CLA in a private placement.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net deferred tax assets.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86"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key components of our results of operations for the years ended December 31, 2021, 2020 and 2019:</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0"/>
              <w:spacing w:after="0" w:line="142" w:lineRule="exact"/>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Product revenue</w:t>
            </w:r>
          </w:p>
        </w:tc>
        <w:tc>
          <w:tcPr>
            <w:tcW w:w="3500" w:type="dxa"/>
            <w:vAlign w:val="bottom"/>
            <w:gridSpan w:val="3"/>
          </w:tcPr>
          <w:p>
            <w:pPr>
              <w:jc w:val="right"/>
              <w:ind w:right="100"/>
              <w:spacing w:after="0"/>
              <w:rPr>
                <w:sz w:val="20"/>
                <w:szCs w:val="20"/>
                <w:color w:val="auto"/>
              </w:rPr>
            </w:pPr>
            <w:r>
              <w:rPr>
                <w:rFonts w:ascii="Arial" w:cs="Arial" w:eastAsia="Arial" w:hAnsi="Arial"/>
                <w:sz w:val="20"/>
                <w:szCs w:val="20"/>
                <w:color w:val="auto"/>
              </w:rPr>
              <w:t>$ 33,578</w:t>
            </w: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20"/>
                <w:szCs w:val="20"/>
                <w:color w:val="auto"/>
              </w:rPr>
              <w:t>16,886</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20"/>
                <w:szCs w:val="20"/>
                <w:color w:val="auto"/>
              </w:rPr>
              <w:t>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6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(1)</w:t>
            </w:r>
          </w:p>
        </w:tc>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Cost of product</w:t>
            </w:r>
          </w:p>
        </w:tc>
        <w:tc>
          <w:tcPr>
            <w:tcW w:w="3500" w:type="dxa"/>
            <w:vAlign w:val="bottom"/>
            <w:gridSpan w:val="3"/>
          </w:tcPr>
          <w:p>
            <w:pPr>
              <w:jc w:val="right"/>
              <w:ind w:right="100"/>
              <w:spacing w:after="0"/>
              <w:rPr>
                <w:sz w:val="20"/>
                <w:szCs w:val="20"/>
                <w:color w:val="auto"/>
              </w:rPr>
            </w:pPr>
            <w:r>
              <w:rPr>
                <w:rFonts w:ascii="Arial" w:cs="Arial" w:eastAsia="Arial" w:hAnsi="Arial"/>
                <w:sz w:val="18"/>
                <w:szCs w:val="18"/>
                <w:color w:val="auto"/>
              </w:rPr>
              <w:t>24,492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6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 (1):</w:t>
            </w:r>
          </w:p>
        </w:tc>
        <w:tc>
          <w:tcPr>
            <w:tcW w:w="2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500" w:type="dxa"/>
            <w:vAlign w:val="bottom"/>
            <w:gridSpan w:val="3"/>
          </w:tcPr>
          <w:p>
            <w:pPr>
              <w:jc w:val="right"/>
              <w:ind w:right="100"/>
              <w:spacing w:after="0"/>
              <w:rPr>
                <w:sz w:val="20"/>
                <w:szCs w:val="20"/>
                <w:color w:val="auto"/>
              </w:rPr>
            </w:pPr>
            <w:r>
              <w:rPr>
                <w:rFonts w:ascii="Arial" w:cs="Arial" w:eastAsia="Arial" w:hAnsi="Arial"/>
                <w:sz w:val="18"/>
                <w:szCs w:val="18"/>
                <w:color w:val="auto"/>
              </w:rPr>
              <w:t>22,258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500" w:type="dxa"/>
            <w:vAlign w:val="bottom"/>
            <w:gridSpan w:val="3"/>
          </w:tcPr>
          <w:p>
            <w:pPr>
              <w:jc w:val="right"/>
              <w:ind w:right="40"/>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(52,150)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6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(96,775)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(106,405)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6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0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 xml:space="preserve"> (93,981)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u w:val="single" w:color="auto"/>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w w:val="88"/>
              </w:rPr>
              <w:t>(106,780)</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u w:val="single" w:color="auto"/>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91"/>
              </w:rPr>
              <w:t>(51,661)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80" w:type="dxa"/>
            <w:vAlign w:val="bottom"/>
            <w:vMerge w:val="restart"/>
          </w:tcPr>
          <w:p>
            <w:pPr>
              <w:jc w:val="right"/>
              <w:ind w:right="1429"/>
              <w:spacing w:after="0"/>
              <w:rPr>
                <w:sz w:val="20"/>
                <w:szCs w:val="20"/>
                <w:color w:val="auto"/>
              </w:rPr>
            </w:pPr>
            <w:r>
              <w:rPr>
                <w:rFonts w:ascii="Arial" w:cs="Arial" w:eastAsia="Arial" w:hAnsi="Arial"/>
                <w:sz w:val="18"/>
                <w:szCs w:val="18"/>
                <w:color w:val="auto"/>
              </w:rPr>
              <w:t>61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and comprehensive loss data as a percentage of revenue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7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left="493"/>
              <w:spacing w:after="0" w:line="142" w:lineRule="exact"/>
              <w:rPr>
                <w:sz w:val="20"/>
                <w:szCs w:val="20"/>
                <w:color w:val="auto"/>
              </w:rPr>
            </w:pPr>
            <w:r>
              <w:rPr>
                <w:rFonts w:ascii="Arial" w:cs="Arial" w:eastAsia="Arial" w:hAnsi="Arial"/>
                <w:sz w:val="14"/>
                <w:szCs w:val="14"/>
                <w:b w:val="1"/>
                <w:bCs w:val="1"/>
                <w:color w:val="auto"/>
                <w:w w:val="89"/>
              </w:rPr>
              <w:t>2020</w:t>
            </w:r>
          </w:p>
        </w:tc>
        <w:tc>
          <w:tcPr>
            <w:tcW w:w="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r>
      <w:tr>
        <w:trPr>
          <w:trHeight w:val="155"/>
        </w:trPr>
        <w:tc>
          <w:tcPr>
            <w:tcW w:w="6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 of total revenue)</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jc w:val="right"/>
              <w:ind w:right="76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100</w:t>
            </w:r>
          </w:p>
        </w:tc>
        <w:tc>
          <w:tcPr>
            <w:tcW w:w="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(1)</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Cost of product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2220" w:type="dxa"/>
            <w:vAlign w:val="bottom"/>
            <w:gridSpan w:val="3"/>
          </w:tcPr>
          <w:p>
            <w:pPr>
              <w:jc w:val="right"/>
              <w:ind w:right="920"/>
              <w:spacing w:after="0"/>
              <w:rPr>
                <w:sz w:val="20"/>
                <w:szCs w:val="20"/>
                <w:color w:val="auto"/>
              </w:rPr>
            </w:pPr>
            <w:r>
              <w:rPr>
                <w:rFonts w:ascii="Arial" w:cs="Arial" w:eastAsia="Arial" w:hAnsi="Arial"/>
                <w:sz w:val="18"/>
                <w:szCs w:val="18"/>
                <w:color w:val="auto"/>
              </w:rPr>
              <w:t>92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 cost of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2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expenses (1):</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22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123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2220" w:type="dxa"/>
            <w:vAlign w:val="bottom"/>
            <w:gridSpan w:val="3"/>
          </w:tcPr>
          <w:p>
            <w:pPr>
              <w:jc w:val="right"/>
              <w:ind w:right="920"/>
              <w:spacing w:after="0"/>
              <w:rPr>
                <w:sz w:val="20"/>
                <w:szCs w:val="20"/>
                <w:color w:val="auto"/>
              </w:rPr>
            </w:pPr>
            <w:r>
              <w:rPr>
                <w:rFonts w:ascii="Arial" w:cs="Arial" w:eastAsia="Arial" w:hAnsi="Arial"/>
                <w:sz w:val="18"/>
                <w:szCs w:val="18"/>
                <w:color w:val="auto"/>
              </w:rPr>
              <w:t>48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22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111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282</w:t>
            </w:r>
          </w:p>
        </w:tc>
        <w:tc>
          <w:tcPr>
            <w:tcW w:w="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22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(expense) income: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20" w:type="dxa"/>
            <w:vAlign w:val="bottom"/>
            <w:gridSpan w:val="3"/>
          </w:tcPr>
          <w:p>
            <w:pPr>
              <w:jc w:val="right"/>
              <w:ind w:right="86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2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(276)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r>
      <w:tr>
        <w:trPr>
          <w:trHeight w:val="216"/>
        </w:trPr>
        <w:tc>
          <w:tcPr>
            <w:tcW w:w="6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2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(563)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220" w:type="dxa"/>
            <w:vAlign w:val="bottom"/>
            <w:gridSpan w:val="3"/>
          </w:tcPr>
          <w:p>
            <w:pPr>
              <w:jc w:val="right"/>
              <w:ind w:right="9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22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r>
      <w:tr>
        <w:trPr>
          <w:trHeight w:val="20"/>
        </w:trPr>
        <w:tc>
          <w:tcPr>
            <w:tcW w:w="6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13,663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25,363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12,057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20" w:type="dxa"/>
            <w:vAlign w:val="bottom"/>
            <w:vMerge w:val="restart"/>
          </w:tcPr>
          <w:p>
            <w:pPr>
              <w:jc w:val="right"/>
              <w:ind w:right="2170"/>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2021, 2020 and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600" w:type="dxa"/>
            <w:vAlign w:val="bottom"/>
            <w:gridSpan w:val="9"/>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2021 - 2020</w:t>
            </w:r>
          </w:p>
        </w:tc>
        <w:tc>
          <w:tcPr>
            <w:tcW w:w="400" w:type="dxa"/>
            <w:vAlign w:val="bottom"/>
          </w:tcPr>
          <w:p>
            <w:pPr>
              <w:spacing w:after="0"/>
              <w:rPr>
                <w:sz w:val="14"/>
                <w:szCs w:val="14"/>
                <w:color w:val="auto"/>
              </w:rPr>
            </w:pPr>
          </w:p>
        </w:tc>
        <w:tc>
          <w:tcPr>
            <w:tcW w:w="10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600" w:type="dxa"/>
            <w:vAlign w:val="bottom"/>
            <w:gridSpan w:val="9"/>
            <w:vMerge w:val="continue"/>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$33,578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16,886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9,804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$16,692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$7,082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33,578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18,904</w:t>
            </w: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11,413</w:t>
            </w:r>
          </w:p>
        </w:tc>
        <w:tc>
          <w:tcPr>
            <w:tcW w:w="28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14,674</w:t>
            </w:r>
          </w:p>
        </w:tc>
        <w:tc>
          <w:tcPr>
            <w:tcW w:w="320" w:type="dxa"/>
            <w:vAlign w:val="bottom"/>
            <w:vMerge w:val="continue"/>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7,491</w:t>
            </w:r>
          </w:p>
        </w:tc>
        <w:tc>
          <w:tcPr>
            <w:tcW w:w="2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location: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$14,790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8,328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7,035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$ 6,462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$1,293</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Americas, excluding United States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54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Europe, Middle East and Africa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5,870</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2,368</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4,718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3,502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 and Pacific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2,621</w:t>
            </w:r>
          </w:p>
        </w:tc>
        <w:tc>
          <w:tcPr>
            <w:tcW w:w="54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33,578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18,904</w:t>
            </w: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11,413</w:t>
            </w:r>
          </w:p>
        </w:tc>
        <w:tc>
          <w:tcPr>
            <w:tcW w:w="28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14,674</w:t>
            </w:r>
          </w:p>
        </w:tc>
        <w:tc>
          <w:tcPr>
            <w:tcW w:w="320" w:type="dxa"/>
            <w:vAlign w:val="bottom"/>
            <w:vMerge w:val="continue"/>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7,491</w:t>
            </w:r>
          </w:p>
        </w:tc>
        <w:tc>
          <w:tcPr>
            <w:tcW w:w="2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Product Revenue</w:t>
      </w:r>
    </w:p>
    <w:p>
      <w:pPr>
        <w:spacing w:after="0" w:line="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Product revenue increased by $16.7 million, or 99%, to $33.6 million for the year ended December 31, 2021 from $16.9 million for the prior year. The increase in product revenue was driven by an increase in volume of 202%, which we attribute primarily to the expansion of our sales team and the increase of high volume, long-term deals as some of our customers begin to move into the production stage with their autonomous products. Our average selling price declined by 34% as expected as we sell higher volumes and are able to reduce our cost of goods sold per unit.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Service revenue decreased by $2.0 million, or 100%, from the prior year. This decrease in revenue was due to no non-recurring engineering work in the year ended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Locations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Revenue in the United States; Americas excluding the United States; Europe, the Middle East and Africa; and Asia and Pacific increased approximately by $6.5 million, $0.4 million, $4.7 million, and $3.1 million, respectively, in the year ended December 31, 2021 compared to the prior year. The year-over-year global increases for all regions are a result of our investments in personnel and global expansion. We have grown our commercial team across the Americas, Asia Pacific, Europe and the Middle East markets and brought on experienced leaders to develop a focused sales organization geared towards ramping our sales pipeline.</w:t>
      </w:r>
    </w:p>
    <w:p>
      <w:pPr>
        <w:spacing w:after="0" w:line="296"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Product Revenue</w:t>
      </w:r>
    </w:p>
    <w:p>
      <w:pPr>
        <w:spacing w:after="0" w:line="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Product revenue increased by $7.1 million, or 72%, to $16.9 million for the year ended December 31, 2020 from $9.8 million for the year ended December 31, 2019. The increase in product revenue was driven by an increase in volume of 53%, which we attribute primarily to the release of new products and expansion of our sales team into new geographic regions, and an increase in average selling price of 12% which we attribute primarily to more favorable average selling prices for new products.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86"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w:t>
      </w:r>
    </w:p>
    <w:p>
      <w:pPr>
        <w:spacing w:after="0" w:line="117"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Service revenue increased by $0.4 million, or 25%, to $2.0 million for the year ended December 31, 2020 from $1.6 million for the year ended December 31, 2019. This revenue represents non-recurring engineering work in relation to our new product release in early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Locations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Revenue increased across the geographic regions of the United States, Americas excluding United States, Europe, Middle East and Africa, and Asia and Pacific by $1.3 million, $0.1 million, $3.5 million, and $2.6 million, respectively, for the year ended December 31, 2020. The increases in Asia and Pacific and Europe, Middle East and Africa geographic regions were a result of recent expansion in those regions. We opened sales offices in these regions in late 2019 and have since focused our sales resources on expanding globally.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2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gridSpan w:val="4"/>
          </w:tcPr>
          <w:p>
            <w:pPr>
              <w:ind w:left="380"/>
              <w:spacing w:after="0"/>
              <w:rPr>
                <w:sz w:val="20"/>
                <w:szCs w:val="20"/>
                <w:color w:val="auto"/>
              </w:rPr>
            </w:pPr>
            <w:r>
              <w:rPr>
                <w:rFonts w:ascii="Arial" w:cs="Arial" w:eastAsia="Arial" w:hAnsi="Arial"/>
                <w:sz w:val="14"/>
                <w:szCs w:val="14"/>
                <w:b w:val="1"/>
                <w:bCs w:val="1"/>
                <w:color w:val="auto"/>
              </w:rPr>
              <w:t>2021 - 2020</w:t>
            </w:r>
          </w:p>
        </w:tc>
        <w:tc>
          <w:tcPr>
            <w:tcW w:w="400" w:type="dxa"/>
            <w:vAlign w:val="bottom"/>
          </w:tcPr>
          <w:p>
            <w:pPr>
              <w:spacing w:after="0"/>
              <w:rPr>
                <w:sz w:val="14"/>
                <w:szCs w:val="14"/>
                <w:color w:val="auto"/>
              </w:rPr>
            </w:pPr>
          </w:p>
        </w:tc>
        <w:tc>
          <w:tcPr>
            <w:tcW w:w="10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380"/>
              <w:spacing w:after="0"/>
              <w:rPr>
                <w:sz w:val="20"/>
                <w:szCs w:val="20"/>
                <w:color w:val="auto"/>
              </w:rPr>
            </w:pPr>
            <w:r>
              <w:rPr>
                <w:rFonts w:ascii="Arial" w:cs="Arial" w:eastAsia="Arial" w:hAnsi="Arial"/>
                <w:sz w:val="14"/>
                <w:szCs w:val="14"/>
                <w:b w:val="1"/>
                <w:bCs w:val="1"/>
                <w:color w:val="auto"/>
                <w:w w:val="77"/>
              </w:rPr>
              <w:t>Change</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Cost of product</w:t>
            </w:r>
          </w:p>
        </w:tc>
        <w:tc>
          <w:tcPr>
            <w:tcW w:w="6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$24,492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$17,365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$17,120</w:t>
            </w:r>
          </w:p>
        </w:tc>
        <w:tc>
          <w:tcPr>
            <w:tcW w:w="940" w:type="dxa"/>
            <w:vAlign w:val="bottom"/>
            <w:gridSpan w:val="3"/>
          </w:tcPr>
          <w:p>
            <w:pPr>
              <w:ind w:left="120"/>
              <w:spacing w:after="0"/>
              <w:rPr>
                <w:sz w:val="20"/>
                <w:szCs w:val="20"/>
                <w:color w:val="auto"/>
              </w:rPr>
            </w:pPr>
            <w:r>
              <w:rPr>
                <w:rFonts w:ascii="Arial" w:cs="Arial" w:eastAsia="Arial" w:hAnsi="Arial"/>
                <w:sz w:val="18"/>
                <w:szCs w:val="18"/>
                <w:color w:val="auto"/>
              </w:rPr>
              <w:t>$7,127</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740" w:type="dxa"/>
            <w:vAlign w:val="bottom"/>
            <w:gridSpan w:val="2"/>
          </w:tcPr>
          <w:p>
            <w:pPr>
              <w:jc w:val="center"/>
              <w:ind w:right="241"/>
              <w:spacing w:after="0"/>
              <w:rPr>
                <w:sz w:val="20"/>
                <w:szCs w:val="20"/>
                <w:color w:val="auto"/>
              </w:rPr>
            </w:pPr>
            <w:r>
              <w:rPr>
                <w:rFonts w:ascii="Arial" w:cs="Arial" w:eastAsia="Arial" w:hAnsi="Arial"/>
                <w:sz w:val="18"/>
                <w:szCs w:val="18"/>
                <w:color w:val="auto"/>
                <w:w w:val="93"/>
              </w:rPr>
              <w:t>$ 245</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(26)</w:t>
            </w:r>
          </w:p>
        </w:tc>
        <w:tc>
          <w:tcPr>
            <w:tcW w:w="80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(282)</w:t>
            </w:r>
          </w:p>
        </w:tc>
        <w:tc>
          <w:tcPr>
            <w:tcW w:w="5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24,492</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17,391</w:t>
            </w:r>
          </w:p>
        </w:tc>
        <w:tc>
          <w:tcPr>
            <w:tcW w:w="2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17,428</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7,101</w:t>
            </w:r>
          </w:p>
        </w:tc>
        <w:tc>
          <w:tcPr>
            <w:tcW w:w="320" w:type="dxa"/>
            <w:vAlign w:val="bottom"/>
            <w:vMerge w:val="continue"/>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420" w:type="dxa"/>
            <w:vAlign w:val="bottom"/>
          </w:tcPr>
          <w:p>
            <w:pPr>
              <w:jc w:val="center"/>
              <w:spacing w:after="0"/>
              <w:rPr>
                <w:sz w:val="20"/>
                <w:szCs w:val="20"/>
                <w:color w:val="auto"/>
              </w:rPr>
            </w:pPr>
            <w:r>
              <w:rPr>
                <w:rFonts w:ascii="Arial" w:cs="Arial" w:eastAsia="Arial" w:hAnsi="Arial"/>
                <w:sz w:val="18"/>
                <w:szCs w:val="18"/>
                <w:color w:val="auto"/>
              </w:rPr>
              <w:t>$ (37</w:t>
            </w:r>
          </w:p>
        </w:tc>
        <w:tc>
          <w:tcPr>
            <w:tcW w:w="320" w:type="dxa"/>
            <w:vAlign w:val="bottom"/>
            <w:vMerge w:val="continue"/>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Product Cost of Revenue and Gross Margin</w:t>
      </w:r>
    </w:p>
    <w:p>
      <w:pPr>
        <w:spacing w:after="0" w:line="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Product cost of revenue increased by $7.1 million, or 41%, to $24.5 million for the year ended December 31, 2021 from $17.4 million for the prior year and cost per unit decreased by 53% in the year ended December 31, 2021 compared to the prior year. The increase in cost of product revenue was due to volume related increases of $8.0 million, $1.6 million, $13.1 million, and $12.4 million in material costs, freight, overhead, and other other product costs, respectively. These increases in volume were partially offset by per unit decreases of $2.3 million, $1.2 million, $13.3 million, and $11.2 million in material costs, freight, overhead, and other other product costs, respectively.</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Product gross margin increased from 8% for the year ended December 31, 2020 to 27% for the year ended December 31, 2021. The improvement in product gross margin is primarily due to the 53% decrease in cost per unit partially offset by the 34% decrease in average selling prices referenced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Services Cost of Revenue and Gross Margin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Services cost of revenue decreased by $26.0 thousand. This decrease in cost of revenue was due to there being no non-recurring engineering work in the year ended December 31, 2021.</w:t>
      </w:r>
    </w:p>
    <w:p>
      <w:pPr>
        <w:spacing w:after="0" w:line="278"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Product Cost of Revenue and Gross Margin</w:t>
      </w:r>
    </w:p>
    <w:p>
      <w:pPr>
        <w:spacing w:after="0" w:line="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Product cost of revenue increased by $0.2 million, or 1%, to $17.4 million for the year ended December 31, 2020 from $17.1 million for the year ended December 31, 2019 and cost per unit decreased by 35% in the year ended December 31, 2020. The increase in product cost of revenue was primarily due to increases of $3.9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86"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in manufacturing overhead costs, $1.0 million in material costs and $0.2 million in freight. The increases were partially offset by a decrease of $4.8 million in other product costs due to lower allowances for excess and obsolete inventory and component yield increases.</w:t>
      </w:r>
    </w:p>
    <w:p>
      <w:pPr>
        <w:spacing w:after="0" w:line="38"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Product gross margin increased from (53)% for the year ended December 31, 2019 to 8% for the year ended December 31, 2020. The improvement in product gross margin is primarily due to the decrease in cost per unit and the 12% increase in average selling prices for new products.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Services Cost of Revenue and Gross Margin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Services cost of revenue decreased by $0.3 million, or 92%, to $26.0 thousand for the year ended December 31, 2020 from $0.3 million for the year ended December 31, 2019. Services gross margin increased to 99% for the year from 81% for the year ended December 31, 2019. This decrease in cost of revenue and subsequent increase in gross margin was primarily due to the majority of non-recurring engineering work for a large contract taking place in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2021 - 2020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34,579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$23,317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$23,297</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$11,262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22,258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4,505</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13,260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51,959</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20,960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14,546</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30,999</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6,414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108,796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53,275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42,348</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55,521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104%</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10,927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$11.3 million, or 48%, to $34.6 million for the year ended December 31, 2021 from</w:t>
      </w:r>
    </w:p>
    <w:p>
      <w:pPr>
        <w:spacing w:after="0" w:line="3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$23.3 million for the comparable period in the prior year. The increase was primarily attributable to an increase of $8.1 million in payroll and personnel-related expense driven by an 89 person increase in employees and contractors of which the majority were added in the fourth quarter during the Sense acquisition, including a $1.2 million increase in stock-based compensation expense, an increase of $0.9 million in product development and equipment costs, an increase of $0.9 million in depreciation expense, an increase of $0.8 million in recruiting and other professional fees and an increase of $0.6 in facility, office and other expenses.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Sales and marketing expenses increased by $13.3 million, or 147%, to $22.3 million for the year ended December 31, 2021 from $9.0 million for the comparable period in the prior year. The increase was primarily attributable to an increase of $10.3 million in payroll and personnel-related costs driven by the addition of 46 sales personnel in all our global regions, of which $3.2 million was stock-based compensation related, an increase of $0.7 million in consulting and professional fees, an increase of $1.1 million for marketing expenses including additional branding and public relations expenses related to the Merger, an increase of $0.3 million in travel expenses, and $0.9 million in facility, office and related expenses related to opening and expanding sales offices around the world.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86"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increased by $31.0 million, or 148%, to $52.0 million for the year ended December 31, 2021 from</w:t>
      </w:r>
    </w:p>
    <w:p>
      <w:pPr>
        <w:spacing w:after="0" w:line="35"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$21.0 million for the comparable period in the prior year. The increase was primarily due to an increase of $9.0 million of stock-based compensation, a $3.1 million increase in payroll-related expense due to a year over year increase of 18 employees and contractors, an increase of $8.4 million in legal, accounting and professional services fees mostly related to our initial public offering, an increase of $0.7 million in recruiting expense, an increase of $6.0 million in directors and officers insurance premiums, an increase of $2.0 million in facilities and office expense including equipment for new employees, investments in software infrastructure, and increases in business and local taxes, $0.5 million in investor and public relations, and an increase of $1.3 million in depreciation.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Research and development expenses for the year ended December 31, 2020 remained consistent with the year ended December 31, 2019. The balance includes a $7.6 million increase in personnel-related costs, including a $5.4 million increase in stock-based compensation due to an increase in common stock value and a $2.2 million increase primarily related to our headcount growth.</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These increases were partially offset by a $3.9 million reduction in development costs and $2.4 million reduction in consulting and contractor expense related to the design of new products in 2019, which was launched in the first quarter of 2020, a $0.7 million reduction in prototype and other research costs, a $0.4 million reduction in office expenses, and a $0.1 million reduction in depreciation expense.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Sales and marketing expenses increased by $4.5 million, or 100%, to $9.0 million for the year ended December 31, 2020 from $4.5 million for the year ended December 31, 2019. The increase was primarily attributable to an increase of $3.6 million in payroll and personnel-related expenses driven by the addition of sales personnel, of which $0.5 million was stock-based compensation related, as well as smaller increases of $0.2 million for facility and office related expenses related to opening offices in Asia and Pacific and Europe, Middle East and Africa geographic regions and $0.3 million related to providing demonstration units for potential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increased by $6.4 million, or 44%, to $21.0 million for the year ended December 31, 2020 from</w:t>
      </w:r>
    </w:p>
    <w:p>
      <w:pPr>
        <w:spacing w:after="0" w:line="35"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$14.5 million for the year ended December 31, 2019. The increase was primarily due to an increase of $4.2 million of stock-based compensation and an increase of $2.2 million in accounting and professional services fees.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2021-2020 Change</w:t>
            </w:r>
          </w:p>
        </w:tc>
        <w:tc>
          <w:tcPr>
            <w:tcW w:w="20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2020-2019 Change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5"/>
              </w:rPr>
              <w:t>$  471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278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447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1,863%</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(2,517)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(3,582)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2,013</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1,065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9"/>
              </w:rPr>
              <w:t>(52,150)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55,118</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(52,157)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745,100</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Interest income was $0.5 million for the year ended December 31, 2021 compared to $0.0 million for the prior year. This increase in interest income was primarily related to an increase in our cash and cash equivalent balances after the Merger closed on March 11, 2021.</w:t>
      </w:r>
    </w:p>
    <w:p>
      <w:pPr>
        <w:spacing w:after="0" w:line="14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Interest expense was $0.5 million for the year ended December 31, 2021 compared to $2.5 million for the prior year. The decrease was primarily due to the conversion of convertible notes in the second quarter of 2020 and the repayment of bank debt in the third quarter of 2020 and March 2021.</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Other income (expense), net was $3.0 million for the year ended December 31, 2021 compared to $(52.2) million for the prior year. During the year ended December 31, 2021, we recorded a gain of $11.8 million for the fair value change of warrant liability and a loss of $8.8 million for the fair value change of redeemable convertible preferred stock warrant liability. During the year ended December 31, 2020, we recorded losses of $48.4 million for the fair value change of the warrant liability and $5.3 million for the fair value change of the derivative liability related to our convertible notes, partially offset by a $1.6 million gain from extinguishment of the tranche liability which was recorded as other income.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Interest income was $0.0 million for the year ended December 31, 2020 compared to $0.3 million for the year ended December 31, 2019. This decrease in interest income was primarily related to a decrease in our cash and cash equivalent balances for the year ended December 31, 2020.</w:t>
      </w:r>
    </w:p>
    <w:p>
      <w:pPr>
        <w:spacing w:after="0" w:line="12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Interest expense was $2.5 million for the year ended December 31, 2020 compared to $3.6 million for the year ended December 31, 2019. The decrease was primarily due to the conversion of convertible notes in the second quarter of 2020 and the repayment of $3.0 million of bank debt.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income (expense), net was $(52.2) million for the year ended December 31, 2020 compared to $0.0 million for the year ended December 31,</w:t>
      </w:r>
    </w:p>
    <w:p>
      <w:pPr>
        <w:spacing w:after="0" w:line="46"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2019. During the year ended December 31, 2020, we recorded $5.3 million for the fair value change of the derivative liability related to our convertible notes and $48.4 million for the fair value change of warrant liability, partially offset by a $1.6 million gain from extinguishment of the tranche liability which was recorded as other income.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6"/>
              </w:rPr>
              <w:t>2021-2020 Change</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2020-2019Change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126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180" w:type="dxa"/>
            <w:vAlign w:val="bottom"/>
            <w:gridSpan w:val="2"/>
          </w:tcPr>
          <w:p>
            <w:pPr>
              <w:jc w:val="center"/>
              <w:ind w:left="637"/>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0"/>
              </w:rPr>
              <w:t>$(96,775)</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$(106,450)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$(51,660)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$ 9,630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$(54,745)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(2,794)</w:t>
            </w:r>
          </w:p>
        </w:tc>
        <w:tc>
          <w:tcPr>
            <w:tcW w:w="1260" w:type="dxa"/>
            <w:vAlign w:val="bottom"/>
          </w:tcPr>
          <w:p>
            <w:pPr>
              <w:jc w:val="right"/>
              <w:ind w:right="299"/>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(3,169)</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845</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(37,400)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2.89%</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(0.35)%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Our effective tax benefit was 2.89% for the year ended December 31, 2021 compared to our effective tax rate of (0.35)% for the prior year. Our tax expense decreased by $3.2 million during the year ended December 31, 2021, compared to prior year, primarily due to the release of the valuation allowance of $2.8 million as a result of the recording of a deferred tax liability from an acquisition during the year.</w:t>
      </w:r>
    </w:p>
    <w:p>
      <w:pPr>
        <w:spacing w:after="0" w:line="165"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Our effective tax rate was (0.35)% for the year ended December 31, 2020 compared to 0.00% for the prior year. Our tax expense increased by $0.4 million during the year ended December 31, 2020, compared to the year ended December 31, 2019, primarily due to state taxes.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Upon closing of the Merger, we received gross proceeds of $299.9 million from the Merger and private offering, offset by $8.5 million of pre-merger costs relating to CLA and offerings costs of $26.6 million. Subsequent to the Merger, our principal sources of liquidity have been and are expected to be our cash and cash equivalents and cash generated from product revenues.</w:t>
      </w:r>
    </w:p>
    <w:p>
      <w:pPr>
        <w:spacing w:after="0" w:line="16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of December 31, 2021 we had an accumulated deficit of $303.4 million and cash and cash equivalents of $182.6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prospectus.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December 31, 2021 and December 31, 2020, the outstanding principal balance of the loan was nil and $7.0 million, respectively.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86"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2021,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9, Leases and Note 10, Commitments and Contingencies.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Summary</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Net cash provided by (used in):</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Operating activities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Financing activities</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48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r>
      <w:tr>
        <w:trPr>
          <w:trHeight w:val="180"/>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(dollars in thousands)</w:t>
            </w:r>
          </w:p>
        </w:tc>
        <w:tc>
          <w:tcPr>
            <w:tcW w:w="860" w:type="dxa"/>
            <w:vAlign w:val="bottom"/>
          </w:tcPr>
          <w:p>
            <w:pPr>
              <w:spacing w:after="0"/>
              <w:rPr>
                <w:sz w:val="15"/>
                <w:szCs w:val="15"/>
                <w:color w:val="auto"/>
              </w:rPr>
            </w:pPr>
          </w:p>
        </w:tc>
      </w:tr>
      <w:tr>
        <w:trPr>
          <w:trHeight w:val="420"/>
        </w:trPr>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w w:val="90"/>
              </w:rPr>
              <w:t>$ (71,061)</w:t>
            </w:r>
          </w:p>
        </w:tc>
        <w:tc>
          <w:tcPr>
            <w:tcW w:w="1480" w:type="dxa"/>
            <w:vAlign w:val="bottom"/>
          </w:tcPr>
          <w:p>
            <w:pPr>
              <w:jc w:val="right"/>
              <w:ind w:right="277"/>
              <w:spacing w:after="0"/>
              <w:rPr>
                <w:sz w:val="20"/>
                <w:szCs w:val="20"/>
                <w:color w:val="auto"/>
              </w:rPr>
            </w:pPr>
            <w:r>
              <w:rPr>
                <w:rFonts w:ascii="Arial" w:cs="Arial" w:eastAsia="Arial" w:hAnsi="Arial"/>
                <w:sz w:val="18"/>
                <w:szCs w:val="18"/>
                <w:color w:val="auto"/>
              </w:rPr>
              <w:t>$ (42,117)</w:t>
            </w:r>
          </w:p>
        </w:tc>
        <w:tc>
          <w:tcPr>
            <w:tcW w:w="860" w:type="dxa"/>
            <w:vAlign w:val="bottom"/>
          </w:tcPr>
          <w:p>
            <w:pPr>
              <w:jc w:val="right"/>
              <w:spacing w:after="0"/>
              <w:rPr>
                <w:sz w:val="20"/>
                <w:szCs w:val="20"/>
                <w:color w:val="auto"/>
              </w:rPr>
            </w:pPr>
            <w:r>
              <w:rPr>
                <w:rFonts w:ascii="Arial" w:cs="Arial" w:eastAsia="Arial" w:hAnsi="Arial"/>
                <w:sz w:val="18"/>
                <w:szCs w:val="18"/>
                <w:color w:val="auto"/>
              </w:rPr>
              <w:t>$ (40,187)</w:t>
            </w:r>
          </w:p>
        </w:tc>
      </w:tr>
      <w:tr>
        <w:trPr>
          <w:trHeight w:val="230"/>
        </w:trPr>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(15,229)</w:t>
            </w:r>
          </w:p>
        </w:tc>
        <w:tc>
          <w:tcPr>
            <w:tcW w:w="1480" w:type="dxa"/>
            <w:vAlign w:val="bottom"/>
          </w:tcPr>
          <w:p>
            <w:pPr>
              <w:jc w:val="right"/>
              <w:ind w:right="277"/>
              <w:spacing w:after="0"/>
              <w:rPr>
                <w:sz w:val="20"/>
                <w:szCs w:val="20"/>
                <w:color w:val="auto"/>
              </w:rPr>
            </w:pPr>
            <w:r>
              <w:rPr>
                <w:rFonts w:ascii="Arial" w:cs="Arial" w:eastAsia="Arial" w:hAnsi="Arial"/>
                <w:sz w:val="18"/>
                <w:szCs w:val="18"/>
                <w:color w:val="auto"/>
              </w:rPr>
              <w:t>(3,509)</w:t>
            </w:r>
          </w:p>
        </w:tc>
        <w:tc>
          <w:tcPr>
            <w:tcW w:w="860" w:type="dxa"/>
            <w:vAlign w:val="bottom"/>
          </w:tcPr>
          <w:p>
            <w:pPr>
              <w:jc w:val="right"/>
              <w:spacing w:after="0"/>
              <w:rPr>
                <w:sz w:val="20"/>
                <w:szCs w:val="20"/>
                <w:color w:val="auto"/>
              </w:rPr>
            </w:pPr>
            <w:r>
              <w:rPr>
                <w:rFonts w:ascii="Arial" w:cs="Arial" w:eastAsia="Arial" w:hAnsi="Arial"/>
                <w:sz w:val="18"/>
                <w:szCs w:val="18"/>
                <w:color w:val="auto"/>
              </w:rPr>
              <w:t>(7,494)</w:t>
            </w:r>
          </w:p>
        </w:tc>
      </w:tr>
      <w:tr>
        <w:trPr>
          <w:trHeight w:val="230"/>
        </w:trPr>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258,304</w:t>
            </w:r>
          </w:p>
        </w:tc>
        <w:tc>
          <w:tcPr>
            <w:tcW w:w="1480" w:type="dxa"/>
            <w:vAlign w:val="bottom"/>
          </w:tcPr>
          <w:p>
            <w:pPr>
              <w:jc w:val="right"/>
              <w:ind w:right="277"/>
              <w:spacing w:after="0"/>
              <w:rPr>
                <w:sz w:val="20"/>
                <w:szCs w:val="20"/>
                <w:color w:val="auto"/>
              </w:rPr>
            </w:pPr>
            <w:r>
              <w:rPr>
                <w:rFonts w:ascii="Arial" w:cs="Arial" w:eastAsia="Arial" w:hAnsi="Arial"/>
                <w:sz w:val="18"/>
                <w:szCs w:val="18"/>
                <w:color w:val="auto"/>
              </w:rPr>
              <w:t>39,863</w:t>
            </w:r>
          </w:p>
        </w:tc>
        <w:tc>
          <w:tcPr>
            <w:tcW w:w="860" w:type="dxa"/>
            <w:vAlign w:val="bottom"/>
          </w:tcPr>
          <w:p>
            <w:pPr>
              <w:jc w:val="right"/>
              <w:spacing w:after="0"/>
              <w:rPr>
                <w:sz w:val="20"/>
                <w:szCs w:val="20"/>
                <w:color w:val="auto"/>
              </w:rPr>
            </w:pPr>
            <w:r>
              <w:rPr>
                <w:rFonts w:ascii="Arial" w:cs="Arial" w:eastAsia="Arial" w:hAnsi="Arial"/>
                <w:sz w:val="18"/>
                <w:szCs w:val="18"/>
                <w:color w:val="auto"/>
              </w:rPr>
              <w:t>50,505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-582295</wp:posOffset>
            </wp:positionV>
            <wp:extent cx="587184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-290830</wp:posOffset>
            </wp:positionV>
            <wp:extent cx="587184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6280" w:space="720"/>
            <w:col w:w="4120"/>
          </w:cols>
          <w:pgMar w:left="320" w:top="486" w:right="459" w:bottom="1440" w:gutter="0" w:footer="0" w:header="0"/>
          <w:type w:val="continuous"/>
        </w:sectPr>
      </w:pPr>
    </w:p>
    <w:p>
      <w:pPr>
        <w:ind w:left="120" w:right="20" w:firstLine="440"/>
        <w:spacing w:after="0" w:line="271" w:lineRule="auto"/>
        <w:rPr>
          <w:sz w:val="20"/>
          <w:szCs w:val="20"/>
          <w:color w:val="auto"/>
        </w:rPr>
      </w:pPr>
      <w:r>
        <w:rPr>
          <w:rFonts w:ascii="Arial" w:cs="Arial" w:eastAsia="Arial" w:hAnsi="Arial"/>
          <w:sz w:val="17"/>
          <w:szCs w:val="17"/>
          <w:color w:val="auto"/>
        </w:rPr>
        <w:t>During the year ended December 31, 2021, operating activities used $71.1 million in cash. The primary factors affecting our operating cash flows during this period were our net loss of $94.0 million, impacted by our non-cash charges of $29.1 million primarily consisting of depreciation and amortization of $5.5 million, stock-based compensation of $25.4 million, change in right-of-use asset of $2.2 million, amortization of debt issuance costs and debt discount of $0.3 million, inventory write down of $0.8 million and allowance for expected credit losses of $0.4 million, partially offset by deferred income taxes of $2.5 million and $2.9 million change in fair value of warrant liabilities. The cash used in changes in our operating assets and liabilities of $6.1 million was primarily due to an increase in accounts receivable of $8.0 million, an increase in inventories of $3.4 million, a decrease in prepaid expenses and other assets of $0.4 million, a decrease in accounts payable of $2.4 million, an increase in accrued and other liabilities of $9.1 million and a decrease of operating lease liability of $1.7 million.</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During the year ended December 31, 2020, operating activities used $42.1 million in cash. The primary factors affecting our operating cash flows during this period were our net loss of $106.8 million, impacted by our non-cash charges of $72.0 million primarily consisting of a $5.3 million change in fair value of derivative liability and $48.4 million change in fair value of warrant liabilities, depreciation and amortization of $3.7 million, stock-based compensation of $12.1 million, change in right-of-use asset of $1.9 million, interest expense on convertible debt of $1.0 million, inventory write down of $0.8 million, amortization of debt issuance costs and debt discount of $0.3 million, partially offset by a gain on extinguishment of tranche right liability of $1.6 million. The cash used in changes in our operating assets and liabilities of $7.3 million was primarily due to an increase in inventories of $3.1 million, an increase in accounts receivable of $1.5 million, an increase in prepaid expenses and other assets of $1.4 million, a decrease in accrued and other liabilities of $0.4 million, and a decrease of operating lease liability of $1.0 million.</w:t>
      </w:r>
    </w:p>
    <w:p>
      <w:pPr>
        <w:spacing w:after="0" w:line="178"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During the year ended December 31, 2019, operating activities used $40.2 million in cash. The primary factors affecting our operating cash flows during this period were our net loss of $51.7 million, impacted by our non-cash charges of $12.9 million primarily consisting of inventory write down of $4.8 million, interest expense on convertible debt of $2.4 million, depreciation and amortization of $2.0 million, change in right-of-use asset of</w:t>
      </w:r>
    </w:p>
    <w:p>
      <w:pPr>
        <w:spacing w:after="0" w:line="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$1.3 million, stock-based compensation of $1.2 million, write-off property and equipment of $0.6 million, amortization of debt issuance costs and debt discount $0.3 million. The cash used in changes in our operating assets and liabilities of $1.4 million was primarily due to an increase in inventories of $5.4 million, an increase in prepaid expenses and other current assets of $0.5 million and an increase in accounts receivable of $0.6 million, an increase in accrued and other current liabilities of $2.6 million, an increase of accounts payable of $2.1 million, and an increase of operating lease liability of $0.4 million.</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During the year ended December 31, 2021, cash used in investing activities was $15.2 million, which was primarily related to cash used for our acquisition of Sense, net of cash acquired, of $10.9 million and purchases of property, plant and equipment of $4.3 million.</w:t>
      </w:r>
    </w:p>
    <w:p>
      <w:pPr>
        <w:spacing w:after="0" w:line="14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During the year ended December 31, 2020, cash used in investing activities was $3.5 million, which was related to purchases of property, plant and equipment.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During the year ended December 31, 2019, cash used in investing activities was $7.5 million, which was related to purchases of property, plant and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year ended December 31, 2021, cash provided by financing activities was $258.3 million, consisting primarily of net proceeds from the merger and PIPE Investment of $264.8 million, and proceeds from exercise of stock options of $0.5 million, partially offset by repayment of debt of $7.0 million.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year ended December 31, 2020, cash provided by financing activities was $39.9 million, consisting primarily of net proceeds from issuance of Series B redeemable convertible preferred stock of $41.5 million and proceeds from exercise of stock options of $1.3 million, partially offset by repayment of long-term debt of $3.0 million.</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During the year ended December 31, 2019, cash provided by financing activities was $50.5 million primarily consisting of $40.5 million of net proceeds from issuance of convertible notes, and $10.0 million of proceeds from issuance of debt.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Revenue is recognized at a point in time when control of the goods are transferred to the customer, occurring upon shipment or delivery dependent upon the terms of the underlying contract. Product sales to certain customers may require customer acceptance due to performance acceptance criteria that is considered more than a formality. For these product sales, revenue is recognized upon the expiration of the customer acceptance period. Amounts billed to customers for shipping and handling are included in revenue. Taxes collected from customers and remitted to governmental authorities are excluded from revenue on the net basis of accounting.</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service projects, we bill and recognize revenue as the services are performed. For these arrangements, control is transferred over time as we input costs incurred to complete the project; therefore, revenue is recognized over the service period with the measure of progress using the input method based on labor costs incurred to total labor cost (cost-to-cost) as the services are provided.</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enter into contracts that can include multiple performance obligations, we account for individual products and services separately if the customer can benefit from the product or service on its own or with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resources that are readily available to the customer and the product or service is separately identifiable from other promises in the arrangement. The consideration is allocated between separate performance obligations in proportion to their estimated standalone selling price. The standalone selling price reflects the price we would charge for a specific product or service if it were sold separately in similar circumstances and to similar customers.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measure and recognize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spacing w:after="0" w:line="89" w:lineRule="exact"/>
        <w:rPr>
          <w:sz w:val="20"/>
          <w:szCs w:val="20"/>
          <w:color w:val="auto"/>
        </w:rPr>
      </w:pPr>
    </w:p>
    <w:p>
      <w:pPr>
        <w:ind w:left="1080" w:hanging="424"/>
        <w:spacing w:after="0" w:line="287"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Common Stock Valuation - The fair value of the shares of common stock underlying our stock-based awards issued after the Merger is based on the grant date closing fair market value of our common stock. Before closing of the Merger, the fair value of the shares of common stock underlying our stock-based awards was historically determined by management and approved by the Board of Directors. Because there was no public market for the our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spacing w:after="0" w:line="77" w:lineRule="exact"/>
        <w:rPr>
          <w:rFonts w:ascii="Arial" w:cs="Arial" w:eastAsia="Arial" w:hAnsi="Arial"/>
          <w:sz w:val="16"/>
          <w:szCs w:val="16"/>
          <w:color w:val="auto"/>
        </w:rPr>
      </w:pPr>
    </w:p>
    <w:p>
      <w:pPr>
        <w:ind w:left="1080" w:right="2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Expected Term - The expected term represents the period that our stock-based awards are expected to be outstanding and is determined using the simplified method, which deems the term to be the average of the time to vesting and the contractual life of the options.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Volatility - The expected volatility is based on the historical volatility for the period commensurate with the expected term of the awards for a peer group of comparable companies with publicly traded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8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Dividends - We do not currently pay cash dividends on its common stock and does not anticipate doing so in the foreseeable future. Accordingly, the expected dividend yield is 0%.</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for a term consistent with the expected life of the awards in effect at the time of grant.</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fair values of the restricted stock awards and restricted stock units were determined based on the fair value of the our common stock on the grant date. We recognize stock-based compensation expense over the requisite service period. Forfeitures are accounted for as they occur. Our policy for issuing stock upon stock option exercise is to issue new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Inventories are stated at the lower of cost or estimated net realizable value. Costs are computed under the standard cost method, which approximates actual costs determined on the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Prior to the Business Combination, the fair value of the common stock underlying our stock-based awards was determined by our board of directors, with input from management and corroboration from contemporaneous third-party valuations. Given the absence of a public trading market of our common stock prior to the Business Combination,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included:</w:t>
      </w:r>
    </w:p>
    <w:p>
      <w:pPr>
        <w:spacing w:after="0" w:line="98"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paid for common or convertible preferred stock sold to third-party investors by us and prices paid in secondary transactions for shares repurchased by us in arm’s-length transactions, including any tender offers,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marketability inherent in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of the company and the introduction of new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(IPO), a merger, or acquisition of our company given prevailing market conditions;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8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operational and financial performance of comparable publicly traded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and global capital market conditions and overall economic conditions.</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valuing our common stock, the fair value of our business was determined using various valuation methods, including combinations of income, market, cost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each valuation, the fair value of our business determined by these approaches was then allocated to the common stock using the option-pricing method.</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8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Following the Business Combination, the fair value of our common stock is based on the closing price of our common stock on the relevant determination date, as reported on the New York Stock Exchange.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960" w:firstLine="440"/>
        <w:spacing w:after="0" w:line="308" w:lineRule="auto"/>
        <w:rPr>
          <w:sz w:val="20"/>
          <w:szCs w:val="20"/>
          <w:color w:val="auto"/>
        </w:rPr>
      </w:pPr>
      <w:r>
        <w:rPr>
          <w:rFonts w:ascii="Arial" w:cs="Arial" w:eastAsia="Arial" w:hAnsi="Arial"/>
          <w:sz w:val="17"/>
          <w:szCs w:val="17"/>
          <w:color w:val="auto"/>
        </w:rPr>
        <w:t>Please refer to Note 2 in our consolidated financial statements contained elsewhere in this prospectus for recently adopted accounting pronouncements and recently issued accounting pronouncements not yet adopted as of the date of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As of December 31, 2021, we had cash and cash equivalents of approximately $182.6 million, out of which $177.5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Substantially all of our revenue is generated in U.S. dollars. Our expenses are generally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denominated in the currencies of the jurisdictions in which we conduct our operations, which are primarily in the United States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320" w:top="486"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March 1,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Angus</w:t>
            </w:r>
          </w:p>
        </w:tc>
        <w:tc>
          <w:tcPr>
            <w:tcW w:w="4140" w:type="dxa"/>
            <w:vAlign w:val="bottom"/>
          </w:tcPr>
          <w:p>
            <w:pPr>
              <w:ind w:left="160"/>
              <w:spacing w:after="0" w:line="189" w:lineRule="exact"/>
              <w:rPr>
                <w:sz w:val="20"/>
                <w:szCs w:val="20"/>
                <w:color w:val="auto"/>
              </w:rPr>
            </w:pPr>
            <w:r>
              <w:rPr>
                <w:rFonts w:ascii="Arial" w:cs="Arial" w:eastAsia="Arial" w:hAnsi="Arial"/>
                <w:sz w:val="18"/>
                <w:szCs w:val="18"/>
                <w:color w:val="auto"/>
              </w:rPr>
              <w:t>Pacala</w:t>
            </w:r>
          </w:p>
        </w:tc>
        <w:tc>
          <w:tcPr>
            <w:tcW w:w="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6"/>
                <w:szCs w:val="16"/>
                <w:color w:val="auto"/>
              </w:rPr>
            </w:pPr>
          </w:p>
        </w:tc>
        <w:tc>
          <w:tcPr>
            <w:tcW w:w="6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 Co-Founder and Chief Executive Officer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Mark Frichtl</w:t>
            </w:r>
          </w:p>
        </w:tc>
        <w:tc>
          <w:tcPr>
            <w:tcW w:w="24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Co-Founder and Chief Technology Officer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Anna Brunelle</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Darien Spencer</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of Global Operations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Adam Dolinko</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Nathan Dickerman</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President of Field Operations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Susan Heystee</w:t>
            </w:r>
          </w:p>
        </w:tc>
        <w:tc>
          <w:tcPr>
            <w:tcW w:w="240" w:type="dxa"/>
            <w:vAlign w:val="bottom"/>
          </w:tcPr>
          <w:p>
            <w:pPr>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 and Chair of the Board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Jorge del Calvo</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Emmanuel Hernandez</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Sundari Mitra</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Karin Rådström</w:t>
            </w:r>
          </w:p>
        </w:tc>
        <w:tc>
          <w:tcPr>
            <w:tcW w:w="24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Remy W. Trafelet</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b w:val="1"/>
          <w:bCs w:val="1"/>
          <w:i w:val="1"/>
          <w:iCs w:val="1"/>
          <w:color w:val="auto"/>
        </w:rPr>
        <w:t xml:space="preserve">Angus Pacala. </w:t>
      </w:r>
      <w:r>
        <w:rPr>
          <w:rFonts w:ascii="Arial" w:cs="Arial" w:eastAsia="Arial" w:hAnsi="Arial"/>
          <w:sz w:val="17"/>
          <w:szCs w:val="17"/>
          <w:color w:val="auto"/>
        </w:rPr>
        <w:t>Angus Pacala co-founded Ouster in June 2015 and has been serving as our Chief Executive Officer and director since then.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of directors due to his extensive technical background and his history as Ouster’s co-founder.</w:t>
      </w:r>
    </w:p>
    <w:p>
      <w:pPr>
        <w:spacing w:after="0" w:line="17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 xml:space="preserve">Mark Frichtl. </w:t>
      </w:r>
      <w:r>
        <w:rPr>
          <w:rFonts w:ascii="Arial" w:cs="Arial" w:eastAsia="Arial" w:hAnsi="Arial"/>
          <w:sz w:val="18"/>
          <w:szCs w:val="18"/>
          <w:color w:val="auto"/>
        </w:rPr>
        <w:t>March Frichtl co-founded Ouster in June 2015 and has been serving as our Chief Technology Officer since then. Previously, Mr. Frichtl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w:t>
      </w:r>
    </w:p>
    <w:p>
      <w:pPr>
        <w:spacing w:after="0" w:line="18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i w:val="1"/>
          <w:iCs w:val="1"/>
          <w:color w:val="auto"/>
        </w:rPr>
        <w:t xml:space="preserve">Anna Brunelle. </w:t>
      </w:r>
      <w:r>
        <w:rPr>
          <w:rFonts w:ascii="Arial" w:cs="Arial" w:eastAsia="Arial" w:hAnsi="Arial"/>
          <w:sz w:val="17"/>
          <w:szCs w:val="17"/>
          <w:color w:val="auto"/>
        </w:rPr>
        <w:t>Anna Brunelle has been serving as our Chief Financial Officer since August 2020. Previously, Ms. Brunelle was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Kinestral Technologies, a private electrochromic technology company, from April 2018 to May 2020. Previously, Ms. Brunelle provided financial consulting services to companies in a variety of industries from October 2017 to April 2018. Prior to this appointment, Ms. Brunelle was Chief Financial Officer and Interim Chief Operating Officer at Soylent, a private nutrition company, from March 2016 to October 2017. Ms. Brunelle was also Chief Financial Officer and Interim Chief Operating Officer at GlobalLogic from June 2014 to April 2015. Ms. Brunelle held various leadership roles of increasing responsibility at Tivo, Inc. from April 2005 to September 2013, including as Chief Financial Officer starting in 2008. Ms. Brunelle began her career at Deloitte &amp; Touche, LLP from August 1996 to March 1999. Ms. Brunelle holds a Bachelor of Science degree in business administration with a concentration in accounting from the California Polytechnic State University.</w:t>
      </w:r>
    </w:p>
    <w:p>
      <w:pPr>
        <w:spacing w:after="0" w:line="17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b w:val="1"/>
          <w:bCs w:val="1"/>
          <w:i w:val="1"/>
          <w:iCs w:val="1"/>
          <w:color w:val="auto"/>
        </w:rPr>
        <w:t xml:space="preserve">Darien Spencer. </w:t>
      </w:r>
      <w:r>
        <w:rPr>
          <w:rFonts w:ascii="Arial" w:cs="Arial" w:eastAsia="Arial" w:hAnsi="Arial"/>
          <w:sz w:val="17"/>
          <w:szCs w:val="17"/>
          <w:color w:val="auto"/>
        </w:rPr>
        <w:t>Darien Spencer has been serving as our Executive Vice President of Global Operations since July 2017. Previously, Mr. Spencer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of Operations and Chief Procurement Officer at Enphase Energy, an energy technology company, from August 2013 to April 2017. Prior to this appointment, Mr. Spencer was General Manager of Business Units and Automation at Jabil Circuit, a product solutions company, from August 2012 to August 2013,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 xml:space="preserve">Adam Dolinko. </w:t>
      </w:r>
      <w:r>
        <w:rPr>
          <w:rFonts w:ascii="Arial" w:cs="Arial" w:eastAsia="Arial" w:hAnsi="Arial"/>
          <w:sz w:val="17"/>
          <w:szCs w:val="17"/>
          <w:color w:val="auto"/>
        </w:rPr>
        <w:t>Adam Dolinko has been serving as our General Counsel since December 2021. Previously, Mr. Dolinko served as a Senior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General Counsel at CSR plc, a dual listed NASDAQ and London Stock Exchange-FTSE 250 company focused on the automobile, mobile, and IoT sectors with wireless, connectivity, imaging, location, and audio semiconductor and software solutions. Mr. Dolinko served as Executive Vice President, General Counsel &amp; Corporate Development at SiRF Technology (NASDAQ: SIRF), a B2B GPS and connectivity company focused on the automobile and mobile sectors. He has served as the Executive Vice President and General Counsel of private companies, from January 2021 until December 2021 at Inxeption, at NextJuris, from February 2018 to January 2021, and Essential Products from March 2017 to February 2018. Prior to becoming a General Counsel, he had been a Corporate and Securities Partner at the law firm of Wilson Sonsini Goodrich &amp; Rosati, P.C. Mr. Dolinko holds a Bachelor’s degree from UCLA and J.D. from the USC School of Law.</w:t>
      </w:r>
    </w:p>
    <w:p>
      <w:pPr>
        <w:spacing w:after="0" w:line="178"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b w:val="1"/>
          <w:bCs w:val="1"/>
          <w:i w:val="1"/>
          <w:iCs w:val="1"/>
          <w:color w:val="auto"/>
        </w:rPr>
        <w:t xml:space="preserve">Nathan Dickerman. </w:t>
      </w:r>
      <w:r>
        <w:rPr>
          <w:rFonts w:ascii="Arial" w:cs="Arial" w:eastAsia="Arial" w:hAnsi="Arial"/>
          <w:sz w:val="17"/>
          <w:szCs w:val="17"/>
          <w:color w:val="auto"/>
        </w:rPr>
        <w:t>Nathan Dickerman has been serving as our President of Field Operations since April 2021. Previously, Mr. Dickerman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Commercial Officer at Planet Labs, a satellite data company, from July 2018 to April 2021. Prior to this appointment, Mr. Dickerman served as Vice President of Worldwide Sales at AppDirect, a software company, from June 2017 to July 2018, Senior Director of Manufacturing Software Sales for North America at Autodesk, a software company, from February 2012 to May 2017, and Vice President of Software Sales at PTC, a software company, from August 2006 to February 2012. Mr. Dickerman holds a Bachelor of Science degree in Economics and a Masters of Business Administration with a concentration in marketing management from Santa Clara University.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i w:val="1"/>
          <w:iCs w:val="1"/>
          <w:color w:val="auto"/>
        </w:rPr>
        <w:t xml:space="preserve">Susan Heystee. </w:t>
      </w:r>
      <w:r>
        <w:rPr>
          <w:rFonts w:ascii="Arial" w:cs="Arial" w:eastAsia="Arial" w:hAnsi="Arial"/>
          <w:sz w:val="17"/>
          <w:szCs w:val="17"/>
          <w:color w:val="auto"/>
        </w:rPr>
        <w:t>Susan Heystee has been serving as a member of our board of directors since September 2018 and as chair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2021. She previously served as our Interim Chief Revenue Officer from January 2021 to July 2021. Previously, Ms. Heystee was Senior Vice President of Global Automotive Business at Verizon Connect from January 2017 to June 2018. Previously,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since May 2021. Ms. Heystee holds Bachelors degrees in mathematics and business from the University of Waterloo and an executive M.B.A. to Advanced Management Program Certificate from Harvard Business School. We believe that Ms. Heystee is qualified to serve as a member of our board of directors due to her extensive experience in the technology sector and knowledge of market driven strategies.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i w:val="1"/>
          <w:iCs w:val="1"/>
          <w:color w:val="auto"/>
        </w:rPr>
        <w:t xml:space="preserve">Jorge del Calvo. </w:t>
      </w:r>
      <w:r>
        <w:rPr>
          <w:rFonts w:ascii="Arial" w:cs="Arial" w:eastAsia="Arial" w:hAnsi="Arial"/>
          <w:sz w:val="18"/>
          <w:szCs w:val="18"/>
          <w:color w:val="auto"/>
        </w:rPr>
        <w:t>Jorge del Calvo has served on our board of directors since the consummation of the Business Combination. Mr. del Calvo was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Pillsbury Winthrop Shaw Pittman, LLP, a global law firm, from 1990 through January 31, 2022, and previously served as a member of its Managing Board and as Chair of its Finance Committee. He also serves on the board of a private foundation. Mr. del Calvo has a B.A. in History from Stanford University, an M.A. in History from UCLA, an M.P.P. in Public Policy from the John F. Kennedy School of Government at Harvard University, and a J.D. from Harvard Law School. We believe Mr. del Calvo is qualified to serve as a member of our board of directors due to his extensive experience representing public and private technology companies and advising their boards and committees, as well as his knowledge of business, legal and governance issues faced by public companies.</w:t>
      </w:r>
    </w:p>
    <w:p>
      <w:pPr>
        <w:spacing w:after="0" w:line="195"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b w:val="1"/>
          <w:bCs w:val="1"/>
          <w:i w:val="1"/>
          <w:iCs w:val="1"/>
          <w:color w:val="auto"/>
        </w:rPr>
        <w:t xml:space="preserve">Emmanuel Hernandez. </w:t>
      </w:r>
      <w:r>
        <w:rPr>
          <w:rFonts w:ascii="Arial" w:cs="Arial" w:eastAsia="Arial" w:hAnsi="Arial"/>
          <w:sz w:val="18"/>
          <w:szCs w:val="18"/>
          <w:color w:val="auto"/>
        </w:rPr>
        <w:t>Emmanuel Hernandez has been serving on our board of directors since the consummation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Hernandez has served as a director of Rodgers Silicon Valley Acquisition Corp. from December 2020 to July 2021, of Enovix Corporation (including as Chair of the Audit Committee), since July 2021, of BrainChip, Inc. (including its Audit &amp; Governance Committee and Remuneration &amp; Nomination Committee) since June 2017, of Aruba Networks, Inc. since 2006, and of ON Semiconductor Corp (including its Audit Committee and Corporate Governance and Nominating Committee)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since November 2002. Previously, Mr. Hernandez served as a director and member of the Audit Committee of SunEdison, Inc. from May 2009 to December 2017 and as a director of EnStorage, Inc. from June 2009 to December 2017. Mr. Hernandez was also an operating Partner at Khosla Ventures, a venture capital firm, from May 2010 to January 2013. Prior to joining Khosla Ventures, Mr. Hernandez served as the Chief Financial Officer of SunPower Corporation from April 2005 to November 2008. Prior to April 2005, Mr. Hernandez served for more than 11 years as the Executive Vice President of Finance and Administration and Chief Financial Officer for Cypress Semiconductor, having joined that company in 1993 as its Corporate Controller. Prior to these engagements, Mr. Hernandez held various financial positions with National Semiconductor Corporation from 1976 through 1993. Furthermore, Mr. Hernandez has served as a director of The Manny &amp; Cecile Hernandez Charitable Foundation since 2013. Mr. Hernandez holds a Bachelor of Science degree in Commerce from the University of Nueva Caceres and an M.B.A. from Golden Gate University. We believe that</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Mr. Hernandez is qualified to serve as a member of our board of directors due to his experience as a director and financial officer for multiple public technology companies and his over 40 years of finance and operations experience in high tech businesses.</w:t>
      </w:r>
    </w:p>
    <w:p>
      <w:pPr>
        <w:spacing w:after="0" w:line="18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 xml:space="preserve">Sundari Mitra. </w:t>
      </w:r>
      <w:r>
        <w:rPr>
          <w:rFonts w:ascii="Arial" w:cs="Arial" w:eastAsia="Arial" w:hAnsi="Arial"/>
          <w:sz w:val="18"/>
          <w:szCs w:val="18"/>
          <w:color w:val="auto"/>
        </w:rPr>
        <w:t>Sundari Mitra has been serving as a member of our board of directors since the consummation of the Business Combination. Ms. Mitra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Corporate Vice President of Intel Corporation since September 2018. Previously, Ms. Mitra was the Chief Executive Officer and a director at NetSpeed Systems from December 2011 to September 2018. Prior to this appointment, Ms. Mitra was Executive Vice President of Engineering at Mosys, Inc. from June 2009 to August 2011. Before Mosys, Ms. Mitra founded and served as Chief Executive Officer of Prism Circuits from its inception in February 2006 until Mosys, Inc.’s acquisition of Prism Circuits in June 2009. Prior to founding Prism Circuits, Ms. Mitra served as a Director of Engineering at Sun Microsystems, Inc. from June 2002 to August 2004. Ms. Mitra holds a Master of Science degree in Electrical Engineering from the University of Illinois and a Bachelor of Science degree in Electrical Engineering from Baroda University in India. We believe that Ms. Mitra is qualified to serve as a member of our board of directors due to her experience in the technology background and technical background in engineering.</w:t>
      </w:r>
    </w:p>
    <w:p>
      <w:pPr>
        <w:spacing w:after="0" w:line="196"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b w:val="1"/>
          <w:bCs w:val="1"/>
          <w:i w:val="1"/>
          <w:iCs w:val="1"/>
          <w:color w:val="auto"/>
        </w:rPr>
        <w:t xml:space="preserve">Karin Rådström. </w:t>
      </w:r>
      <w:r>
        <w:rPr>
          <w:rFonts w:ascii="Arial" w:cs="Arial" w:eastAsia="Arial" w:hAnsi="Arial"/>
          <w:sz w:val="16"/>
          <w:szCs w:val="16"/>
          <w:color w:val="auto"/>
        </w:rPr>
        <w:t>Karin Rådström has been serving as a member of our board of directors since October 2021. Ms. Rådström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Mercedes-Benz Trucks and a member of the Board of Management of Daimler Truck AG, Germany, both truck manufacturers since February 2021 and as a member of the Supervisory Board of Piab AB, Sweden, a manufacturer of vacuum pumps, since June 2019. From March 2019 to January 2021, Ms. Rådström served as Head of Sales and Marketing and as a member of the Executive Board of Scania CV AB (“Scania”), a commercial vehicle manufacturer. She previously served as Senior Vice President, Head of Buses and Coaches of Scania from November 2016 to February 2019 and as Director of Pre-Sales and Marketing Communication of Scania East Africa Ltd. from October 2014 to December 2015.</w:t>
      </w:r>
    </w:p>
    <w:p>
      <w:pPr>
        <w:spacing w:after="0" w:line="4"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Ms. Rådström brings significant sales and marketing experience at large commercial vehicle manufacturers to the Company’s Board and her broad knowledge on technological transformation in the automotive industry is expected to be beneficial to Ouster’s Board.</w:t>
      </w:r>
    </w:p>
    <w:p>
      <w:pPr>
        <w:spacing w:after="0" w:line="185"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b w:val="1"/>
          <w:bCs w:val="1"/>
          <w:i w:val="1"/>
          <w:iCs w:val="1"/>
          <w:color w:val="auto"/>
        </w:rPr>
        <w:t xml:space="preserve">Remy W. Trafelet. </w:t>
      </w:r>
      <w:r>
        <w:rPr>
          <w:rFonts w:ascii="Arial" w:cs="Arial" w:eastAsia="Arial" w:hAnsi="Arial"/>
          <w:sz w:val="16"/>
          <w:szCs w:val="16"/>
          <w:color w:val="auto"/>
        </w:rPr>
        <w:t>Remy W. Trafelet has been serving as a member of our board of directors since the consummation of the Business Combination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serving as the Chief Executive Officer and a director of CLA since its inception. Mr. Trafelet is President and Chief Executive Officer of Trafelet &amp; Company, LLC, a private investment firm that invests across a broad range of asset classes and industries, including financial services, energy, technology and agriculture. Mr. Trafelet began his career in 1992 as an analyst at Fidelity Management and Research Company where he became a portfolio manager at age 25. In 2000, Mr. Trafelet formed Trafelet Delta Funds, which managed several long/short equity portfolios. The firm grew to over $5.5 billion in assets under management with offices in New York and London. In 2009, Mr. Trafelet spun off the firm’s London operations to Habrok Capital Management, a global long/short equity hedge fund. Mr. Trafelet is the Founder and Chairman of Hazeltree Fund Services, a FinTech company providing treasury solutions to more than 200 financial institutions with over $2.0 trillion of assets under advisory. From 2016 to 2019,</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Mr. Trafelet served as President and Chief Executive Officer of Alico Inc. (NASDAQ: ALCO), an agribusiness holding company. During his tenure, Mr. Trafelet implemented a corporate restructuring and operating efficiency program, which</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8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improved the company’s return on capital employed. Mr. Trafelet is a Trustee and Chairman of the Investment Committee for the Boys’ Club of New York and also serves as a member of the board for the Children’s Scholarship Fund. He is a former Trustee and Chairman of the Investment Committee of Phillips Exeter Academy. Mr. Trafelet is also a former Trustee for The Eaglebrook School, and a board member of the Atlantic Salmon Federation. Mr. Trafelet graduated from Phillips Exeter Academy and earned an A.B. from Dartmouth College, where he graduated with honors and was named a Presidential Scholar. Mr. Trafelet is a Chartered Financial Analyst. We believe Mr. Trafelet is well qualified to sit on our board due to his extensive and successful capital markets, investment and valuation experience.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Documents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believe that good corporate governance is important to ensure that Ouster is managed for the long-term benefit of our stockholders. Our Nominating and Corporate Governance Committee will periodically review and reassess our Governance Guidelines, other governance documents and overall governance structure. Complete copies of our current committee charters, our Corporate Governance Guidelines and our Code of Business Conduct and Ethics are available on our website under the “Governance” section at https://investors.ouster.com/, or by writing to our Secretary at our offices at 350 Treat Avenue, San Francisco, CA 94110.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current authorized number of directors is seven. Our Certificate of Incorporation and Bylaws provide that the authorized number of directors may be changed only by resolution of our board of directors. Our board of directors is divided into three classes of directors, with staggered terms of three years each and holding office until his or her successor is duly elected and qualified, or until his or her earlier death, resignation or removal. The term of one class expires at each annual meeting of the stockholders; thus, directors typically stand for election after three years, unless they are filling an unexpired term. Any additional directorships resulting from an increase in the number of directors will be distributed among the three classes so that, as nearly as possible, each class will consist of one-third of the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audit committee consists of Emmanuel Hernandez, Susan Heystee and Remy W. Trafelet, with Emmanuel Hernandez serving as the chair of the committee. Our board of directors has determined that each of these individuals meets the independence requirements of the Sarbanes-Oxley Act, Rule 10A-3 under the Exchange Act and the applicable listing standards of the NYSE. Each member of our audit committee meets the requirements for financial literacy under the applicable NYSE rules. In arriving at this determination, the board has examined each audit committee member’s scope of experience and the nature of their prior or current employment.</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has determined that Emmanuel Hernandez qualifies as an audit committee financial expert within the meaning of SEC regulations and meets the financial sophistication requirements of the NYSE rules. In making this determination, our board of directors considered Emmanuel Hernandez’s formal education and previous and current experience in financial and accounting roles. Both our independent registered public accounting firm and management periodically meet privately with our audit committee.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committee’s responsibilities include, among other things:</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appointing, compensating, retaining, evaluating, terminating and overseeing our independent registered public accounting firm;</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78</w:t>
      </w:r>
    </w:p>
    <w:p>
      <w:pPr>
        <w:sectPr>
          <w:pgSz w:w="11900" w:h="16838" w:orient="portrait"/>
          <w:cols w:equalWidth="0" w:num="1">
            <w:col w:w="11060"/>
          </w:cols>
          <w:pgMar w:left="320" w:top="48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pre-approving all audit and permissible non-audit services to be performed by our independent registered public accounting firm;</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compensation committee consists of Susan Heystee, Jorge del Calvo and Emmanuel Hernandez, with Susan Heystee serving as the chair of the committee. Susan Heystee, Jorge del Calvo and Emmanuel Hernandez are non-employee directors, as defined in Rule 16b-3 promulgated under the Exchange Act. Our board of directors has determined that Susan Heystee, Jorge del Calvo and Emmanuel Hernandez are “independent” as defined under the applicable NYSE listing standards, including the standards specific to members of a compensation committee. The compensation committee’s responsibilities include, among other things:</w:t>
      </w:r>
    </w:p>
    <w:p>
      <w:pPr>
        <w:spacing w:after="0" w:line="93" w:lineRule="exact"/>
        <w:rPr>
          <w:sz w:val="20"/>
          <w:szCs w:val="20"/>
          <w:color w:val="auto"/>
        </w:rPr>
      </w:pPr>
    </w:p>
    <w:p>
      <w:pPr>
        <w:ind w:left="1080" w:right="1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 evaluating the performance of our Chief Executive Officer in light of these goals and objectives and setting or making recommendations to our board of directors regarding the compensation of our Chief Executive Officer;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setting or making recommendations to our board of directors regarding the compensation of our other executive officers;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compensation of our directors;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meets the requirements for independence under the current NYSE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Our nominating and corporate governance committee consists of Jorge del Calvo, Sundari Mitra and Karin Rådström, with Jorge del Calvo serving as the chair of the committee. Our board of directors has determined that each of these individuals is “independent” as defined under the applicable listing standards of the NYSE and SEC rules and regulations.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nominating and corporate governance committee’s responsibilities include, among other things:</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recommending to our board of directors the nominees for election to our board of directors at annual meetings of our stockholders;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86"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meets the requirements for independence under the current NYSE listing standards.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a code of ethics that applies to all of our executive officers, directors and employees, including our principal executive officer, principal financial officer, principal accounting officer or controller or persons performing similar functions. The code of ethics are available on our website, www.ouster.com. We intend to make any legally required disclosures regarding amendments to, or waivers of, provisions of our code of ethics on our website rather than by filing a Current Report on Form 8-K. We granted no waivers under our code of ethics in 2021. The information contained on our website is not incorporated by reference into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The Compensation Committee is responsible for overseeing the management of risks relating to our executive compensation plans and arrangements. The Audit Committee is responsible for overseeing the management of financial and cybersecurity risks. The Nominating and Corporate Governance Committee is responsible for overseeing the management of risks associated with the independence of our board of directors and other corporate governance matters.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In this section, we provide an overview and analysis of the compensation awarded to or earned by our named executive officers identified in the Summary Compensation Table below during fiscal 2021, including the elements of our compensation program for named executive officers, material compensation decisions made under that program for fiscal 2021 and the material factors considered in making those decisions. Our named executive officers for the year ended December 31, 2021, which consist of our principal executive officer, our principal financial officer and our three most other highly compensated executive officers for fiscal year 2021 (collectively, the “named executive officers”) are:</w:t>
      </w:r>
    </w:p>
    <w:p>
      <w:pPr>
        <w:spacing w:after="0" w:line="6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Angus Pacala, who serves as Chief Executive Officer and is our principal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Anna Brunelle, who serves as Chief Financial Officer and is our principal financial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Darien Spencer, who serves as Executive Vice President of Global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Nathan Dickerman, who serves as President of Field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Adam Dolinko, who serves as General Counsel.</w:t>
      </w:r>
    </w:p>
    <w:p>
      <w:pPr>
        <w:spacing w:after="0" w:line="225"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This section also describes the actions and decisions of the compensation committee of our board of directors as it relates to fiscal 2021 compensation decisions that were made on and following March 11, 2021, the date the business combination among Ouster, Inc. (“Old Ouster”), Colonnade Acquisition Corp. and Beam Merger Sub Inc. (the “Business Combination”) was completed. This section also describes the actions and decisions of the board of directors of Old Ouster as it relates to fiscal 2021 compensation decisions that were made prior to March 11, 2021.</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Details of our Compensation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Objectives and Rewards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executive compensation program has been designed to attract, motivate and retain results-oriented talent deemed essential to ensure our success. The program seeks to align executive compensation with our short-and long-term objectives, business strategy and financial performance. Our compensation objectives are designed to support these goals by:</w:t>
      </w:r>
    </w:p>
    <w:p>
      <w:pPr>
        <w:spacing w:after="0" w:line="8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Tying realized compensation with the success of Ouster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Rewarding individual contribution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future oriented incentives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Striking an appropriate balance between internal equity and external competitiveness</w:t>
      </w:r>
    </w:p>
    <w:p>
      <w:pPr>
        <w:spacing w:after="0" w:line="225"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Our compensation committee works with Pay Governance, the compensation committee’s compensation consultant, to formalize our compensation philosophy and implement compensation arrangements that reflect that philosophy.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During fiscal 2021, Old Ouster’s board of directors made compensation decisions with respect to our named executive officers prior to March 11, 2021 and our compensation committee made compensation decisions with respect to our named executive officers on and after March 11, 2021. In each case the board of directors and compensation committee took into account recommendations from Pay Governance, its compensation consultant, and, other than with respect to his own compensation, our chief executive officer.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320" w:top="486"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 in Determining Executive Compensation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When making compensation decisions in fiscal 2021, Old Ouster’s board of directors and our compensation committee considered advice and data provided by Pay Governance and reviewed compensation data from the public filings for the following companies:</w:t>
      </w:r>
    </w:p>
    <w:p>
      <w:pPr>
        <w:sectPr>
          <w:pgSz w:w="11900" w:h="16838" w:orient="portrait"/>
          <w:cols w:equalWidth="0" w:num="1">
            <w:col w:w="11120"/>
          </w:cols>
          <w:pgMar w:left="320" w:top="486" w:right="459" w:bottom="1440" w:gutter="0" w:footer="0" w:header="0"/>
        </w:sectPr>
      </w:pP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Chargepoint Holdings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3380"/>
        <w:spacing w:after="0"/>
        <w:rPr>
          <w:sz w:val="20"/>
          <w:szCs w:val="20"/>
          <w:color w:val="auto"/>
        </w:rPr>
      </w:pPr>
      <w:r>
        <w:rPr>
          <w:rFonts w:ascii="Arial" w:cs="Arial" w:eastAsia="Arial" w:hAnsi="Arial"/>
          <w:sz w:val="16"/>
          <w:szCs w:val="16"/>
          <w:color w:val="auto"/>
        </w:rPr>
        <w:t>Luminar Technologies, Inc.</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SiTime Corporation</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6"/>
          <w:szCs w:val="16"/>
          <w:color w:val="auto"/>
        </w:rPr>
        <w:t>Romeo Power, Inc.</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CEVA,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Aeva Technologies, Inc.</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Velodyne Lidar, Inc.</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7"/>
          <w:szCs w:val="17"/>
          <w:color w:val="auto"/>
        </w:rPr>
        <w:t>AEye, Inc.</w:t>
      </w:r>
    </w:p>
    <w:p>
      <w:pPr>
        <w:spacing w:after="0" w:line="129"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PDF Solutions, Inc.</w:t>
      </w:r>
    </w:p>
    <w:p>
      <w:pPr>
        <w:spacing w:after="0" w:line="20" w:lineRule="exact"/>
        <w:rPr>
          <w:sz w:val="20"/>
          <w:szCs w:val="20"/>
          <w:color w:val="auto"/>
        </w:rPr>
      </w:pPr>
      <w:r>
        <w:rPr>
          <w:sz w:val="20"/>
          <w:szCs w:val="20"/>
          <w:color w:val="auto"/>
        </w:rPr>
        <w:br w:type="column"/>
      </w:r>
    </w:p>
    <w:p>
      <w:pPr>
        <w:jc w:val="center"/>
        <w:ind w:right="4580"/>
        <w:spacing w:after="0"/>
        <w:rPr>
          <w:sz w:val="20"/>
          <w:szCs w:val="20"/>
          <w:color w:val="auto"/>
        </w:rPr>
      </w:pPr>
      <w:r>
        <w:rPr>
          <w:rFonts w:ascii="Arial" w:cs="Arial" w:eastAsia="Arial" w:hAnsi="Arial"/>
          <w:sz w:val="16"/>
          <w:szCs w:val="16"/>
          <w:color w:val="auto"/>
        </w:rPr>
        <w:t>Canoo Inc.</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FuelCell Energy, Inc.</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6"/>
          <w:szCs w:val="16"/>
          <w:color w:val="auto"/>
        </w:rPr>
        <w:t>EOS Energy</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Veritone, Inc.</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6"/>
          <w:szCs w:val="16"/>
          <w:color w:val="auto"/>
        </w:rPr>
        <w:t>Fisker Inc.</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ShotSpotter,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QuantumScape Corporation</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Kopin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Virgin Galactic Holdings, Inc.</w:t>
      </w:r>
    </w:p>
    <w:p>
      <w:pPr>
        <w:spacing w:after="0" w:line="129"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908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Atomera Incorporated</w:t>
      </w:r>
    </w:p>
    <w:p>
      <w:pPr>
        <w:spacing w:after="0" w:line="140" w:lineRule="exact"/>
        <w:rPr>
          <w:sz w:val="20"/>
          <w:szCs w:val="20"/>
          <w:color w:val="auto"/>
        </w:rPr>
      </w:pPr>
    </w:p>
    <w:p>
      <w:pPr>
        <w:sectPr>
          <w:pgSz w:w="11900" w:h="16838" w:orient="portrait"/>
          <w:cols w:equalWidth="0" w:num="2">
            <w:col w:w="5020" w:space="720"/>
            <w:col w:w="5380"/>
          </w:cols>
          <w:pgMar w:left="320" w:top="486"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XL Fleet Corp.</w:t>
      </w:r>
    </w:p>
    <w:p>
      <w:pPr>
        <w:sectPr>
          <w:pgSz w:w="11900" w:h="16838" w:orient="portrait"/>
          <w:cols w:equalWidth="0" w:num="1">
            <w:col w:w="11120"/>
          </w:cols>
          <w:pgMar w:left="320" w:top="486" w:right="459" w:bottom="1440" w:gutter="0" w:footer="0" w:header="0"/>
          <w:type w:val="continuous"/>
        </w:sectPr>
      </w:pPr>
    </w:p>
    <w:p>
      <w:pPr>
        <w:spacing w:after="0" w:line="23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compensation committee reviewed our named executive officer compensation against this peer group to ensure that our named executive officer compensation is competitive and sufficient to recruit and retain our named executive officers. While the compensation committee considered this data in evaluating named executive officer compensation, we did not seek to benchmark our named executive officer compensation to any particular level.</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compensation committee expects to periodically review and update this peer group and to utilize Pay Governance for benchmarking and peer group analysis in determining and developing compensation packages for our named executive officers.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chief executive officer and chief technology officer, each of whom is our co-founder, made recommendations to the Old Ouster board of directors and to our compensation committee to assist in determining fiscal 2021 compensation levels, other than with respect to his own compensation. While the Old Ouster board of directors and our compensation committee utilized this information, the ultimate decisions regarding fiscal 2021 executive compensation were made by the Old Ouster board of directors and our compensation committee as applicable.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fiscal 2021, our executive compensation program consisted of the following elements, each established as part of our program in order to achieve the compensation objective specified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92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1"/>
              </w:rPr>
              <w:t>Compensation Objectives Designed to be Achieved and Key Features</w:t>
            </w:r>
          </w:p>
        </w:tc>
      </w:tr>
      <w:tr>
        <w:trPr>
          <w:trHeight w:val="20"/>
        </w:trPr>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4"/>
        </w:trPr>
        <w:tc>
          <w:tcPr>
            <w:tcW w:w="160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40" w:type="dxa"/>
            <w:vAlign w:val="bottom"/>
          </w:tcPr>
          <w:p>
            <w:pPr>
              <w:spacing w:after="0"/>
              <w:rPr>
                <w:sz w:val="19"/>
                <w:szCs w:val="19"/>
                <w:color w:val="auto"/>
              </w:rPr>
            </w:pPr>
          </w:p>
        </w:tc>
        <w:tc>
          <w:tcPr>
            <w:tcW w:w="9260" w:type="dxa"/>
            <w:vAlign w:val="bottom"/>
            <w:gridSpan w:val="3"/>
          </w:tcPr>
          <w:p>
            <w:pPr>
              <w:jc w:val="center"/>
              <w:ind w:left="56"/>
              <w:spacing w:after="0"/>
              <w:rPr>
                <w:sz w:val="20"/>
                <w:szCs w:val="20"/>
                <w:color w:val="auto"/>
              </w:rPr>
            </w:pPr>
            <w:r>
              <w:rPr>
                <w:rFonts w:ascii="Arial" w:cs="Arial" w:eastAsia="Arial" w:hAnsi="Arial"/>
                <w:sz w:val="18"/>
                <w:szCs w:val="18"/>
                <w:color w:val="auto"/>
                <w:w w:val="89"/>
              </w:rPr>
              <w:t>Base salary attracts and retains talented executives, recognizes individual roles and responsibilities and provides stable income</w:t>
            </w:r>
          </w:p>
        </w:tc>
      </w:tr>
      <w:tr>
        <w:trPr>
          <w:trHeight w:val="337"/>
        </w:trPr>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2"/>
          </w:tcPr>
          <w:p>
            <w:pPr>
              <w:jc w:val="right"/>
              <w:ind w:right="2960"/>
              <w:spacing w:after="0"/>
              <w:rPr>
                <w:sz w:val="20"/>
                <w:szCs w:val="20"/>
                <w:color w:val="auto"/>
              </w:rPr>
            </w:pPr>
            <w:r>
              <w:rPr>
                <w:rFonts w:ascii="Arial" w:cs="Arial" w:eastAsia="Arial" w:hAnsi="Arial"/>
                <w:sz w:val="18"/>
                <w:szCs w:val="18"/>
                <w:color w:val="auto"/>
              </w:rPr>
              <w:t>82</w:t>
            </w:r>
          </w:p>
        </w:tc>
        <w:tc>
          <w:tcPr>
            <w:tcW w:w="24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type w:val="continuous"/>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ind w:left="1720"/>
        <w:spacing w:after="0"/>
        <w:rPr>
          <w:sz w:val="20"/>
          <w:szCs w:val="20"/>
          <w:color w:val="auto"/>
        </w:rPr>
      </w:pPr>
      <w:r>
        <w:rPr>
          <w:rFonts w:ascii="Arial" w:cs="Arial" w:eastAsia="Arial" w:hAnsi="Arial"/>
          <w:sz w:val="14"/>
          <w:szCs w:val="14"/>
          <w:b w:val="1"/>
          <w:bCs w:val="1"/>
          <w:u w:val="single" w:color="auto"/>
          <w:color w:val="auto"/>
        </w:rPr>
        <w:t>Compensation Element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Cash-Based Incentive Compensation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Equity-Based Compensation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Severance and Other Benefits Potentially Payable upon Termination of Employment or Change in Control</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Retirement, Health and Welfare Benefits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4"/>
          <w:szCs w:val="14"/>
          <w:b w:val="1"/>
          <w:bCs w:val="1"/>
          <w:u w:val="single" w:color="auto"/>
          <w:color w:val="auto"/>
        </w:rPr>
        <w:t>Compensation Objectives Designed to be Achieved and Key Features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Directly ties pay to key financial metric, which we believe will lead to sustained value for all stakeholders over the long term.</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Equity-based compensation, provided in the form of stock options and restricted stock units, reinforces the importance of a long-term, ownership orientation, creates alignment with our stockholders, and promotes retention. Equity-based compensation is the most significant portion of compensation for our executives.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Provides our executives security to focus on executing our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Rounds out a competitive compensation package and aids in retaining our executives.</w:t>
      </w:r>
    </w:p>
    <w:p>
      <w:pPr>
        <w:spacing w:after="0" w:line="222" w:lineRule="exact"/>
        <w:rPr>
          <w:sz w:val="20"/>
          <w:szCs w:val="20"/>
          <w:color w:val="auto"/>
        </w:rPr>
      </w:pPr>
    </w:p>
    <w:p>
      <w:pPr>
        <w:sectPr>
          <w:pgSz w:w="11900" w:h="16838" w:orient="portrait"/>
          <w:cols w:equalWidth="0" w:num="2">
            <w:col w:w="4240" w:space="720"/>
            <w:col w:w="6160"/>
          </w:cols>
          <w:pgMar w:left="320" w:top="486" w:right="459" w:bottom="1440" w:gutter="0" w:footer="0" w:header="0"/>
          <w:type w:val="continuous"/>
        </w:sectPr>
      </w:pPr>
    </w:p>
    <w:p>
      <w:pPr>
        <w:spacing w:after="0" w:line="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were initially established through arms-length negotiation at the time an executive was hired. Our compensation committee reviews the annual base salaries of each of our named executive officers periodically, referring to the 50th percentile of similar positions at our peer group of companies or, if no similar positions are included in our peer group of companies, general market surveys when adjusting annual base salaries.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base salaries of our named executive officers for fiscal 2021:</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w w:val="92"/>
              </w:rPr>
              <w:t>Named Executive Officer Fiscal 2021 Base Salary</w:t>
            </w:r>
          </w:p>
        </w:tc>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Angus Pacala</w:t>
            </w:r>
          </w:p>
        </w:tc>
        <w:tc>
          <w:tcPr>
            <w:tcW w:w="3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Anna Brunelle</w:t>
            </w:r>
          </w:p>
        </w:tc>
        <w:tc>
          <w:tcPr>
            <w:tcW w:w="3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Darien Spencer</w:t>
            </w:r>
          </w:p>
        </w:tc>
        <w:tc>
          <w:tcPr>
            <w:tcW w:w="3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Nathan Dickerman</w:t>
            </w:r>
          </w:p>
        </w:tc>
        <w:tc>
          <w:tcPr>
            <w:tcW w:w="3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Adam Dolinko</w:t>
            </w:r>
          </w:p>
        </w:tc>
        <w:tc>
          <w:tcPr>
            <w:tcW w:w="3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Cash-Based Incentive Compensation</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consider annual cash incentive bonuses to be an important component of our total compensation program and provides incentives necessary to retain and motivate named executive officers other than our chief executive officer, for whom historically we have relied on equity compensation, and our president of field operations, who participates in a sales incentive compensation plan. Other than our chief executive officer and president of field operations, each named executive officer is eligible to receive an annual performance-based cash bonus based on a specified target annual bonus award amount, expressed as a percentage of the named executive officer’s base salary. Our president of field operations participates in a sales incentive plan that provides him the opportunity to earn up to 100% of his annual base salary. In fiscal 2021, our named executive officers participated in our annual cash incentive bonus program at the following target percentages of base salary:</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w w:val="92"/>
              </w:rPr>
              <w:t>Named Executive Officer Target Percentage</w:t>
            </w:r>
          </w:p>
        </w:tc>
        <w:tc>
          <w:tcPr>
            <w:tcW w:w="47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Anna Brunelle</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Darien Spencer</w:t>
            </w:r>
          </w:p>
        </w:tc>
        <w:tc>
          <w:tcPr>
            <w:tcW w:w="47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Nathan Dickerman</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36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760" w:type="dxa"/>
            <w:vAlign w:val="bottom"/>
          </w:tcPr>
          <w:p>
            <w:pPr>
              <w:jc w:val="right"/>
              <w:ind w:right="355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120"/>
          </w:cols>
          <w:pgMar w:left="320" w:top="486"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Mr. Dolinko commenced employment with us in December 2021 and his target annual bonus opportunity was established at 30% of his base salary commencing in 2022. Mr. Dolinko did not participate in our annual cash incentive bonus program for 2021. For 2022, we have adopted a similar annual performance-based cash bonus program for Ms. Brunelle and Messrs. Spencer and Dolinko and a similar sales incentive compensation plan for Mr. Dickerman.</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2021, our annual cash incentive bonus program provided Ms. Brunelle and Mr. Spencer an opportunity to earn their full target bonus opportunity based on the achievement of annual gross revenue of $34 million. The formula for determining the amount of an executive’s target bonus opportunity earned was as follows: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(actual revenue - $26 million) / $8 million</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No bonus would be payable to our named executive officers in the event actual revenue was less than $26 million, and bonuses were capped at 100% of each named executive officer’s target bonus opportunity.</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early 2022, our compensation committee determined that our actual revenue for 2021 was $33.48 million, or 93.5% of target, and Ms. Brunelle and Mr. Spencer earned $94,194 and $86,949, respectively, for their 2021 performance-based cash bonuses.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Mr. Dickerman participated in a sales incentive compensation plan that was targeted at 100% of his annual base salary, and included a guaranteed minimum amount of $81,250 for fiscal quarter 2, the quarter Mr. Dickerman commenced employment with us. Mr. Dickerman’s sales incentive opportunity was 40% based on the achievement of quarterly bookings quotas and 60% based on the achievement of quarterly revenue quotas. In addition, Mr. Dickerman had the opportunity to earn up to an additional $150,000 based on the achievement of strategic objectives. The quarterly revenue quotas for fiscal quarters 2, 3 and 4 were $7.8 million, $9.2 million and $10.5 million, respectively. The bookings goals and strategic objectives are intended to be difficult to achieve and require above what we believe to be average performance to meet the goal or objective at target. However, because each of the bookings goals and strategic objectives is related to our business strategy and is highly confidential, we do not publicly disclose them, as we believe their disclosure would provide our competitors, customers and other third-parties with significant insights regarding our confidential business strategies that could cause us substantial harm.</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early 2022, our compensation committee determined the following achievement under Mr. Dickerman’s sales incentive compensation plan:</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5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Fiscal 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Bookings Goal</w:t>
            </w: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93%</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57,103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Revenue Goal</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91,665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Guaranteed Minimum</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Strategic Objectives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255,715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For 2022, we have adopted a similar annual performance-based cash bonus program for Ms. Brunelle and Messrs. Spencer and Dolinko and a similar sales incentive compensation plan for Mr. Dickerman.</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late 2020, Old Ouster’s board of directors approved a special one-time merit bonus opportunity for Ms. Brunelle and Mr. Spencer that paid them $150,000 and $75,000, respectively, in the event of the completion of an equity financing, or series of equity financings, providing net proceeds to Old Ouster of at least $50 million or the closing of a change in control, in each case, prior to June 30, 2021. Each of Ms. Brunelle and Mr. Spencer earned the merit bonus upon the closing of our Business Combination.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In addition to our formal cash incentive programs, our compensation committee may approve discretionary bonuses to be paid to our named executive officers from time to time, when it determines it to be appropriate to reward performance or incentivize future results.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shareholders. We do not currently have any formal policy for determining the number of equity-based awards to grant to named executive officers, though our compensation committee does reference the 50th and 75th percentiles of our peer group of companies when approving annual equity awards.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2021, we did not make an equity grant to Mr. Pacala in light of significant options that were granted to him in 2020.</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connection with the consummation of our Business Combination, our compensation committee accelerated the vesting of 50% and 25%, respectively, of the shares of restricted stock held by Ms. Brunelle and Mr. Spencer in light of their significant efforts towards the completion of the Business Combination. Also, in light of their efforts towards our Business Combination, our compensation committee awarded Ms. Brunelle and Mr. Spencer 136,480 and 109,679 restricted stock units, respectively. Each award vests as to 25% of the number of restricted stock units on March 15, 2022 and as to 1/16th of the number of restricted stock units on each quarterly anniversary thereafter, subject to continued service to us.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connection with Mr. Dickerman’s commencement of employment with us, in May 2021, our compensation committee granted Mr. Dickerman an option to purchase 645,797 shares of our common stock and 645,797 restricted stock units. The option vests as to 25% of the shares underlying the option on the first anniversary of his commencement of employment with us, April 12, 2021, and as to 1/48th of the shares underlying the option on each monthly anniversary thereafter, subject to continued service to us through the vesting date. The restricted stock unit award vests as to 25% of the restricted stock units on the first anniversary of June 11, 2021 and as to 1/16th of the restricted stock units on each quarterly anniversary thereafter, subject to continued service to us through the vesting date. The size of Mr. Dickerman’s equity award was determined by the compensation committee in consultation with Pay Governance and Mr. Pacala and as the result of arms-length negotiations with Mr. Dickerman.</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Mr. Dolinko’s commencement of employment with us, in December 2021, our compensation committee granted Mr. Dolinko 608,696 restricted stock units. The restricted stock unit award vests as to 25% of the restricted stock units on the first anniversary of December 11, 2021 and as to 1/16th of the restricted stock units on each quarterly anniversary thereafter, subject to continued service to us through the vesting date. The size of Mr. Dolinko’s equity award was determined by the compensation committee in consultation with Pay Governance and Mr. Pacala, and as the result of arms-length negotiations with Mr. Dolinko.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determine perquisites on a case-by-case basis and will provide a perquisite to a named executive officer when we believe it is necessary to attract or retain the named executive officer. Ouster did not provide any perquisites or personal benefits to our named executive officers not otherwise made available to other employees in 2021, except that we forgave the 50% of the principal and interest due on promissory notes held by Ms. Brunelle and Mr. Spencer.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and Severance Arrangements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Old Ouster previously entered into an employment offer letter agreements with Messrs. Pacala and Spencer, and Ms. Brunelle. We entered into employment agreements with Messrs. Dickerman and Dolinko in connection with their commencement of employment with us. These agreements set forth the terms and conditions of employment of each named executive officer, including initial base salary, target bonus opportunity (if any), and initial equity grants and employee benefits eligibility. The offer letters entered into with Messrs. Pacala and Spencer do not provide for severance or other payments in connection with a termination of employment or change in control of the Company.</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Ms. Brunelle’s offer letter provides that in the event her employment with us is terminated by us without cause or she resigns for good reason prior to a change of control (each as defined in her offer letter), subject to the execution a general release of claims, Ms. Brunelle is entitled to a severance payment equal to the sum of: (i) six months of her then current annual base salary and (ii) any earned and accrued bonus (or any portion thereof), payable in a lump sum.</w:t>
      </w:r>
    </w:p>
    <w:p>
      <w:pPr>
        <w:spacing w:after="0" w:line="187"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addition, in the event Ms. Brunelle remains continuously employed by us through the closing of a change in control, the vesting and exercisability of her unvested option shall accelerate in respect of 50% of the unvested shares subject to the option. In the event her employment with the Company is terminated by us without cause or she resigns for good reason (each, as defined below), in each case within the ninety-day period immediately before or twelve-month period immediately following the closing of a change in control, subject to the execution of a general release of claims, then the vesting and exercisability of her options granted in May 2020 shall accelerate in respect of 100% of the unvested shares subject to the option.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event Ms. Brunelle’s employment with us is terminated by us without cause or she resigns for good reason in each case within the twelve month period immediately following the closing of a change of control, subject to the execution of a general release of claims, Ms. Brunelle is entitled to a severance payment equal to the sum of: (i) twelve months of her then current annual base salary; (ii) any earned and accrued bonus; and (iii) an amount equal to twelve months of health insurance premiums, payable in a lump sum.</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Under Mr. Dickerman’s employment agreement, in the event we terminate his employment with us without cause or he resigns for good reason more than 90 days prior to a change in control, then, subject to the execution of a general release of claims, Mr. Dickerman is entitled to receive a severance payment equal to six months’ base salary and COBRA reimbursement for six months. In the event we terminate his employment with us without cause or he resigns for good reason within the period beginning 90 days prior to a change in control and ending on the first anniversary of the change in control, then, subject to the execution of a general release of claims and in lieu of the foregoing severance benefits, Mr. Dickerman is entitled to receive 12 months base salary, 12 months COBRA reimbursement and full vesting acceleration of his outstanding equity awards.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Mr. Dolinko’s employment agreement, in the event we terminate his employment with us without cause or he resigns for good reason within the period beginning 90 days prior to a change in control and anytime after a change in control, then, subject to the execution of a general release of claims, Mr. Dolinko is entitled to the full vesting acceleration of his outstanding equity awards.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a general matter, our compensation committee reviews and considers the various tax and accounting implications of compensation programs we utilize.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Summary Compensation Table</w:t>
      </w:r>
    </w:p>
    <w:p>
      <w:pPr>
        <w:spacing w:after="0" w:line="22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contains information about the compensation earned by each of our named executive officers during our most recently completed fiscal year ended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Bonus</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9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)(1)</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Angus Pacala</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120,125</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4,904</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125,029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70,333</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12,840,820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2,735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12,913,888</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120,000</w:t>
            </w: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124,800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Anna Brunelle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323,202</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1,637,760</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244,194</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159,909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2,365,065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219,277</w:t>
            </w: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2,384,581</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2,608,289</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Darien Spencer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286,828</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1,316,148</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161,949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119,976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1,884,901</w:t>
            </w:r>
          </w:p>
        </w:tc>
        <w:tc>
          <w:tcPr>
            <w:tcW w:w="0" w:type="dxa"/>
            <w:vAlign w:val="bottom"/>
          </w:tcPr>
          <w:p>
            <w:pPr>
              <w:spacing w:after="0"/>
              <w:rPr>
                <w:sz w:val="1"/>
                <w:szCs w:val="1"/>
                <w:color w:val="auto"/>
              </w:rPr>
            </w:pPr>
          </w:p>
        </w:tc>
      </w:tr>
      <w:tr>
        <w:trPr>
          <w:trHeight w:val="202"/>
        </w:trPr>
        <w:tc>
          <w:tcPr>
            <w:tcW w:w="3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of Global</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Operations</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Nathan Dickerman(4)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234,462</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6,619,419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3,803,744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255,715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10,275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10,903,209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of Field Operations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Adam Dolinko(5)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28,629</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3,974,785</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4,004,564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General Counsel</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424"/>
        <w:spacing w:after="0" w:line="25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and stock options granted during fiscal 2021 computed in accordance with ASC Topic 718, rather than the amounts paid to or realized by the named individual. We provide information regarding the assumptions used to calculate the value of all stock awards and option awards made to named executive officers in Note 12 of our financial statements included in this prospectus.</w:t>
      </w:r>
    </w:p>
    <w:p>
      <w:pPr>
        <w:spacing w:after="0" w:line="2" w:lineRule="exact"/>
        <w:rPr>
          <w:rFonts w:ascii="Arial" w:cs="Arial" w:eastAsia="Arial" w:hAnsi="Arial"/>
          <w:sz w:val="18"/>
          <w:szCs w:val="18"/>
          <w:color w:val="auto"/>
        </w:rPr>
      </w:pPr>
    </w:p>
    <w:p>
      <w:pPr>
        <w:ind w:left="540" w:right="320" w:hanging="424"/>
        <w:spacing w:after="0" w:line="25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$150,000 and $75,000 of the amounts reported for Ms. Brunelle and Mr. Spencer, respectively, constitute merit bonuses earned by each named executive officer upon the closing the merger of our company with a subsidiary of Colonnade Acquisition Corp. $94,194 and $86,949 of the amounts reported for Ms. Brunelle and Mr. Spencer, respectively, constitute annual performance-based cash bonuses earned based on our achievement of revenue goals. The full amount reported for Mr. Dickerman constitutes sales incentive compensation earned under his sales incentive compensation plan.</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86"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$146,664 and $107,495 of the amounts reported for Ms. Brunelle and Mr. Spencer constitute forgiven principal and interest of promissory notes. All other amounts reported constitute 401(k) plan matching contributions.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Dickerman commenced employment with us as President of Field Operations in April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Dolinko commenced employment with us as our General Counsel in December 2021.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3"/>
              </w:rPr>
              <w:t>Estimated Future Payouts Under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80" w:type="dxa"/>
            <w:vAlign w:val="bottom"/>
            <w:gridSpan w:val="6"/>
            <w:vMerge w:val="continue"/>
          </w:tcPr>
          <w:p>
            <w:pPr>
              <w:spacing w:after="0"/>
              <w:rPr>
                <w:sz w:val="8"/>
                <w:szCs w:val="8"/>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9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Non-Equity Incentive Plan Awards</w:t>
            </w:r>
          </w:p>
        </w:tc>
        <w:tc>
          <w:tcPr>
            <w:tcW w:w="92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80" w:type="dxa"/>
            <w:vAlign w:val="bottom"/>
            <w:gridSpan w:val="6"/>
            <w:vMerge w:val="continue"/>
          </w:tcPr>
          <w:p>
            <w:pPr>
              <w:spacing w:after="0"/>
              <w:rPr>
                <w:sz w:val="8"/>
                <w:szCs w:val="8"/>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Number</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 Base</w:t>
            </w: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of Shares</w:t>
            </w: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Price of</w:t>
            </w:r>
          </w:p>
        </w:tc>
        <w:tc>
          <w:tcPr>
            <w:tcW w:w="8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Threshold</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 Stock</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vMerge w:val="restart"/>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Grant Date</w:t>
            </w: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Units</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($/Sh)</w:t>
            </w: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Anna Brunelle</w:t>
            </w: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100,750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100,750</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3/11/2021(2)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136,480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1,637,760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Darien Spencer</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93,000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3/11/2021(2)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109,679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1,316,148</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Dickerman</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243,750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515,625</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5/7/2021(3)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645,797</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10.26</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3,803,744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5/7/2021(2)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645,797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6,619,419</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Adam Dolinko</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12/1/2021(2)</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608,696</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3,974,785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0" w:hanging="424"/>
        <w:spacing w:after="0" w:line="28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Constitutes target and maximum amount payable under our annual performance-based cash bonus program for Ms. Brunelle and Mr. Spencer and our sales incentive compensation plan for Mr. Dickerman. Payments under our annual performance-based cash bonus program are capped at 100% of target. The sales incentive compensation plan for Mr. Dickerman provides the opportunity to earn up to 150% of target for overachievement of his bookings and revenue goals and up to $150,000 in excess of target for the achievement of strategic objectives.</w:t>
      </w:r>
    </w:p>
    <w:p>
      <w:pPr>
        <w:spacing w:after="0" w:line="1" w:lineRule="exact"/>
        <w:rPr>
          <w:rFonts w:ascii="Arial" w:cs="Arial" w:eastAsia="Arial" w:hAnsi="Arial"/>
          <w:sz w:val="16"/>
          <w:szCs w:val="16"/>
          <w:color w:val="auto"/>
        </w:rPr>
      </w:pPr>
    </w:p>
    <w:p>
      <w:pPr>
        <w:ind w:left="540" w:right="160" w:hanging="424"/>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25% of the restricted stock units vest on the first anniversary of the vesting commencement date, and 1/16th of the restricted stock units vest on each quarterly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restricted stock units will fully vest.</w:t>
      </w:r>
    </w:p>
    <w:p>
      <w:pPr>
        <w:ind w:left="540" w:right="40" w:hanging="424"/>
        <w:spacing w:after="0" w:line="252"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 of the shares underlying the option vests and becomes exercisable on the first anniversary of the vesting commencement date and 1/48th of the shares underlying the option vests and becomes exercisable on each monthly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86"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2021</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Units of</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Vesting</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60" w:type="dxa"/>
            <w:vAlign w:val="bottom"/>
            <w:vMerge w:val="restart"/>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Options (#)</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Options (#)</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Not</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4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1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Vested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Angus Pacala</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10/2/2020 (1)</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4,359,767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0.21</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10/1/2030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10/2/2020 (2)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1,271,598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3,088,169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10/1/2030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Brunelle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3/15/2021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136,480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709,696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5/20/2020 (4)</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143,082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713,979</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Darien Spencer</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3/15/2021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109,679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570,331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5/23/2019 (5)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34,354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7/1/2020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76,774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5/23/2019 (5)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2,195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5/23/2019 (6)</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7/1/2020 (6)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48,193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240,323</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Dickerman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4/12/2021 (7)</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645,797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5/6/2031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6/11/2021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645,797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3,358,144</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Dolinko</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12/11/2021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608,696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67"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1/48th of the shares originally subject to the option vest on each one-month anniversary of the vesting commencement date, subject to continued service with us through the applicable vesting date and the option will vest as to 50% of the unvested shares underlying the option upon a change in control and, 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 The options may be exercised by the executive prior to vesting, with any unvested shares subject to repurchase by us at the original exercise price in the event of a termination of the executive’s employment.</w:t>
      </w:r>
    </w:p>
    <w:p>
      <w:pPr>
        <w:spacing w:after="0" w:line="4"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1/48th of the shares originally subject to the option vest on each one-month anniversary of the vesting commencement date, subject to continued service with us through the applicable vesting date and each option will vest as to 50% of the unvested shares underlying the option upon a change in control and, 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w:t>
      </w:r>
    </w:p>
    <w:p>
      <w:pPr>
        <w:spacing w:after="0" w:line="2" w:lineRule="exact"/>
        <w:rPr>
          <w:rFonts w:ascii="Arial" w:cs="Arial" w:eastAsia="Arial" w:hAnsi="Arial"/>
          <w:sz w:val="18"/>
          <w:szCs w:val="18"/>
          <w:color w:val="auto"/>
        </w:rPr>
      </w:pPr>
    </w:p>
    <w:p>
      <w:pPr>
        <w:ind w:left="540" w:right="160" w:hanging="424"/>
        <w:spacing w:after="0" w:line="271"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25% of the restricted stock units vest on the first anniversary of the vesting commencement date, and 1/16th of the restricted stock units vest on each quarterly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 day period immediately before or twelve month period immediately following a change of control, the vesting of 100% of the restricted stock units will fully vest.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86"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shares of restricted stock acquired upon exercise of a stock option prior to exercise. The unvested shares are subject to repurchase by us at the original exercise price of $0.15 per share upon a termination of the named executive officer’s employment. The shares vest in substantially equal monthly installments through the fourth anniversary of the vesting commencement date, subject to continued service through the vesting date. The vesting of 50% of the unvested shares accelerate upon a change in control.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spacing w:after="0" w:line="5"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shares of restricted stock acquired upon exercise of a stock option prior to exercise. The unvested shares are subject to repurchase by us at the original exercise price of $0.18 per share upon a termination of the named executive officer’s employment. The shares vest in substantially equal monthly installments through the fourth anniversary of the vesting commencement date, subject to continued service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ind w:left="540" w:right="180" w:hanging="424"/>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shares of restricted stock acquired upon exercise of a stock option prior to exercise. The unvested shares are subject to repurchase by us at the original exercise price of $0.21 per share upon a termination of the named executive officer’s employment. The shares vest in substantially equal monthly installments through the fourth anniversary of the vesting commencement date, subject to continued service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ind w:left="540" w:right="2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 of the shares underlying the option vests and becomes exercisable on the first anniversary of the vesting commencement date and 1/48th of the shares underlying the option vests and becomes exercisable on each monthly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spacing w:after="0" w:line="2" w:lineRule="exact"/>
        <w:rPr>
          <w:rFonts w:ascii="Arial" w:cs="Arial" w:eastAsia="Arial" w:hAnsi="Arial"/>
          <w:sz w:val="18"/>
          <w:szCs w:val="18"/>
          <w:color w:val="auto"/>
        </w:rPr>
      </w:pPr>
    </w:p>
    <w:p>
      <w:pPr>
        <w:ind w:left="540" w:right="640" w:hanging="424"/>
        <w:spacing w:after="0" w:line="323"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calculated based on the $5.20 closing trading price of our common stock as of December 31, 2021. Amounts reported for shares acquired upon exercise of stock options prior to vesting are reported net of the exercise price paid by the named executive officer.</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 in Fiscal 2021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4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Acquired</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Realizedon</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5000" w:type="dxa"/>
            <w:vAlign w:val="bottom"/>
            <w:gridSpan w:val="2"/>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3"/>
                <w:szCs w:val="13"/>
                <w:color w:val="auto"/>
              </w:rPr>
            </w:pPr>
          </w:p>
        </w:tc>
        <w:tc>
          <w:tcPr>
            <w:tcW w:w="13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u w:val="single" w:color="auto"/>
                <w:color w:val="auto"/>
                <w:w w:val="93"/>
              </w:rPr>
              <w:t>Exercise($</w:t>
            </w:r>
            <w:r>
              <w:rPr>
                <w:rFonts w:ascii="Arial" w:cs="Arial" w:eastAsia="Arial" w:hAnsi="Arial"/>
                <w:sz w:val="14"/>
                <w:szCs w:val="14"/>
                <w:b w:val="1"/>
                <w:bCs w:val="1"/>
                <w:color w:val="auto"/>
                <w:w w:val="93"/>
              </w:rPr>
              <w:t>)</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Anna Brunelle</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1,220,889</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13,150,498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Darien Spencer</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348,154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3,718,208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value of shares of restricted stock acquired upon exercise of a stock option prior to exercise, calculated based on the closing trading price of our common stock on the vesting date less the exercise price paid for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this section, we describe payments that may be made to our named executive officers upon a change in control and to each of Ms. Brunelle, Mr. Dickerman and Mr. Dolinko upon certain terminations of employment, assuming the termination event occurred on the last day of fiscal 2021 (except as otherwise noted). Messrs. Pacala and Spencer were not entitled to severance upon a termination of employment in 2021.</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Change in</w:t>
            </w:r>
          </w:p>
        </w:tc>
        <w:tc>
          <w:tcPr>
            <w:tcW w:w="1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Covered Termination</w:t>
            </w: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Covered Termination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Unrelated to a</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1800" w:type="dxa"/>
            <w:vAlign w:val="bottom"/>
          </w:tcPr>
          <w:p>
            <w:pPr>
              <w:spacing w:after="0"/>
              <w:rPr>
                <w:sz w:val="12"/>
                <w:szCs w:val="12"/>
                <w:color w:val="auto"/>
              </w:rPr>
            </w:pPr>
          </w:p>
        </w:tc>
        <w:tc>
          <w:tcPr>
            <w:tcW w:w="30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Type of Payment</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Control</w:t>
            </w:r>
          </w:p>
        </w:tc>
        <w:tc>
          <w:tcPr>
            <w:tcW w:w="18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 connection with a</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180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(1)</w:t>
            </w:r>
          </w:p>
        </w:tc>
        <w:tc>
          <w:tcPr>
            <w:tcW w:w="520" w:type="dxa"/>
            <w:vAlign w:val="bottom"/>
          </w:tcPr>
          <w:p>
            <w:pPr>
              <w:spacing w:after="0"/>
              <w:rPr>
                <w:sz w:val="15"/>
                <w:szCs w:val="15"/>
                <w:color w:val="auto"/>
              </w:rPr>
            </w:pPr>
          </w:p>
        </w:tc>
        <w:tc>
          <w:tcPr>
            <w:tcW w:w="18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6"/>
              </w:rPr>
              <w:t>Control (2)</w:t>
            </w:r>
          </w:p>
        </w:tc>
        <w:tc>
          <w:tcPr>
            <w:tcW w:w="138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8"/>
              </w:rPr>
              <w:t>Change in Control</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Angus Pacala</w:t>
            </w:r>
          </w:p>
        </w:tc>
        <w:tc>
          <w:tcPr>
            <w:tcW w:w="180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Accelerated Vesting</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27,083,242</w:t>
            </w:r>
          </w:p>
        </w:tc>
        <w:tc>
          <w:tcPr>
            <w:tcW w:w="5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0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Anna Brunelle</w:t>
            </w:r>
          </w:p>
        </w:tc>
        <w:tc>
          <w:tcPr>
            <w:tcW w:w="4860" w:type="dxa"/>
            <w:vAlign w:val="bottom"/>
            <w:gridSpan w:val="3"/>
          </w:tcPr>
          <w:p>
            <w:pPr>
              <w:ind w:left="1800"/>
              <w:spacing w:after="0"/>
              <w:rPr>
                <w:sz w:val="20"/>
                <w:szCs w:val="20"/>
                <w:color w:val="auto"/>
              </w:rPr>
            </w:pPr>
            <w:r>
              <w:rPr>
                <w:rFonts w:ascii="Arial" w:cs="Arial" w:eastAsia="Arial" w:hAnsi="Arial"/>
                <w:sz w:val="18"/>
                <w:szCs w:val="18"/>
                <w:color w:val="auto"/>
              </w:rPr>
              <w:t>Base Salary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160,000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Accrued Bonus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94,194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94,194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860" w:type="dxa"/>
            <w:vAlign w:val="bottom"/>
            <w:gridSpan w:val="3"/>
          </w:tcPr>
          <w:p>
            <w:pPr>
              <w:ind w:left="1800"/>
              <w:spacing w:after="0"/>
              <w:rPr>
                <w:sz w:val="20"/>
                <w:szCs w:val="20"/>
                <w:color w:val="auto"/>
              </w:rPr>
            </w:pPr>
            <w:r>
              <w:rPr>
                <w:rFonts w:ascii="Arial" w:cs="Arial" w:eastAsia="Arial" w:hAnsi="Arial"/>
                <w:sz w:val="18"/>
                <w:szCs w:val="18"/>
                <w:color w:val="auto"/>
              </w:rPr>
              <w:t>COBRA Reimbursement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Accelerated Vesting</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1,423,675</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1,423,675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860" w:type="dxa"/>
            <w:vAlign w:val="bottom"/>
            <w:gridSpan w:val="3"/>
          </w:tcPr>
          <w:p>
            <w:pPr>
              <w:ind w:left="180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1,423,675</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254,194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1,845,035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Darien Spencer</w:t>
            </w:r>
          </w:p>
        </w:tc>
        <w:tc>
          <w:tcPr>
            <w:tcW w:w="486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Accelerated Vesting</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1,262,435</w:t>
            </w:r>
          </w:p>
        </w:tc>
        <w:tc>
          <w:tcPr>
            <w:tcW w:w="18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Nathan Dickerman</w:t>
            </w:r>
          </w:p>
        </w:tc>
        <w:tc>
          <w:tcPr>
            <w:tcW w:w="4860" w:type="dxa"/>
            <w:vAlign w:val="bottom"/>
            <w:gridSpan w:val="3"/>
          </w:tcPr>
          <w:p>
            <w:pPr>
              <w:ind w:left="1800"/>
              <w:spacing w:after="0"/>
              <w:rPr>
                <w:sz w:val="20"/>
                <w:szCs w:val="20"/>
                <w:color w:val="auto"/>
              </w:rPr>
            </w:pPr>
            <w:r>
              <w:rPr>
                <w:rFonts w:ascii="Arial" w:cs="Arial" w:eastAsia="Arial" w:hAnsi="Arial"/>
                <w:sz w:val="18"/>
                <w:szCs w:val="18"/>
                <w:color w:val="auto"/>
              </w:rPr>
              <w:t>Base Salary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162,500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COBRA Reimbursement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3,583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860" w:type="dxa"/>
            <w:vAlign w:val="bottom"/>
            <w:gridSpan w:val="3"/>
          </w:tcPr>
          <w:p>
            <w:pPr>
              <w:ind w:left="1800"/>
              <w:spacing w:after="0"/>
              <w:rPr>
                <w:sz w:val="20"/>
                <w:szCs w:val="20"/>
                <w:color w:val="auto"/>
              </w:rPr>
            </w:pPr>
            <w:r>
              <w:rPr>
                <w:rFonts w:ascii="Arial" w:cs="Arial" w:eastAsia="Arial" w:hAnsi="Arial"/>
                <w:sz w:val="18"/>
                <w:szCs w:val="18"/>
                <w:color w:val="auto"/>
              </w:rPr>
              <w:t>Accelerated Vesting</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3,358,144</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3,358,144</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80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3,358,144</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166,083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3,690,310</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Adam Dolinko</w:t>
            </w:r>
          </w:p>
        </w:tc>
        <w:tc>
          <w:tcPr>
            <w:tcW w:w="4860" w:type="dxa"/>
            <w:vAlign w:val="bottom"/>
            <w:gridSpan w:val="3"/>
          </w:tcPr>
          <w:p>
            <w:pPr>
              <w:ind w:left="1800"/>
              <w:spacing w:after="0"/>
              <w:rPr>
                <w:sz w:val="20"/>
                <w:szCs w:val="20"/>
                <w:color w:val="auto"/>
              </w:rPr>
            </w:pPr>
            <w:r>
              <w:rPr>
                <w:rFonts w:ascii="Arial" w:cs="Arial" w:eastAsia="Arial" w:hAnsi="Arial"/>
                <w:sz w:val="18"/>
                <w:szCs w:val="18"/>
                <w:color w:val="auto"/>
              </w:rPr>
              <w:t>Accelerated Vesting</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3,165,219</w:t>
            </w:r>
          </w:p>
        </w:tc>
        <w:tc>
          <w:tcPr>
            <w:tcW w:w="18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3,165,219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160" w:hanging="424"/>
        <w:spacing w:after="0" w:line="286"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Constitutes the value accelerated vesting that occurs automatically upon a change in control in the event equity awards are not assumed by an acquirer.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 Ms. Brunelle is entitled to 50% accelerated vesting upon a change in control if equity awards are assumed.</w:t>
      </w:r>
    </w:p>
    <w:p>
      <w:pPr>
        <w:spacing w:after="0" w:line="1"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Constitutes amounts that become payable to (a) Ms. Brunelle in the event that, on December 31, 2021, we had terminated her employment without cause or she had resigned for good reason prior to, or more than 12 months after, a change in control and (b) Mr. Dickerman and Mr. Dolinko in the event that, on December 31, 2021, we had terminated their employment without cause or they had resigned for good reason more than 90 days prior to or more than 12 months after a change in control.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w:t>
      </w:r>
    </w:p>
    <w:p>
      <w:pPr>
        <w:ind w:left="540" w:right="20" w:hanging="424"/>
        <w:spacing w:after="0" w:line="270"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Constitutes amounts that become payable to (a) Ms. Brunelle in the event that, on December 31, 2021, we had terminated her employment without cause or she had resigned for good reason prior to, or more than 12 months after, a change in control and (b) Mr. Dickerman and Mr. Dolinko in the event that, on December 31, 2021, we had terminated their employment without cause or they had resigned for good reason more than 90 days prior to or more than 12 months after a change in control.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our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fiscal 2021, directors who were executives of the Company were not eligible to receive additional compensation for their services as directors.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We maintain the Non-Employee Director Compensation Program for our non-employee directors. Pursuant to the Non-Employee Director Compensation Program, as amended in 2021, our non-employee directors receive cash compensation as follows:</w:t>
      </w:r>
    </w:p>
    <w:p>
      <w:pPr>
        <w:spacing w:after="0" w:line="5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non-employee director receives an annual cash retainer in the amount of $40,000 per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chairperson of the board of directors receives an additional annual cash retainer in the amount of $51,250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Lead Director receives an additional annual cash retainer in the amount of $25,000 per year.</w:t>
      </w:r>
    </w:p>
    <w:p>
      <w:pPr>
        <w:spacing w:after="0" w:line="130" w:lineRule="exact"/>
        <w:rPr>
          <w:rFonts w:ascii="Arial" w:cs="Arial" w:eastAsia="Arial" w:hAnsi="Arial"/>
          <w:sz w:val="18"/>
          <w:szCs w:val="18"/>
          <w:color w:val="auto"/>
        </w:rPr>
      </w:pPr>
    </w:p>
    <w:p>
      <w:pPr>
        <w:ind w:left="1080" w:right="560" w:hanging="532"/>
        <w:spacing w:after="0" w:line="28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chairperson of the audit committee receives additional annual cash compensation in the amount of $20,000 per year for such chairperson’s service on the audit committee. Each non-chairperson member of the audit committee receives additional annual cash compensation in the amount of $10,000 per year for such member’s service on the audit committee.</w:t>
      </w:r>
    </w:p>
    <w:p>
      <w:pPr>
        <w:spacing w:after="0" w:line="70"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chairperson of the compensation committee receives additional annual cash compensation in the amount of $15,000 per year for such chairperson’s service on the compensation committee. Each non-chairperson member of the compensation committee receives additional annual cash compensation in the amount of $6,000 per year for such member’s service on the compensation committee.</w:t>
      </w:r>
    </w:p>
    <w:p>
      <w:pPr>
        <w:spacing w:after="0" w:line="54"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chairperson of the corporate governance committee receives additional annual cash compensation in the amount of $10,000 per year for such chairperson’s service on the corporate governance committee. Each non-chairperson member of the corporate governance committee receives additional annual cash compensation in the amount of $5,000 per year for such member’s service on the corporate governance committee.</w:t>
      </w:r>
    </w:p>
    <w:p>
      <w:pPr>
        <w:spacing w:after="0" w:line="92"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non-employee director may also elect to receive all or part of his or her annual cash retainer in the form of restricted stock units under our 2021 Incentive Award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and have a grant date fair value equal to the amount of the applicable portion of the annual cash retainer.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Non-Employee Director Compensation Program, upon the initial appointment or election of a non-employee director, the director will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automatically be granted (a) an award of restricted stock units with respect to a number of shares of our common stock calculated by dividing (i)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 by (ii) the fair market value of a share of our common stock as of the date of grant that vests in equal quarterly installments over three years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(b) an award of restricted stock units with respect to a number of shares of our common stock calculated by dividing (i) the product of $175,000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multiplied times a fraction, the numerator of which is the number of full months between the date of appointment or election and the scheduled date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next annual stockholder meeting, and the denominator of which is 12, by (ii) the fair market value of a share our common stock as of the date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grant that vests in equal quarterly installments through the date of the next annual stockholders meeting. Additionally, on the date of each annual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meeting, each non-employee director automatically will be granted an award of restricted stock units with respect to a number of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calculated by dividing (a) $175,000 by (b) the fair market value of our common stock as of the date of grant that vests in equal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quarterly installments through the earlier of the first anniversary of the date of grant or the next annual stockholders meeting.</w:t>
      </w:r>
    </w:p>
    <w:p>
      <w:pPr>
        <w:spacing w:after="0" w:line="21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Additionally, the Non-Employee Director Compensation Program provides that non-employee directors may elect to defer all or part of the settlement of restricted stock units granted to them.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86"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the event of a change in control, all restricted stock units and other equity-based awards held by any non-employee director, will vest immediately prior to such change in control.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Table for Fiscal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contains information concerning the compensation of our non-employee directors in fiscal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Fees Earned</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Awards</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5200" w:type="dxa"/>
            <w:vAlign w:val="bottom"/>
            <w:gridSpan w:val="2"/>
            <w:vMerge w:val="continue"/>
          </w:tcPr>
          <w:p>
            <w:pPr>
              <w:spacing w:after="0"/>
              <w:rPr>
                <w:sz w:val="13"/>
                <w:szCs w:val="13"/>
                <w:color w:val="auto"/>
              </w:rPr>
            </w:pPr>
          </w:p>
        </w:tc>
        <w:tc>
          <w:tcPr>
            <w:tcW w:w="13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Cash ($)</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3"/>
                <w:szCs w:val="13"/>
                <w:color w:val="auto"/>
              </w:rPr>
            </w:pPr>
          </w:p>
        </w:tc>
        <w:tc>
          <w:tcPr>
            <w:tcW w:w="1160" w:type="dxa"/>
            <w:vAlign w:val="bottom"/>
          </w:tcPr>
          <w:p>
            <w:pPr>
              <w:ind w:left="420"/>
              <w:spacing w:after="0" w:line="158" w:lineRule="exact"/>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Jorge del Calvo</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47,076</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453,863</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500,939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Emmanuel Hernandez</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53,350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453,361</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506,711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Heystee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39,336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3,560,688</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3,600,024</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Sundari Mitra</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44,995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454,184</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499,179</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Remy W. Trafelet.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40,417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Karin Rådström(2)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6,970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364,018</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370,988</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Bass(3)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16,879,515</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11,931,096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28,829,731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and stock options granted during fiscal 2021 computed in accordance with ASC Topic 718, rather than the amounts paid to or realized by the named individual. We provide information regarding the assumptions used to calculate the value of all stock awards and option awards made to named executive officers in Note 12 of our financial statements included in this prospectus.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and unvested stock awards held as of December 31, 2021 by each non-employee director who was serving as of December 31, 2021.</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48"/>
        </w:trPr>
        <w:tc>
          <w:tcPr>
            <w:tcW w:w="586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End</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Jorge del Calvo</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Emmanuel Hernandez</w:t>
            </w:r>
          </w:p>
        </w:tc>
        <w:tc>
          <w:tcPr>
            <w:tcW w:w="1620" w:type="dxa"/>
            <w:vAlign w:val="bottom"/>
          </w:tcPr>
          <w:p>
            <w:pPr>
              <w:jc w:val="right"/>
              <w:spacing w:after="0"/>
              <w:rPr>
                <w:sz w:val="20"/>
                <w:szCs w:val="20"/>
                <w:color w:val="auto"/>
              </w:rPr>
            </w:pPr>
            <w:r>
              <w:rPr>
                <w:rFonts w:ascii="Arial" w:cs="Arial" w:eastAsia="Arial" w:hAnsi="Arial"/>
                <w:sz w:val="18"/>
                <w:szCs w:val="18"/>
                <w:color w:val="auto"/>
              </w:rPr>
              <w:t>44,714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Susan Heystee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356,498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Sundari Mitra</w:t>
            </w:r>
          </w:p>
        </w:tc>
        <w:tc>
          <w:tcPr>
            <w:tcW w:w="1620" w:type="dxa"/>
            <w:vAlign w:val="bottom"/>
          </w:tcPr>
          <w:p>
            <w:pPr>
              <w:jc w:val="right"/>
              <w:spacing w:after="0"/>
              <w:rPr>
                <w:sz w:val="20"/>
                <w:szCs w:val="20"/>
                <w:color w:val="auto"/>
              </w:rPr>
            </w:pPr>
            <w:r>
              <w:rPr>
                <w:rFonts w:ascii="Arial" w:cs="Arial" w:eastAsia="Arial" w:hAnsi="Arial"/>
                <w:sz w:val="18"/>
                <w:szCs w:val="18"/>
                <w:color w:val="auto"/>
              </w:rPr>
              <w:t>43,523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Remy W. Trafelet.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Karin Rådström</w:t>
            </w:r>
          </w:p>
        </w:tc>
        <w:tc>
          <w:tcPr>
            <w:tcW w:w="1620" w:type="dxa"/>
            <w:vAlign w:val="bottom"/>
          </w:tcPr>
          <w:p>
            <w:pPr>
              <w:jc w:val="right"/>
              <w:spacing w:after="0"/>
              <w:rPr>
                <w:sz w:val="20"/>
                <w:szCs w:val="20"/>
                <w:color w:val="auto"/>
              </w:rPr>
            </w:pPr>
            <w:r>
              <w:rPr>
                <w:rFonts w:ascii="Arial" w:cs="Arial" w:eastAsia="Arial" w:hAnsi="Arial"/>
                <w:sz w:val="18"/>
                <w:szCs w:val="18"/>
                <w:color w:val="auto"/>
              </w:rPr>
              <w:t>51,920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Rådström commenced service on our board of directors in October 2021.</w:t>
      </w:r>
    </w:p>
    <w:p>
      <w:pPr>
        <w:spacing w:after="0" w:line="23"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Bass forfeited all of the restricted stock units, performance stock units and options granted to him in connection with his cessation of service on our board of directors in June 2021.</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consummation of the Business Combination in March 2021, each of Susan Heystee, Sundari Mitra, Jorge del Calvo and Emmanuel Hernandez were granted awards of 22,696 and 15,446 restricted stock units, which vest as to 1/12th and 1/4th, respectively, of the number of restricted stock units on each quarterly anniversary of the consummation of the Business Combination, subject to the holder’s continued service to us through the vesting date.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connection with the commencement of her service on our board of directors in October 2021, Ms. Rådström was automatically granted awards of 41,667 and 9,073 restricted stock units, which vest as to 1/12th and 1/2, respectively, of the number of restricted stock units on each quarterly anniversary of the date of grant, subject to the holder’s continued service to us through the vesting date.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8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2021, Ms. Heystee was awarded 302,717 restricted stock units in connection with services she provided to us as an independent contractor serving as our interim chief revenue officer.</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February 2021, Old Ouster entered into an employment offer letter agreement with Carl Bass. Under the terms of his agreement, Mr. Bass served as senior advisor to Old Ouster and, following the consummation of the Business Combination, the chairman of our board of directors. Under the agreement, Mr. Bass received an annual base salary of $58,240. On March 11, 2021, Mr. Bass was granted three equity awards comprised of:</w:t>
      </w:r>
    </w:p>
    <w:p>
      <w:pPr>
        <w:spacing w:after="0" w:line="54" w:lineRule="exact"/>
        <w:rPr>
          <w:sz w:val="20"/>
          <w:szCs w:val="20"/>
          <w:color w:val="auto"/>
        </w:rPr>
      </w:pPr>
    </w:p>
    <w:p>
      <w:pPr>
        <w:ind w:left="1080" w:right="1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award of 807,246 restricted stock units that vest as to 20% of the total number of restricted stock units subject to the award on each of the first five anniversaries of the date Mr. Bass commenced employment with Old Ouster, February 15, 2021 (the “Start Date”), subject to his continued employment through the applicable vesting date;</w:t>
      </w:r>
    </w:p>
    <w:p>
      <w:pPr>
        <w:spacing w:after="0" w:line="89"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option to purchase 1,614,492 shares of our common stock with an exercise price equal to $12, which was the fair market value of our common stock on the date of grant that vest as to 20% of the total number of shares of our common stock subject to the option on each of the first five anniversaries of the Start Date, subject to his continued employment through the applicable vesting date. Notwithstanding the vesting of the option, the option will not be exercisable unless and until the closing trading price per share of Ouster common stock equals or exceeds 130% of the exercise price per share of the option for 30 consecutive trading days (the “Stock Price Condition”) and if the Stock Price Condition is not met on or prior to the fifth anniversary of the date of grant, the option would terminate for no consideration; and</w:t>
      </w:r>
    </w:p>
    <w:p>
      <w:pPr>
        <w:spacing w:after="0" w:line="10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award of 807,246 performance stock units that vest, subject to his continued employment through the applicable vesting date, as to 25% of the total number of performance stock units the first time the closing trading price per share of Ousters common stock exceeds the following per share stock price targets for at least 30 consecutive trading days on or after the following anniversaries of the date of grant:</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$18 on or after the first anniversary of the date of grant,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 on or after the second anniversary of the date of grant,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$30 on or after the third anniversary of the date of grant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 on or after the fourth anniversary of the date of grant;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performance stock units that have not vested as of the fifth anniversary of the date of grant will terminate for no consideration.</w:t>
      </w:r>
    </w:p>
    <w:p>
      <w:pPr>
        <w:spacing w:after="0" w:line="23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Mr. Bass forfeited all of his restricted stock units, performance stock units and options when he resigned from his service on our board of directors in June 2021.</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Each of Mses. Heystee, Mitra and Rådström and Messrs. del Calvo and Hernandez and Remy Trafelet elected to receive all of her or his annual cash retainer in the form of restricted stock units. In addition, each of Mses. Mitra and Rådström and Messrs. del Calvo, Hernandez and Trafelet elected to defer all of the settlement of restricted stock units granted to them in accordance with the Non-Employee Director Compensation Program.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year ended December 31, 2021, Emmanuel Hernandez, Sundari Mitra, Jorge del Calvo and Susan Heystee served on the Compensation Committee of the Board. During the year ended December 31, 2021, Susan Heystee served as Interim Chief Revenue Officer of the Company. Ms. Heystee did not serve on the Compensation Committee during the period that she served as Interim Chief Revenue Officer and the Board has determined Ms. Heystee to be independent for purposes of services on the Compensation Committee subsequent to her leaving the Interim Chief Revenue Officer role.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86"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Ouster has not historically maintained a formal non-employee director compensation program but has made stock and option grants to non-employee directors when determined appropriate.</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July 2020, due to declines in the fair market value of Ouster common stock, our board of directors approved the repricing of all outstanding stock options with exercise prices of $0.26 to $5.96 that were held by then existing service providers, including our directors, to $0.13 per share, which our board of directors determined was the fair market value of Ouster common stock on the date of the repricing. In connection with the repricing, options held by Susan Heystee that were originally granted in October 2018 and December 2019 were repriced to $0.13 per share.</w:t>
      </w:r>
    </w:p>
    <w:p>
      <w:pPr>
        <w:spacing w:after="0" w:line="15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Messrs. Pacala and Frichtl do not receive additional compensation for their service as directors, and the compensation provided to them as employees is set forth in the Summary Compensation Table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all of the compensation awarded to, earned by or paid to our non-employee directors during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Fees Earned or</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40" w:type="dxa"/>
            <w:vAlign w:val="bottom"/>
            <w:vMerge w:val="restart"/>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52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5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56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Susan Heystee</w:t>
            </w:r>
          </w:p>
        </w:tc>
        <w:tc>
          <w:tcPr>
            <w:tcW w:w="94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88,547</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929</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89,476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All Other Non-Employee Directors(3)</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160" w:hanging="424"/>
        <w:spacing w:after="0" w:line="25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awards granted to Ms. Heystee computed in accordance with FASB ASC Topic 718. Assumptions used in the calculation of these amounts are included in Note 11 to our unaudited condensed consolidated financial statements included in this prospectus. As of December 31, 2020, Ms. Heystee held 82,950 shares of restricted stock, including 8,437 shares of restricted stock acquired upon exercise of an option prior to vesting. No other stock awards were held by our non-employee directors as of December 31, 2020.</w:t>
      </w:r>
    </w:p>
    <w:p>
      <w:pPr>
        <w:spacing w:after="0" w:line="3" w:lineRule="exact"/>
        <w:rPr>
          <w:rFonts w:ascii="Arial" w:cs="Arial" w:eastAsia="Arial" w:hAnsi="Arial"/>
          <w:sz w:val="18"/>
          <w:szCs w:val="18"/>
          <w:color w:val="auto"/>
        </w:rPr>
      </w:pPr>
    </w:p>
    <w:p>
      <w:pPr>
        <w:jc w:val="both"/>
        <w:ind w:left="540" w:right="40" w:hanging="424"/>
        <w:spacing w:after="0" w:line="281"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reported represent the aggregate incremental fair value of options held by Ms. Heystee that were repriced on July 17, 2020, computed in accordance with FASB ASC Topic 718. Assumptions used in the calculation of these amounts are included in Note 11 to our unaudited condensed consolidated financial statements included in this prospectus. No options were held by our other non-employee directors as of December 31, 2020.</w:t>
      </w:r>
    </w:p>
    <w:p>
      <w:pPr>
        <w:spacing w:after="0" w:line="1" w:lineRule="exact"/>
        <w:rPr>
          <w:rFonts w:ascii="Arial" w:cs="Arial" w:eastAsia="Arial" w:hAnsi="Arial"/>
          <w:sz w:val="16"/>
          <w:szCs w:val="16"/>
          <w:color w:val="auto"/>
        </w:rPr>
      </w:pPr>
    </w:p>
    <w:p>
      <w:pPr>
        <w:ind w:left="540" w:right="100" w:hanging="424"/>
        <w:spacing w:after="0" w:line="26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Non-Employee Directors as of December 31, 2020 included David Blau, Zachary Frankel, Krishna Kantheti, Isaac Pritzker, Ashok Rao and Riaz Valani.</w:t>
      </w:r>
    </w:p>
    <w:p>
      <w:pPr>
        <w:spacing w:after="0" w:line="18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Upon the consummation of the Business Combination, we adopted a compensation program for Ouster non-employee directors, or the Director Compensation Program. Pursuant to the Director Compensation Program, our non-employee directors receive cash compensation as follows:</w:t>
      </w:r>
    </w:p>
    <w:p>
      <w:pPr>
        <w:spacing w:after="0" w:line="29"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non-employee director receives an annual cash retainer in the amount of $40,000 per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Lead Director receives an additional annual cash retainer in the amount of $25,000 per year.</w:t>
      </w:r>
    </w:p>
    <w:p>
      <w:pPr>
        <w:spacing w:after="0" w:line="130" w:lineRule="exact"/>
        <w:rPr>
          <w:rFonts w:ascii="Arial" w:cs="Arial" w:eastAsia="Arial" w:hAnsi="Arial"/>
          <w:sz w:val="18"/>
          <w:szCs w:val="18"/>
          <w:color w:val="auto"/>
        </w:rPr>
      </w:pPr>
    </w:p>
    <w:p>
      <w:pPr>
        <w:ind w:left="1080" w:right="580" w:hanging="424"/>
        <w:spacing w:after="0" w:line="286"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chairperson of the audit committee receives additional annual cash compensation in the amount of $20,000 per year for such chairperson’s service on the audit committee. Each non-chairperson member of the audit committee receives additional annual cash compensation in the amount of $10,000 per year for such member’s service on the audit committee.</w:t>
      </w:r>
    </w:p>
    <w:p>
      <w:pPr>
        <w:spacing w:after="0" w:line="70" w:lineRule="exact"/>
        <w:rPr>
          <w:rFonts w:ascii="Arial" w:cs="Arial" w:eastAsia="Arial" w:hAnsi="Arial"/>
          <w:sz w:val="17"/>
          <w:szCs w:val="17"/>
          <w:color w:val="auto"/>
        </w:rPr>
      </w:pPr>
    </w:p>
    <w:p>
      <w:pPr>
        <w:ind w:left="1080" w:right="120" w:hanging="424"/>
        <w:spacing w:after="0" w:line="31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chairperson of the compensation committee receives additional annual cash compensation in the amount of $15,000 per year for such chairperson’s service on the compensation committee. Each non-chairperson member of the compensation committee receives additional annual cash compensation in the amount of $6,000 per year for such member’s service on the compensation committee.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86"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chairperson of the corporate governance committee receives additional annual cash compensation in the amount of $10,000 per year for such chairperson’s service on the corporate governance committee. Each non-chairperson member of the corporate governance committee receives additional annual cash compensation in the amount of $5,000 per year for such member’s service on the corporate governance committee.</w:t>
      </w:r>
    </w:p>
    <w:p>
      <w:pPr>
        <w:spacing w:after="0" w:line="92"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non-employee director may also elect to receive all or part of his or her annual cash retainer in the form of restricted stock units under our 2021 Incentive Award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and have a grant date fair value equal to the amount of the applicable portion of the annual cash retainer.</w:t>
      </w:r>
    </w:p>
    <w:p>
      <w:pPr>
        <w:spacing w:after="0" w:line="83"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Additionally, the Director Compensation Program provides that non-employee directors may elect to defer all or part of the settlement of restricted stock units granted to them.</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Director Compensation Program, upon the initial appointment or election of a non-employee director, the director will automatically be granted (a) an award of restricted stock units with respect to a number of shares of Ouster common stock calculated by dividing (i) $300,000 by (ii) the fair market value of a share of Ouster common stock as of the date of grant that vests in equal quarterly installments over three years and (b) an award of restricted stock units with respect to a number of shares of Ouster common stock calculated by dividing (i) the product of $175,000 multiplied times a fraction, the numerator of which is the number of full months between the date of appointment or election and the scheduled date of Ouster’s next annual stockholder meeting, and the denominator of which is 12, by (ii) the fair market value of a share Ouster’s common stock as of the date of grant that vests in equal quarterly installments through the date of the next annual stockholders meeting. Additionally, on the date of each annual stockholders meeting, each non-employee director automatically will be granted an award of restricted stock units with respect to a number of shares of Ouster common stock calculated by dividing (a) $175,000 by (b) the fair market value of Ouster common stock as of the date of grant that vests in equal quarterly installments through the earlier of the first anniversary of the date of grant or the next annual stockholders meeting.</w:t>
      </w:r>
    </w:p>
    <w:p>
      <w:pPr>
        <w:spacing w:after="0" w:line="168"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the event of a change in control (as defined in the Director Compensation Program), each Initial Grant and Annual Grant, along with any restricted stock units or equity-based awards held by any non-employee director, will vest immediately prior to such change in control.</w:t>
      </w:r>
    </w:p>
    <w:p>
      <w:pPr>
        <w:spacing w:after="0" w:line="124"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connection with the consummation of the Business Combination, each of Susan Heystee, Sundari Mitra, Jorge del Calvo and Emmanuel Hernandez were granted an award of 22,696 restricted stock units, which was calculated by dividing $300,000 by the average per share closing trading price of Ouster common stock over the most recent 30 trading days as of March 11, 2021 (the “30-Day Average”). The restricted stock units vest as to 1/12th of the number of restricted stock units on each quarterly anniversary of the consummation of the Business Combination, subject to the holder’s continued service to Ouster through each such vesting date. In addition, Mses. Heystee and Mitra and Messrs. del Calvo and Hernandez were each granted an additional award of 15,446 restricted stock units, which was calculated by dividing $175,000 by the 30-Day Average, and prorating based on the 14 month period expected before Ouster’s first annual stockholder meeting and which vest as to 1/4th of number of restricted stock units on each quarterly anniversary of the consummation of the Business Combination, subject to the holder’s continued service to Ouster through each such vesting date.</w:t>
      </w:r>
    </w:p>
    <w:p>
      <w:pPr>
        <w:spacing w:after="0" w:line="18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Each of Mses. Heystee and Mitra, Messrs. del Calvo and Hernandez and Remy Trafelet elected to receive all of his or her annual cash retainer in the form of restricted stock units. In addition, each of Ms. Mitra and Messrs. del Calvo, Hernandez and Trafelet elected to defer all of the settlement of restricted stock units granted to them in accordance with the Director Compensation Program.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the beneficial ownership of our voting shares by:</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otherwise indicated, the percentage ownership of our voting securities is based on 172,578,717 shares of our common stock issued and outstanding as of February 15, 2022.</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the voting securities beneficially owned by them.</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Owner(1)</w:t>
            </w:r>
          </w:p>
        </w:tc>
        <w:tc>
          <w:tcPr>
            <w:tcW w:w="3400" w:type="dxa"/>
            <w:vAlign w:val="bottom"/>
            <w:vMerge w:val="restart"/>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8"/>
        </w:trPr>
        <w:tc>
          <w:tcPr>
            <w:tcW w:w="260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14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90"/>
        </w:trPr>
        <w:tc>
          <w:tcPr>
            <w:tcW w:w="6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5% Holders</w:t>
            </w: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Banyan Venture Holdings LLC(2)</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25,572,646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Tao Invest II LLC(3)</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11,253,152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Sharing LLC Ouster 2 PS and affiliated entities(4)</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10,886,622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The Vanguard Group(5)</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10,634,089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Angus Pacala(6)</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7,655,631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Adam Dolinko</w:t>
            </w: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Nathan Dickerman(7)</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161,449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Darien Spencer(8)</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1,130,780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Anna Brunelle(9)</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1,407,092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Jorge del Calvo(10)</w:t>
            </w: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Emmanuel Hernandez(11)</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Susan Heystee(12)</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434,519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Sundari Mitra(10)</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Karin Rådström(13)</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13,930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Remy Trafelet(10)(14)</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1,949,243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All directors and executive officers as a group (12 individuals)(15)</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18,499,123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those listed in the table above is 350 Treat Avenue, San Francisco, CA 94110.</w:t>
      </w:r>
    </w:p>
    <w:p>
      <w:pPr>
        <w:spacing w:after="0" w:line="20"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 Schedule 13G/A filed with the SEC on February 11, 2022. Consists of 25,572,646 shares over which Banyan Venture Holdings LLC has shared voting and dispositive power. Krishna Kantheti is the manager of Banyan Venture Holdings LLC. As a result, Mr. Kantheti may be deemed to beneficially own the shares held by Banyan Venture Holdings LLC. The address for Banyan Venture Holdings LLC and Mr. Kantheti is 500 108th Ave NE, Suite 1100, Bellevue, WA 98004.</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14, 2022. Tao Invest II LLC (“Tao Invest”) has shared voting and dispositive power over 11,253,152 shares of our common stock. The manager of Tao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color w:val="auto"/>
        </w:rPr>
        <w:t>Invest is Tao Capital Management LP (“LP”). The business address of Tao Invest and LP is One Letterman Drive, Suite C4-420, San Francisco, California 94129.</w:t>
      </w:r>
    </w:p>
    <w:p>
      <w:pPr>
        <w:spacing w:after="0" w:line="1" w:lineRule="exact"/>
        <w:rPr>
          <w:sz w:val="20"/>
          <w:szCs w:val="20"/>
          <w:color w:val="auto"/>
        </w:rPr>
      </w:pPr>
    </w:p>
    <w:p>
      <w:pPr>
        <w:ind w:left="540" w:right="80" w:hanging="424"/>
        <w:spacing w:after="0" w:line="28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a Schedule 13G filed with the SEC on September 3, 2021. Sharing LLC Ouster 2 PS (“Sharing 2”) has shared voting and dispositive power over 6,726,512 shares of our common stock, Sharing LLC Ouster 3 PS (“Sharing 3”) has shared voting and dispositive power over 3,703,221 shares of our common stock, Sharing LLC Ouster PS (“Sharing”) has shared voting and dispositive power over 456,889 shares of our common stock and Jacob Goldfield has shared voting and dispositive power over 10,886,622 shares of our common stock. Because of the relationship of Mr. Goldfield to Sharing, Sharing 2 and Sharing 3, Mr. Goldfield may be deemed to beneficially own the shares of common stock held by such entities. The address for each of the foregoing entities and Mr. Goldfield is 33 Union Square West New York, NY 10003.</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10, 2022. The Vanguard Group has shared voting power over 257,926 shares, sole dispositive power over 10,349,874 shares and shared dispositive power over 284,215 shares of our common stock. The address for The Vanguard Group is 100 Vanguard Blvd., Malvern, PA 19355.</w:t>
      </w:r>
    </w:p>
    <w:p>
      <w:pPr>
        <w:spacing w:after="0" w:line="1"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4,385,807 shares of common stock and 3,269,824 shares of common stock issuable upon exercise of options exercisable as of or within 60 days of February 15, 2022.</w:t>
      </w:r>
    </w:p>
    <w:p>
      <w:pPr>
        <w:ind w:left="540" w:hanging="424"/>
        <w:spacing w:after="0"/>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Consists of 161,449 shares of common stock issuable upon exercise of options exercisable as of or within 60 days of February 15, 2022.</w:t>
      </w:r>
    </w:p>
    <w:p>
      <w:pPr>
        <w:spacing w:after="0" w:line="20"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1,103,361 shares of common stock held directly and 27,419 shares of common stock issuable upon vesting of restricted stock units that will vest as of or within 60 days of February 15, 2022.</w:t>
      </w:r>
    </w:p>
    <w:p>
      <w:pPr>
        <w:ind w:left="540" w:right="1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1,372,972 shares of common stock held directly and 34,120 shares of common stock issuable upon vesting of restricted stock units that will vest as of or within 60 days of February 15, 2022.</w:t>
      </w: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Director has elected to defer settlement of equity compensation such that no shares will be settled as of or within 60 days of February 15, 2022.</w:t>
      </w:r>
    </w:p>
    <w:p>
      <w:pPr>
        <w:spacing w:after="0" w:line="32"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29,583 shares of common stock issuable upon deferred settlement of previously vested or to be vested awards of restricted stock units as of or within 60 days of February 15, 2022.</w:t>
      </w:r>
    </w:p>
    <w:p>
      <w:pPr>
        <w:ind w:left="540" w:right="10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428,766 shares of common stock and 5,753 shares of common stock issuable upon vesting of restricted stock units as of or within 60 days of February 15, 2022.</w:t>
      </w:r>
    </w:p>
    <w:p>
      <w:pPr>
        <w:ind w:left="540" w:right="2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7,554 shares of common stock and 6,376 shares of common stock issuable upon vesting of restricted stock units as of or within 60 days of February 15, 2022.</w:t>
      </w: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1,557,576 shares of common stock held directly and 391,667 shares of common stock held by the Remy W. Trafelet Revocable Trust.</w:t>
      </w:r>
    </w:p>
    <w:p>
      <w:pPr>
        <w:spacing w:after="0" w:line="32" w:lineRule="exact"/>
        <w:rPr>
          <w:rFonts w:ascii="Arial" w:cs="Arial" w:eastAsia="Arial" w:hAnsi="Arial"/>
          <w:sz w:val="16"/>
          <w:szCs w:val="16"/>
          <w:color w:val="auto"/>
        </w:rPr>
      </w:pPr>
    </w:p>
    <w:p>
      <w:pPr>
        <w:ind w:left="540" w:hanging="424"/>
        <w:spacing w:after="0" w:line="323"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12,597,911 shares of common stock 5,901,212 shares of common stock issuable upon deferred settlement of previously vested awards of restricted stock units, vesting of restricted stock units or exercise of options exercisable as of or within 60 days of February 15, 2022.</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8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HOLDERS</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This prospectus relates to (i) the resale of 92,151,523 shares of common stock issued in connection with the Merger by certain of the Registered Holders, (ii) the resale of 5,168,333 shares of common stock issued in the PIPE Investment by certain of the Registered Holders, (iii) the resale of up to 152,568 shares of common stock upon the settlement of restricted stock units and (iv) the issuance by us of up to 15,999,996 shares of common stock upon the exercise of outstanding warrants. This prospectus also relates to the resale of up to 6,000,000 of our outstanding warrants originally purchased in a private placement by certain of the Registered Holders. The Registered Holders may from time to time offer and sell any or all of the shares of common stock and warrants set forth below pursuant to this prospectus and any accompanying prospectus supplement. When we refer to the “Registered Holders” in this prospectus, we mean the persons listed in the table below, and the pledgees, donees, transferees, assignees, successors, designees and others who later come to hold any of the Registered Holders’ interest in the common stock or warrants other than through a public sale.</w:t>
      </w:r>
    </w:p>
    <w:p>
      <w:pPr>
        <w:spacing w:after="0" w:line="16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following table sets forth, as of the date of this prospectus, the names of the Registered Holders, and the aggregate number of shares of common stock and warrants that the Registered Holders may offer pursuant to this prospectus. The table does not include the issuance by us of up to 9,999,996 shares of common stock upon the exercise of outstanding warrants, each of which is also covered by this prospectus.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Before the Offering</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After the Offering</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Warrants</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of</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1"/>
              </w:rPr>
              <w:t>of</w:t>
            </w: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Registered Holders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Number of</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Being</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Being</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Common</w:t>
            </w: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Number of</w:t>
            </w: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Outstanding</w:t>
            </w:r>
          </w:p>
        </w:tc>
        <w:tc>
          <w:tcPr>
            <w:tcW w:w="0" w:type="dxa"/>
            <w:vAlign w:val="bottom"/>
          </w:tcPr>
          <w:p>
            <w:pPr>
              <w:spacing w:after="0"/>
              <w:rPr>
                <w:sz w:val="1"/>
                <w:szCs w:val="1"/>
                <w:color w:val="auto"/>
              </w:rPr>
            </w:pPr>
          </w:p>
        </w:tc>
      </w:tr>
      <w:tr>
        <w:trPr>
          <w:trHeight w:val="160"/>
        </w:trPr>
        <w:tc>
          <w:tcPr>
            <w:tcW w:w="4760" w:type="dxa"/>
            <w:vAlign w:val="bottom"/>
            <w:gridSpan w:val="2"/>
            <w:vMerge w:val="continue"/>
          </w:tcPr>
          <w:p>
            <w:pPr>
              <w:spacing w:after="0"/>
              <w:rPr>
                <w:sz w:val="13"/>
                <w:szCs w:val="13"/>
                <w:color w:val="auto"/>
              </w:rPr>
            </w:pPr>
          </w:p>
        </w:tc>
        <w:tc>
          <w:tcPr>
            <w:tcW w:w="84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Warrants</w:t>
            </w:r>
          </w:p>
        </w:tc>
        <w:tc>
          <w:tcPr>
            <w:tcW w:w="84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1"/>
              </w:rPr>
              <w:t>Offered (1)</w:t>
            </w:r>
          </w:p>
        </w:tc>
        <w:tc>
          <w:tcPr>
            <w:tcW w:w="76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1"/>
              </w:rPr>
              <w:t>Offered (2)</w:t>
            </w: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Warrants</w:t>
            </w:r>
          </w:p>
        </w:tc>
        <w:tc>
          <w:tcPr>
            <w:tcW w:w="720" w:type="dxa"/>
            <w:vAlign w:val="bottom"/>
            <w:gridSpan w:val="2"/>
          </w:tcPr>
          <w:p>
            <w:pPr>
              <w:jc w:val="right"/>
              <w:ind w:right="120"/>
              <w:spacing w:after="0" w:line="140" w:lineRule="exact"/>
              <w:rPr>
                <w:sz w:val="20"/>
                <w:szCs w:val="20"/>
                <w:color w:val="auto"/>
              </w:rPr>
            </w:pPr>
            <w:r>
              <w:rPr>
                <w:rFonts w:ascii="Arial" w:cs="Arial" w:eastAsia="Arial" w:hAnsi="Arial"/>
                <w:sz w:val="13"/>
                <w:szCs w:val="13"/>
                <w:b w:val="1"/>
                <w:bCs w:val="1"/>
                <w:color w:val="auto"/>
              </w:rPr>
              <w:t>Warrants</w:t>
            </w:r>
          </w:p>
        </w:tc>
        <w:tc>
          <w:tcPr>
            <w:tcW w:w="0" w:type="dxa"/>
            <w:vAlign w:val="bottom"/>
          </w:tcPr>
          <w:p>
            <w:pPr>
              <w:spacing w:after="0"/>
              <w:rPr>
                <w:sz w:val="1"/>
                <w:szCs w:val="1"/>
                <w:color w:val="auto"/>
              </w:rPr>
            </w:pPr>
          </w:p>
        </w:tc>
      </w:tr>
      <w:tr>
        <w:trPr>
          <w:trHeight w:val="136"/>
        </w:trPr>
        <w:tc>
          <w:tcPr>
            <w:tcW w:w="15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Angus Pacala (3)</w:t>
            </w:r>
          </w:p>
        </w:tc>
        <w:tc>
          <w:tcPr>
            <w:tcW w:w="3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4,385,807</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4,385,807</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50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0"/>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Arcadia Investment Partners LLC</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Banyan Venture Holdings LLC (4)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25,572,646</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25,572,646</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BBR Absolute Return (QP), LP</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13,831</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13,831</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BBR Absolute Return 03OS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1,431</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1,431</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BBR Absolute Return, LP</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1,908</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1,908</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BBR Fixed Income Opportunities Fund LP (5)</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13,831</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13,831</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Beacon Hill Private Limited</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Blackwell Partners LLC – Series A</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165,000</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165,000</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Boothbay Absolute Return Strategies, LP (5)</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28,615</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28,615</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Boothbay Diversified Alpha Master Fund, LP (5)</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42,923</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42,923</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60" w:type="dxa"/>
            <w:vAlign w:val="bottom"/>
            <w:gridSpan w:val="2"/>
          </w:tcPr>
          <w:p>
            <w:pPr>
              <w:spacing w:after="0" w:line="130" w:lineRule="exact"/>
              <w:rPr>
                <w:sz w:val="20"/>
                <w:szCs w:val="20"/>
                <w:color w:val="auto"/>
              </w:rPr>
            </w:pPr>
            <w:r>
              <w:rPr>
                <w:rFonts w:ascii="Arial" w:cs="Arial" w:eastAsia="Arial" w:hAnsi="Arial"/>
                <w:sz w:val="14"/>
                <w:szCs w:val="14"/>
                <w:color w:val="auto"/>
                <w:w w:val="97"/>
              </w:rPr>
              <w:t>Carthona Capital FS PTY LTD ACN 600 937 933 as Trustee For The Carthona</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Ouster No.2 Trust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(ABN 17 818 905 922) (6)</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2,641,227</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2,641,227</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Carthona Capital FS PTY LTD ATF Carthona Ouster Trust</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(ABN 12 364 567 438) (6)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890,529</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890,529</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60" w:type="dxa"/>
            <w:vAlign w:val="bottom"/>
            <w:gridSpan w:val="2"/>
          </w:tcPr>
          <w:p>
            <w:pPr>
              <w:spacing w:after="0" w:line="130" w:lineRule="exact"/>
              <w:rPr>
                <w:sz w:val="20"/>
                <w:szCs w:val="20"/>
                <w:color w:val="auto"/>
              </w:rPr>
            </w:pPr>
            <w:r>
              <w:rPr>
                <w:rFonts w:ascii="Arial" w:cs="Arial" w:eastAsia="Arial" w:hAnsi="Arial"/>
                <w:sz w:val="14"/>
                <w:szCs w:val="14"/>
                <w:color w:val="auto"/>
              </w:rPr>
              <w:t>CCVF1 (HP) Services PTY LTD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(ACN 620 088 459) in its Capacity as the Trustee for the Carthona Capital</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Venture Fund (HP) No. 1 (ABN 93 305 716 604) Part A (7)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196,612</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196,612</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CCVF1 (HP) Services PTY LTD (ACN 620 088 459) in its Capacity as the</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Trustee for the Carthona Capital Venture Fund (HP) No. 1 (ABN 93 305 716</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604) Part B (6)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298,550</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298,550</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60" w:type="dxa"/>
            <w:vAlign w:val="bottom"/>
            <w:gridSpan w:val="2"/>
          </w:tcPr>
          <w:p>
            <w:pPr>
              <w:spacing w:after="0" w:line="130" w:lineRule="exact"/>
              <w:rPr>
                <w:sz w:val="20"/>
                <w:szCs w:val="20"/>
                <w:color w:val="auto"/>
              </w:rPr>
            </w:pPr>
            <w:r>
              <w:rPr>
                <w:rFonts w:ascii="Arial" w:cs="Arial" w:eastAsia="Arial" w:hAnsi="Arial"/>
                <w:sz w:val="14"/>
                <w:szCs w:val="14"/>
                <w:color w:val="auto"/>
              </w:rPr>
              <w:t>CCVF1 (HP) Services PTY LTD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(ACN 620 088 459) in its Capacity as the Trustee for the Carthona Capital</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Venture Fund (HP) No. 1 (ABN 93 305 716 604) Part C</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4,258,980</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4,258,980</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86"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Before the Offering</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After the Offering</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Number of</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Warrants</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of</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0"/>
              </w:rPr>
              <w:t>Shares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Registered Holders</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Number of</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Being</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Being</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Common</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Number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Outstanding</w:t>
            </w:r>
          </w:p>
        </w:tc>
        <w:tc>
          <w:tcPr>
            <w:tcW w:w="0" w:type="dxa"/>
            <w:vAlign w:val="bottom"/>
          </w:tcPr>
          <w:p>
            <w:pPr>
              <w:spacing w:after="0"/>
              <w:rPr>
                <w:sz w:val="1"/>
                <w:szCs w:val="1"/>
                <w:color w:val="auto"/>
              </w:rPr>
            </w:pPr>
          </w:p>
        </w:tc>
      </w:tr>
      <w:tr>
        <w:trPr>
          <w:trHeight w:val="140"/>
        </w:trPr>
        <w:tc>
          <w:tcPr>
            <w:tcW w:w="460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4"/>
              </w:rPr>
              <w:t>Stock</w:t>
            </w:r>
          </w:p>
        </w:tc>
        <w:tc>
          <w:tcPr>
            <w:tcW w:w="76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Warrants</w:t>
            </w:r>
          </w:p>
        </w:tc>
        <w:tc>
          <w:tcPr>
            <w:tcW w:w="84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8"/>
              </w:rPr>
              <w:t>Offered (1)</w:t>
            </w:r>
          </w:p>
        </w:tc>
        <w:tc>
          <w:tcPr>
            <w:tcW w:w="78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1"/>
              </w:rPr>
              <w:t>Offered (2)</w:t>
            </w: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0"/>
              </w:rPr>
              <w:t>Stock</w:t>
            </w:r>
          </w:p>
        </w:tc>
        <w:tc>
          <w:tcPr>
            <w:tcW w:w="740" w:type="dxa"/>
            <w:vAlign w:val="bottom"/>
            <w:gridSpan w:val="2"/>
          </w:tcPr>
          <w:p>
            <w:pPr>
              <w:jc w:val="right"/>
              <w:ind w:right="200"/>
              <w:spacing w:after="0" w:line="140" w:lineRule="exact"/>
              <w:rPr>
                <w:sz w:val="20"/>
                <w:szCs w:val="20"/>
                <w:color w:val="auto"/>
              </w:rPr>
            </w:pPr>
            <w:r>
              <w:rPr>
                <w:rFonts w:ascii="Arial" w:cs="Arial" w:eastAsia="Arial" w:hAnsi="Arial"/>
                <w:sz w:val="13"/>
                <w:szCs w:val="13"/>
                <w:b w:val="1"/>
                <w:bCs w:val="1"/>
                <w:color w:val="auto"/>
                <w:w w:val="92"/>
              </w:rPr>
              <w:t>Warrants</w:t>
            </w:r>
          </w:p>
        </w:tc>
        <w:tc>
          <w:tcPr>
            <w:tcW w:w="84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rPr>
              <w:t>Warrants</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0" w:type="dxa"/>
            <w:vAlign w:val="bottom"/>
            <w:gridSpan w:val="2"/>
            <w:shd w:val="clear" w:color="auto" w:fill="CCEEFF"/>
          </w:tcPr>
          <w:p>
            <w:pPr>
              <w:spacing w:after="0" w:line="103" w:lineRule="exact"/>
              <w:rPr>
                <w:sz w:val="20"/>
                <w:szCs w:val="20"/>
                <w:color w:val="auto"/>
              </w:rPr>
            </w:pPr>
            <w:r>
              <w:rPr>
                <w:rFonts w:ascii="Arial" w:cs="Arial" w:eastAsia="Arial" w:hAnsi="Arial"/>
                <w:sz w:val="11"/>
                <w:szCs w:val="11"/>
                <w:color w:val="auto"/>
              </w:rPr>
              <w:t>CCVF2 (HP) Services PTY LTD ACN 637 907 414 As Trustee For The</w:t>
            </w: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Carthona Capital Venture Fund (HP) No. 2 ABN 11 878 913 827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2,348,957</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2,348,957</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Christopher Glinski</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315,000</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Citadel Multi-Strategy Equities Master Fund Ltd. (7)</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CUIT Opportunistic Bond Fund (5)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47,692</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47,692</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Emil W. Henry (8)</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Fontinalis Capital Partners II, L.P.</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382,032</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332,032</w:t>
            </w:r>
          </w:p>
        </w:tc>
        <w:tc>
          <w:tcPr>
            <w:tcW w:w="8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GAC Acquisition LLC</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975,890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975,890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Hartree Partners LP</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400,000</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HF Fund LP</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Hiddenite Capital Master Fund LTD</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234,000</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174,600</w:t>
            </w:r>
          </w:p>
        </w:tc>
        <w:tc>
          <w:tcPr>
            <w:tcW w:w="8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C. Flores (9)</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138,636</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138,636</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Joseph S. Sambuco (10)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1,730,152</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2,100,000</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1,730,152</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2,100,000</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S. Sambuco 2012 Family Trust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154,091</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154,091</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Manny de Zarraga (11)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138,636</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138,636</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Frichtl (12)</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3,343,636</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3,343,636</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Maso Capital Investments Limited</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60,000</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OIG Ouster IV, LLC (13)</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8,058,362</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8,058,362</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Ouster Investments LLC (14)</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7,406,443</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7,406,443</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Remy W. Trafelet (15)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1,557,576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2,100,000</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1,557,576</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2,100,000</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Remy W. Trafelet Revocable Trust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391,667</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391,667</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Roger T. Mullarkey</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RTCM Holdings PTE. LTD.</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391,666</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391,666</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Schonfeld Strategic 460 Fund LLC</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Sharing LLC Ouster 2 PS (16)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6,726,512</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6,726,512</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Sharing LLC Ouster 3 PS (16)</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3,703,221</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3,703,221</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Sharing LLC Ouster PS (16)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456,889</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456,889</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Spring Creek Capital, LLC</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274,200</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274,200</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Star V Partners LLC</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Starr Commonwealth (5)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4,769</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4,769</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Tanpoint (US) Private Limited</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1,257,576</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1,800,000</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1,257,576</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1,800,000</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Tao Invest II LLC (17)</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11,253,152</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11,253,152</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Tech Opportunities LLC (18)</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Xiaoping Hu</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w:t>
            </w: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93,583,445</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6,299,200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92,151,523</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6,000,000</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506,632</w:t>
            </w:r>
          </w:p>
        </w:tc>
        <w:tc>
          <w:tcPr>
            <w:tcW w:w="8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299,200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Less than 1%.</w:t>
      </w:r>
    </w:p>
    <w:p>
      <w:pPr>
        <w:ind w:left="540" w:right="12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set forth in this column are the number of shares of common stock that may be offered by such Registered Holder using this prospectus. These amounts do not represent any other shares of our common stock that the Registered Holder may own beneficially or otherwise.</w:t>
      </w:r>
    </w:p>
    <w:p>
      <w:pPr>
        <w:ind w:left="540" w:right="44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set forth in this column are the number of warrants that may be offered by such Registered Holder using this prospectus. These amounts do not represent any other warrants that the Registered Holder may own beneficially or otherwise.</w:t>
      </w:r>
    </w:p>
    <w:p>
      <w:pPr>
        <w:ind w:left="540" w:right="24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Angus Pacala has served as the Company’s Chief Executive Officer and as a member of the board of directors since the closing of the business combination on March 11, 2021 and held the same or similar positions with Old Ouster prior to the business combination.</w:t>
      </w:r>
    </w:p>
    <w:p>
      <w:pPr>
        <w:jc w:val="both"/>
        <w:ind w:left="540" w:right="22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Krishna Kantheti is the manager of Banyan Venture Holdings LLC. As a result, Mr. Kantheti may be deemed to beneficially own the shares held by Banyan Venture Holdings LLC. Mr. Kantheti also served as a member of the board of directors of Old Ouster prior to the business combination. The address for Banyan Venture Holdings LLC is 215 NW 24th St, Suite 501, Miami FL 33127.</w:t>
      </w:r>
    </w:p>
    <w:p>
      <w:pPr>
        <w:ind w:left="540" w:right="80" w:hanging="424"/>
        <w:spacing w:after="0" w:line="226"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Acting as their investment advisor, Longfellow Investment Management Co., LLC is deemed to have investment discretion and shared voting control over these Ouster, Inc. securities beneficially owned by our clients. Interest shown consists of 47,692 shares of common stock beneficially owned by CUIT Opportunistic Bond Fund, 13,831 shares of common stock beneficially owned by BBR Fixed Income Opportunities Fund, LP, 4,769 shares of common stock beneficially owned by Starr Commonwealth, 28,615 shares of common stock beneficially owned by Boothbay Absolute Return Strategies, and LP, 42,923 shares of common stock beneficially owned by Boothbay Diversified Alpha Master Fund, LP, 13,831 shares of common stock beneficially owned by BBR Absolute Return (QP), LP, 1,908 shares of common stock beneficially owned by BBR Absolute Return, LP. The business address for Longfellow Investment Management Co., LLC is 125 High Street, Suite 832, Boston, MA 02110.</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86"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60" w:hanging="424"/>
        <w:spacing w:after="0" w:line="22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(i) 4,754,142 shares of Ouster common stock held by Carthona Capital Venture Fund (HP) No. 1 (“Carthona Fund 1”), (ii) 2,348,957 shares of Ouster common stock held by Carthona Capital Venture Fund (HP) No. 2 (“Carthona Fund 2”), (iii) 890,529 shares of Ouster common stock held by Carthona Ouster Trust (“Carthona Fund 3”) and (iv) 2,641,227 shares of Ouster common stock held by Carthona Ouster No. 2 Trust (“Carthona Fund 4” and collectively with Carthona Fund 1, Carthona Fund 2 and Carthona Fund 3, the “Carthona Funds”). Carthona Fund 1 and Carthona Fund 2 are managed by Carthona Capital FS Pty Ltd (“Carthona Manager 1”). Carthona Fund 3 and Carthona Fund 4 are managed by Carthona Capital Pty Ltd a/t/f the Carthona Capital Ventures Trust (“Carthona Manager 2”). Dean Dorrell and James Synge are the directors of Carthona Manager 1 and Carthona Manager 2. Messrs. Dorrell and Synge, as the directors of Carthona Manager 1 and Carthona Manager 2, share voting and investment power of the securities held by the Carthona Funds.</w:t>
      </w:r>
    </w:p>
    <w:p>
      <w:pPr>
        <w:spacing w:after="0" w:line="4" w:lineRule="exact"/>
        <w:rPr>
          <w:rFonts w:ascii="Arial" w:cs="Arial" w:eastAsia="Arial" w:hAnsi="Arial"/>
          <w:sz w:val="14"/>
          <w:szCs w:val="14"/>
          <w:color w:val="auto"/>
        </w:rPr>
      </w:pPr>
    </w:p>
    <w:p>
      <w:pPr>
        <w:ind w:left="540" w:right="60" w:hanging="424"/>
        <w:spacing w:after="0" w:line="238"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Pursuant to a portfolio management agreement, Citadel Advisors LLC, an investment advisor registered under the U.S. Investment Advisers Act of 1940 (“CAL”), holds the voting and dispositive power with respect to the shares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shares of common stock through their control of CAL and/or certain other affiliated entities.</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Emil W. Henry served as a director of the Company from August 25, 2020 (inception) until the closing of the business combination on March 11, 2021.</w:t>
      </w:r>
    </w:p>
    <w:p>
      <w:pPr>
        <w:ind w:left="54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James C. Flores served as a director of the Company from August 25, 2020 (inception) until the closing of the business combination on March 11, 2021.</w:t>
      </w:r>
    </w:p>
    <w:p>
      <w:pPr>
        <w:ind w:left="540" w:hanging="424"/>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Joseph S. Sambuco served as Chairman of the Company’s board of directors from June 4, 2020 (inception) until the closing of the business combination on March 11, 2021.</w:t>
      </w:r>
    </w:p>
    <w:p>
      <w:pPr>
        <w:ind w:left="54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Manny de Zarraga served as a director of the Company from August 25, 2020 (inception) until the closing of the business combination on March 11, 2021.</w:t>
      </w:r>
    </w:p>
    <w:p>
      <w:pPr>
        <w:ind w:left="540" w:right="10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Mark Frichtl has served as the Company’s Chief Technology Officer since the closing of the business combination on March 11, 2021 and held the same or similar positions with Old Ouster prior to the business combination.</w:t>
      </w:r>
    </w:p>
    <w:p>
      <w:pPr>
        <w:ind w:left="54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Kyle Veenstra is the sole manager of OIG Ouster IV, LLC. As a result, Mr. Veenstra may be deemed to beneficially own the shares held by OIG Ouster IV, LLC.</w:t>
      </w:r>
    </w:p>
    <w:p>
      <w:pPr>
        <w:ind w:left="540" w:right="6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7,406,443 shares of Ouster common stock held of record by Ouster Investments LLC. Zach Frankel exercises voting and dispositive power with respect to these securities. As a result, Mr. Frankel may be deemed to beneficially own the shares held by Ouster Investments LLC.</w:t>
      </w:r>
    </w:p>
    <w:p>
      <w:pPr>
        <w:ind w:left="540" w:right="4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Remy W. Trafelet has served as a director of the company since June 4, 2020 (inception), and served as the Company’s Chief Executive Officer from June 4, 2020 (inception) until the closing of the business combination on March 11, 2021.</w:t>
      </w:r>
    </w:p>
    <w:p>
      <w:pPr>
        <w:ind w:left="540" w:right="240" w:hanging="424"/>
        <w:spacing w:after="0" w:line="238"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Consists of (i) 6,726,512 shares of Ouster common stock held of record by Sharing LLC Ouster 2 PS, (ii) 3,703,221 shares of Ouster common stock held of record by Sharing LLC Ouster 3 PS dated June 15, 2016 and (iii) 456,889 shares of Ouster common stock held of record by Sharing LLC Ouster PS. By virtue of his authority to vote or sell such shares, Jacob Goldfield may be deemed to beneficially own the shares held by such entities. The address for each of the foregoing entities is 33 Union Square West New York, NY 10003.</w:t>
      </w:r>
    </w:p>
    <w:p>
      <w:pPr>
        <w:ind w:left="540" w:right="2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managing member of Tao Invest II LLC (“Tao Invest”) is Tao Capital Management LP (“LP”) whose general partner is Tao Capital Management Inc. (“GP”). Joseph I. Perkovich, James Schwaba, and Lori Mills, as officers of GP, have voting and dispositive power over the shares of Ouster common stock that held by Tao Invest. Tao Invest, LP, GP, and the foregoing individuals disclaim any beneficial ownership of such shares of Ouster common stock except to the extent of their direct or indirect pecuniary interest therein. The business address of Tao Invest, LP and GP is One Letterman Drive, Suite C4-420, San Francisco, California 94129.</w:t>
      </w:r>
    </w:p>
    <w:p>
      <w:pPr>
        <w:spacing w:after="0" w:line="1" w:lineRule="exact"/>
        <w:rPr>
          <w:rFonts w:ascii="Arial" w:cs="Arial" w:eastAsia="Arial" w:hAnsi="Arial"/>
          <w:sz w:val="14"/>
          <w:szCs w:val="14"/>
          <w:color w:val="auto"/>
        </w:rPr>
      </w:pPr>
    </w:p>
    <w:p>
      <w:pPr>
        <w:ind w:left="540" w:right="360" w:hanging="424"/>
        <w:spacing w:after="0" w:line="232"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Registered Holder information for each additional Registered Holder, if any, will be set forth by prospectus supplement to the extent required prior to the time of any offer or sale of such Registered Holder’s shares pursuant to this prospectus. To the extent permitted by law, a prospectus supplement may add, update, substitute or change the information contained in this prospectus, including the identity of each Registered Holder and the number of shares of common stock or warrants registered on its behalf. A Registered Holder may sell or otherwise transfer all, some or none of such shares of common stock or warrants in this offering. See “Plan of Distribution.”</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information regarding transactions between us and the Registered Holders, see the section entitled “Certain Relationships and Related Person Transactions.”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the compensation arrangements with directors and executive officers described under “Executive Compensation” and “Management” and the registration rights described elsewhere in this prospectus, the following is a description of each transaction since January 1, 2019 and each currently proposed transaction in which:</w:t>
      </w:r>
    </w:p>
    <w:p>
      <w:pPr>
        <w:spacing w:after="0" w:line="8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Colonnade Acquisition Corp.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June 30, 2020, the Sponsor paid $25,000, or approximately $0.005 per share, to cover certain of CLA’s offering costs relating to CLA’s initial public offering in exchange for 5,750,000 founder shares. The Sponsor surrendered 750,000 founder shares to CLA for no consideration in connection with the underwriters’ election to not exercise the overallotment option relating to CLA’s initial public offering at the end of the 45-day option period on October 5, 2020.</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connection with the Business Combination, each of the 5,000,000 founder shares converted on a one-for-one basis into one share of Ouster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Sponsor purchased an aggregate of 6,000,000 private placement warrants, each exercisable to purchase one Class A ordinary share at $11.50 per share, at a price of $1.00 per warrant, or $6,000,000 in the aggregate, in connection with CLA’s initial public offering. The private placement warrants are identical to the warrants sold in CLA’s initial public offering except that the private placement warrants, so long as they are held by the Sponsor or its permitted transferees, (i) are not redeemable by CLA, (ii) may not (including the Class A ordinary shares issuable upon exercise of these warrants), subject to certain limited exceptions, be transferred, assigned or sold by the holders until 30 days after the completion of CLA’s initial Business Combination, (iii) may be exercised by the holders on a cashless basis and (iv) are entitled to registration rights.</w:t>
      </w:r>
    </w:p>
    <w:p>
      <w:pPr>
        <w:spacing w:after="0" w:line="16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connection with the Business Combination, each of the 6,000,000 private placement warrants converted automatically into one warrant to purchase one share of Ouster common stock pursuant to the Warrant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the Sponsor Related PIPE Investor, pursuant to which the Sponsor Related PIPE Investor subscribed for shares of Ouster common stock in connection with the PIPE Investment. The Sponsor Related PIPE Investor funded $11,750,000 of the PIPE Investment, for which it received 1,175,000 shares of Ouster common stock. The PIPE Investment was consummated substantially concurrently with the closing of the Business Combination.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CLA utilized office space at 1400 Centrepark Boulevard, Suite 810, West Palm Beach, FL 33401 from the Sponsor as CLA’s executive offices. Commencing upon consummation of the initial public offering, CLA paid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86"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Sponsor $10,000 per month for office space, utilities, secretarial and administrative support services provided to members of CLA’s management team. Upon completion of CLA’s initial Business Combination, it ceased paying these monthly fees.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Note and Advances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June 30, 2020, the Sponsor agreed to loan CLA up to an aggregate amount of $300,000 to be used, in part, for transaction costs incurred in connection with CLA’s initial public offering pursuant to an unsecured promissory note. The promissory note was non-interest bearing and payable on the earlier of December 31, 2020 and the completion of the initial public offering. The outstanding balance of $126,005 under the promissory note was paid in full in connection with the closing of the initial public offering.</w:t>
      </w:r>
    </w:p>
    <w:p>
      <w:pPr>
        <w:spacing w:after="0" w:line="18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CLA’s officers and directors are entitled to reimbursement for any out-of-pocket expenses related to identifying, investigating, negotiating and completing an initial business combination. CLA’s audit committee reviews on a quarterly basis all payments that were made to the Sponsor, CLA’s officers, directors or its or their affiliates.</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the Sponsor or an affiliate of the Sponsor or certain of CLA’s officers and directors may, but are not obligated to, loan CLA funds as may be required on a non-interest basis. If CLA completes the Business Combination, it would repay such loaned amounts. In the event that the Business Combination does not close, CLA may use a portion of the working capital held outside the trust account to repay such loaned amounts but no proceeds from CLA’s trust account would be used for such repayment. Up to $1,500,000 of such loans may be convertible into private placement warrants at a price of $1.00 per warrant at the option of the lender. Such warrants would be identical to the private placement warrants. Except as set forth above, the terms of such loans, if any, have not been determined and no written agreements exist with respect to such loans.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the founder shares, private placement warrants and the Class A ordinary shares underlying such private placement warrants and private placement warrants that may be issued upon conversion of working capital loans have registration rights to require CLA to register a sale of any of CLA’s securities held by them pursuant to a registration rights agreement. The holders of these securities are entitled to make up to three demands, excluding short form demands, that CLA register such securities. In addition, the holders have certain “piggy-back” registration rights with respect to registration statements filed subsequent to CLA’s completion of its initial business combination. CLA will bear the expenses incurred in connection with the filing of any such registration statements.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86"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Ouster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Redeemable Convertible Preferred Stock Financing</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From April 2020 to August 2020, Old Ouster issued and sold shares of its Series B redeemable convertible preferred stock to investors that included certain holders of more than 5% of Old Ouster’s capital stock, for an aggregate purchase price of approximately $41.8 million. The following table summarizes purchases of shares of Old Ouster’s Series B redeemable convertible preferred stock by such related persons. Old Ouster’s Series B redeemable convertible preferred stock converted into shares of Ouster common stock in connection with the Closing at the Exchange Ratio.</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Shares of Series B</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Redeemable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00" w:type="dxa"/>
            <w:vAlign w:val="bottom"/>
            <w:vMerge w:val="restart"/>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Preferred</w:t>
            </w:r>
          </w:p>
        </w:tc>
        <w:tc>
          <w:tcPr>
            <w:tcW w:w="36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Total Purchase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14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Banyan Venture Holdings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37,088,463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12,324,496.27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Cox Investment Holdings, Inc.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15,046,644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4,999,999.82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Tao Invest II LLC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15,046,644</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4,999,999.82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OIG Ouster IV, LLC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11,459,739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3,808,071.30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Ouster Investments LLC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10,532,650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3,499,999.60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Sharing LLC Ouster 2 PS and its affiliates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10,532,650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3,499,999.60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Carthona Capital</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10,414,201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3,460,638.99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The Chelst Irrevocable Trust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396,510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131,760.20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Lynn Heystee Revocable Trust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376,166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124,999.97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Convertible Promissory Notes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From September 2019 to November 2019, Old Ouster issued convertible promissory notes in an aggregate principal amount of approximately $29.3 million (the “2019 Notes”) to investors that included certain holders of more than 5% of Old Ouster’s capital stock and affiliates of its directors. The 2019 Notes accrued interest at a rate of 5% per annum. All of the 2019 Notes were converted to common stock in April 2020 in connection with Old Ouster’s Series B redeemable convertible preferred stock financing. The following table summarizes the aggregate principal amount of convertible promissory notes issued to such related persons.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w w:val="95"/>
              </w:rPr>
              <w:t>Aggregate Principal Amount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Carthona Capital</w:t>
            </w:r>
          </w:p>
        </w:tc>
        <w:tc>
          <w:tcPr>
            <w:tcW w:w="2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14,760,965.42</w:t>
            </w:r>
          </w:p>
        </w:tc>
        <w:tc>
          <w:tcPr>
            <w:tcW w:w="60" w:type="dxa"/>
            <w:vAlign w:val="bottom"/>
            <w:shd w:val="clear" w:color="auto" w:fill="CCEEFF"/>
          </w:tcPr>
          <w:p>
            <w:pPr>
              <w:spacing w:after="0"/>
              <w:rPr>
                <w:sz w:val="17"/>
                <w:szCs w:val="17"/>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Cox Investment Holdings, Inc.</w:t>
            </w:r>
          </w:p>
        </w:tc>
        <w:tc>
          <w:tcPr>
            <w:tcW w:w="28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2,000,000.00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Tao Invest II LLC</w:t>
            </w:r>
          </w:p>
        </w:tc>
        <w:tc>
          <w:tcPr>
            <w:tcW w:w="28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1,000,000.00</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GAC Acquisition LLC</w:t>
            </w:r>
          </w:p>
        </w:tc>
        <w:tc>
          <w:tcPr>
            <w:tcW w:w="28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1,000,000.00</w:t>
            </w:r>
          </w:p>
        </w:tc>
      </w:tr>
      <w:tr>
        <w:trPr>
          <w:trHeight w:val="350"/>
        </w:trPr>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20" w:type="dxa"/>
            <w:vAlign w:val="bottom"/>
          </w:tcPr>
          <w:p>
            <w:pPr>
              <w:jc w:val="right"/>
              <w:ind w:right="169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86" w:right="5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Bridge Loan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January 27, 2021, we issued the 2021 Note, pursuant to which the noteholders, each of whom was an investor in Old Ouster (or an affiliate thereof), agreed to provide us an aggregate of $5 million of unsecured loans that carried a variable annual interest rate equal to LIBOR plus 8.5%. The 2021 Note, including the principal and any accrued and unpaid interest thereon, became due in connection with the consummation of the Business Combination. The 2021 Note contained customary events of default. We used the proceeds from the 2021 Note to help continue to fund our ongoing operations through the consummation of the Business Combination. Pursuant to the Runway Subordination Agreement, the noteholders agreed, among other things, to subordinate their interests in the 2021 Note to Runway’s interest in the Runway Loan Agreement, including their right of payment under the 2021 Note until all of Old Ouster’s obligations to Runway pursuant to the Runway Loan Agreement had been paid in full, except in the case of the consummation of the Business Combination.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aggregate principal amount of the 2021 Note issued to such related persons.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w w:val="95"/>
              </w:rPr>
              <w:t>Aggregate Principal Amount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Banyan Venture Holdings LLC</w:t>
            </w: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1,895,542.84</w:t>
            </w:r>
          </w:p>
        </w:tc>
        <w:tc>
          <w:tcPr>
            <w:tcW w:w="60" w:type="dxa"/>
            <w:vAlign w:val="bottom"/>
            <w:shd w:val="clear" w:color="auto" w:fill="CCEEFF"/>
          </w:tcPr>
          <w:p>
            <w:pPr>
              <w:spacing w:after="0"/>
              <w:rPr>
                <w:sz w:val="17"/>
                <w:szCs w:val="17"/>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Cox Investment Holdings, Inc.</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867,597.44</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Tao Invest II LLC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817,886.22</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Sharing LLC Ouster Bridge PS</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802,219.65</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Zachary Frankel</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545,830.28</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GAC Acquisition LLC</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70,923.57</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3, 2020, Old Ouster issued a warrant to Sharing LLC Ouster 2 PS (“Sharing LLC”) in connection with Old Ouster’s issuance and sale of Series B redeemable convertible preferred stock. Under the terms of the warrant, Old Ouster is obligated to issue to Sharing LLC or an affiliate 4,513,993 shares of Series B redeemable convertible preferred stock at an exercise price of $0.3323 per share. The Sharing LLC warrant was exercised in full in accordance with its terms as part of the Ouster Warrant Settlement.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Loans to Executive Officers in Connection with Option Exercises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October 2020, Old Ouster entered into partial recourse promissory notes with certain of its current and former executive officers, Anna Brunelle, Darien Spencer and Myra Pasek, in connection with the early exercise of stock options held by such individuals and the remittance of applicable exercise prices. Pursuant to the terms of the partial recourse promissory notes, Old Ouster loaned approximately $293,000 to Ms. Brunelle, approximately $215,000 to Mr. Spencer and approximately $123,000 to Ms. Pasek, respectively. Each note bore an annual compounded interest rate of 0.38%. The principal amounts of each note, together with all accrued but unpaid interest, were repaid upon the Closing.</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Old Ouster was party to an Amended and Restated Investors’ Rights Agreement, dated as of April 9, 2020, which granted registration rights and information rights, among other things, to certain holders of its capital stock, including certain holders of 5% of its capital stock and entities affiliated with certain of its directors, as well as certain of its directors and executive officers. This agreement terminated upon the Closing.</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8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1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Old Ouster was party to an Amended and Restated Right of First Refusal and Co-Sale Agreement, dated as of April 3, 2020 (the “ROFR Agreement”), whereby Old Ouster had the right to purchase shares of Old Ouster Capital Stock which certain stockholders propose to sell to other parties. Certain holders of Old Ouster Capital Stock, including certain holders of 5% of its capital stock and entities affiliated with certain of its directors, as well as certain of its directors and executive officers, had rights of first refusal and co-sale under the ROFR Agreement. This agreement terminated upon the Closing.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Old Ouster was a party to an Amended and Restated Voting Agreement, dated as of April 3, 2020, pursuant to which certain holders of its capital stock, including certain holders of 5% of its capital stock and entities affiliated with certain of its directors, as well as certain of its directors and executive officers, had agreed to vote their shares of Old Ouster Capital Stock on certain matters, including with respect to the election of directors. This agreement terminated upon the Closing.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Old Ouster’s charter and bylaws provided for indemnification and advancement of expenses for its directors and officers to the fullest extent permitted by the DGCL, subject to certain limited exceptions. Old Ouster had entered into indemnification agreements with each of its directors. Following the Business Combination, these agreements were replaced with new indemnification agreements for each post-Closing director and officer of Ouster. For additional information, see “</w:t>
      </w:r>
      <w:r>
        <w:rPr>
          <w:rFonts w:ascii="Arial" w:cs="Arial" w:eastAsia="Arial" w:hAnsi="Arial"/>
          <w:sz w:val="16"/>
          <w:szCs w:val="16"/>
          <w:i w:val="1"/>
          <w:iCs w:val="1"/>
          <w:color w:val="auto"/>
        </w:rPr>
        <w:t>Description of our Securities—Limitations on Liability and Indemnification of Officers and Directors</w:t>
      </w:r>
      <w:r>
        <w:rPr>
          <w:rFonts w:ascii="Arial" w:cs="Arial" w:eastAsia="Arial" w:hAnsi="Arial"/>
          <w:sz w:val="16"/>
          <w:szCs w:val="16"/>
          <w:color w:val="auto"/>
        </w:rPr>
        <w: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Persons Transactions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spacing w:after="0" w:line="92"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who is known by the post-combination company to be the beneficial owner of more than 5% of our voting stock;</w:t>
      </w:r>
    </w:p>
    <w:p>
      <w:pPr>
        <w:spacing w:after="0" w:line="130" w:lineRule="exact"/>
        <w:rPr>
          <w:rFonts w:ascii="Arial" w:cs="Arial" w:eastAsia="Arial" w:hAnsi="Arial"/>
          <w:sz w:val="18"/>
          <w:szCs w:val="18"/>
          <w:color w:val="auto"/>
        </w:rPr>
      </w:pPr>
    </w:p>
    <w:p>
      <w:pPr>
        <w:ind w:left="1080" w:right="380" w:hanging="424"/>
        <w:spacing w:after="0" w:line="279"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76"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has the responsibility to review related party transactions.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following description of the terms of our capital stock and warrants is not complete and is qualified in its entirety by reference to our Certificate of Incorporation, our Bylaws and the warrant agreement, all of which are attached as exhibits to the registration statement of which this prospectus is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Capitalization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total amount of our authorized capital stock consists of 1,000,000,000 shares of common stock, par value $0.0001 per share, and 100,000,000 shares of preferred stock, par value $0.0001 per share.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Each holder of our common stock is entitled to one vote per share on each matter submitted to a vote of stockholders, as provided by the Certificate of Incorporation. The Bylaws provide that the holders of a majority of the capital stock issued and outstanding and entitled to vote thereat, present in person, or by remote communication, if applicable,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Each holder of shares of our capital stock is entitled to the payment of dividends and other distributions as may be declared by the Board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rights of each holder of our common stock are subject to, and may be adversely affected by, the rights of the holders of any series of our preferred stock that we may designate and issue in the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8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Effects of the Certificate of Incorporation and the Bylaws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Certificate of Incorporation provides that a special meeting of stockholders may be called by (a) the Chairperson of the Board, (b) the Board,</w:t>
      </w:r>
    </w:p>
    <w:p>
      <w:pPr>
        <w:spacing w:after="0" w:line="46" w:lineRule="exact"/>
        <w:rPr>
          <w:sz w:val="20"/>
          <w:szCs w:val="20"/>
          <w:color w:val="auto"/>
        </w:rPr>
      </w:pPr>
    </w:p>
    <w:p>
      <w:pPr>
        <w:ind w:left="120" w:right="300" w:hanging="4"/>
        <w:spacing w:after="0" w:line="260" w:lineRule="auto"/>
        <w:tabs>
          <w:tab w:leader="none" w:pos="3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Chief Executive Officer or (d) our President, provided that such special meeting may be postponed, rescheduled or cancelled by the Board or other person calling the special meeting.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Certificate of Incorporation provides that any action required or permitted to be taken by our stockholders must be effected at an annual or special meeting of the stockholders, and may not be taken by written consent in lieu of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1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86"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86"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w:t>
      </w:r>
    </w:p>
    <w:p>
      <w:pPr>
        <w:spacing w:after="0" w:line="176"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Public warrants refers to the Company’s warrants that were offered and sold in the Company’s initial public offering pursuant to a registration statement. As of December 31, 2021, there were 15,999,990, public warrants outstanding. Each whole public warrant entitles the registered holder to purchase one share of our common stock at a price of $11.50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on March 11, 2026 at 5:00 p.m., New York City time, or earlier upon redemption or liquidation.</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not obligated to deliver any shares of common stock pursuant to the exercise of a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warrant will be exercisable and we will not be obligated to issue a share of common stock upon exercise of a warrant unless the shares of common stock issuable upon such warrant exercise has been registered, qualified or deemed to be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86"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have agreed to maintain the effectiveness of a registration statement covering the issuance, under the Securities Act, of the shares of common stock issuable upon exercise of the warrants, and a current prospectus relating thereto, until the expiration of the warrants in accordance with the provisions of the warrant agreement. Notwithstanding the above, if the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call the warrants for redemption:</w:t>
      </w:r>
    </w:p>
    <w:p>
      <w:pPr>
        <w:spacing w:after="0" w:line="131"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warrantholder;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and only if, the reported closing price of our common stock equals or exceeds $18.00 per share (as adjusted for stock splits, stock dividends, reorganizations, recapitalizations and the like) for any 20 trading days within a 30 trading-day period ending three business days before we send the notice of redemption to the warrantholders.</w:t>
      </w:r>
    </w:p>
    <w:p>
      <w:pPr>
        <w:spacing w:after="0" w:line="18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of the warrants, each warrant holder will be entitled to exercise his, her or its warrant prior to the scheduled redemption date. However, the price of our common stock may fall below the $18.00 redemption trigger price (as adjusted for stock splits, stock dividends, reorganizations, recapitalizations and the like) as well as the $11.50 warrant exercise price after the redemption notice is issued.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call the warrants for redemption as described above, our Board will have the option to require any holder that wishes to exercise his, her or its warrant to do so on a “cashless basis.” In determining whether to require all holders to exercise their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86"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need the cash from the exercise of the warrants. If we call the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split-up or other similar event, then, on the effective date of stock dividend, split-up or similar event, the number of shares of common stock issuable on exercise of each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shares of our common stock) and (b) the quotient of (i) 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1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our common stock.</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Whenever the number of shares of our common stock purchasable upon the exercise of the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conveyance to another corporation or entity of the assets or other property of our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6"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for the purpose of (a) curing any ambiguity or to correct any defective provision, (b) adjusting the provisions relating to cash dividends on shares of our common stock as contemplated by and in accordance with the warrant agreement or (c) adding or changing any other provisions with respect to matters or questions arising under the warrant agreement as the parties to the warrant agreement may deem necessary or desirable and that the parties deem to not adversely affect the interests of the registered holders of the warrants. All other modifications or amendments will require the approval by the holders of at least 50% of the then-outstanding public warrants and, solely with respect to any amendment to the terms of the private placement warrants, 50% of the then outstanding private placement warrants. You should review a copy of the warrant agreement, which is filed as an exhibit to the registration statement of which this prospectus is a part, for a complete description of the terms and conditions applicable to the warrants.</w:t>
      </w:r>
    </w:p>
    <w:p>
      <w:pPr>
        <w:spacing w:after="0" w:line="166" w:lineRule="exact"/>
        <w:rPr>
          <w:sz w:val="20"/>
          <w:szCs w:val="20"/>
          <w:color w:val="auto"/>
        </w:rPr>
      </w:pPr>
    </w:p>
    <w:p>
      <w:pPr>
        <w:jc w:val="both"/>
        <w:ind w:left="120" w:right="120" w:firstLine="440"/>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our common stock and any voting rights until they exercise their warrants and receive shares of our common stock. After the issuance of shares of our common stock upon exercise of the warrants, each holder will be entitled to one vote for each share held of record on all matters to be voted on by stockholders.</w:t>
      </w:r>
    </w:p>
    <w:p>
      <w:pPr>
        <w:spacing w:after="0" w:line="178"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our common stock to be issued to the warrantholder.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Private placement warrants refers to the warrants issued in a private placement to the Sponsor. As of December 31, 2021, there were 6,000,000 private placement warrants outstanding.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86"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those of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w:t>
      </w:r>
    </w:p>
    <w:p>
      <w:pPr>
        <w:spacing w:after="0" w:line="184"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w:t>
      </w:r>
    </w:p>
    <w:p>
      <w:pPr>
        <w:spacing w:after="0" w:line="2" w:lineRule="exact"/>
        <w:rPr>
          <w:sz w:val="20"/>
          <w:szCs w:val="20"/>
          <w:color w:val="auto"/>
        </w:rPr>
      </w:pPr>
    </w:p>
    <w:p>
      <w:pPr>
        <w:ind w:left="120" w:hanging="4"/>
        <w:spacing w:after="0" w:line="260" w:lineRule="auto"/>
        <w:tabs>
          <w:tab w:leader="none" w:pos="3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86"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Registered Holders, which as used herein includes donees, pledgees, transferees, distributees or other successors-in-interest selling shares of our common stock or warrants or interests in our common stock or warrants received after the date of this prospectus from the Registered Holders as a gift, pledge, partnership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Registered Holders may use any one or more of the following methods when disposing of their shares of common stock or warrants or interests therein:</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common stock or warrants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distributions to their members, partners or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market transactions, including transactions on a national securities exchange or quotations service or over-the-counter market;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broker-dealers may agree with the Registered Holders to sell a specified number of such shares of common stock or warrants at a stipulated price per share or warrant;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Registered Holders may, from time to time, pledge or grant a security interest in some shares of our common stock or warrants owned by them and, if a Registered Holder defaults in the performance of its secured obligations, the pledgees or secured parties may offer and sell such shares of common stock or warrants, as applicable, from time to time, under this prospectus, or under an amendment or supplement to this prospectus amending the list of the Registered Holders to include the pledgee, transferee or other successors in interest as the Registered Holders under this prospectus. The Registered Holders also may transfer shares of our common stock or warrants in other circumstances, in which case the transferees, pledgees or other successors in interest will be the selling beneficial owners for purposes of this prospectus.</w:t>
      </w:r>
    </w:p>
    <w:p>
      <w:pPr>
        <w:spacing w:after="0" w:line="17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connection with the sale of shares of our common stock or warrants or interests therein, the Selling Stockholders may enter into hedging transactions with broker-dealers or other financial institutions, which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turn engage in short sales of our common stock or warrants in the course of hedging the positions they assume. The Registered Holders may also sell shares of our common stock or warrants short and deliver these securities to close out their short positions, or loan or pledge shares of our common stock or warrants to broker-dealers that in turn may sell these securities. The Registered 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w:t>
      </w:r>
    </w:p>
    <w:p>
      <w:pPr>
        <w:spacing w:after="0" w:line="17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aggregate proceeds to the Registered Holders from the sale of shares of our common stock or warrants offered by them will be the purchase price of such shares of our common stock or warrants less discounts or commissions, if any. The Registered Holders reserve the right to accept and, together with their agents from time to time, to reject, in whole or in part, any proposed purchase of share of our common stock or warrants to be made directly or through agents. We will not receive any of the proceeds from any offering by the Registered Holders.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Registered Holders also may in the future resell a portion of our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Registered 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any Registered Holder is an “underwriter” within the meaning of Section 2(11) of the Securities Act, then the Registered Holder will be subject to the prospectus delivery requirements of the Securities Act. Underwriters and their controlling persons, dealers and agents may be entitled, under agreements entered into with us and the Registered Holders, to indemnification against and contribution toward specific civil liabilities, including liabilities under the Securities Act.</w:t>
      </w:r>
    </w:p>
    <w:p>
      <w:pPr>
        <w:spacing w:after="0" w:line="19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To the extent required,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4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To facilitate the offering of shares of our common stock and warrants offered by the Registered 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Under the Registration Rights Agreement, we have agreed to indemnify the Registered Holders party thereto against certain liabilities that they may incur in connection with the sale of the securities registered hereunder,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86"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including liabilities under the Securities Act, and to contribute to payments that the Registered Holders may be required to make with respect thereto. In addition, we and the Registered Holders have agreed to indemnify any underwriter against certain liabilities related to the selling of the securities, including liabilities arising under the Securities Act.</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have agreed to maintain the effectiveness of this registration statement until all such securities have been sold under this registration statement or Rule 144 under the Securities Act or are no longer outstanding. We have agreed to pay all expenses in connection with this offering, other than underwriting commissions and discounts, brokerage fees, underwriter marketing costs, and certain legal expenses. The Registered Holders will pay any underwriting commissions and discounts, brokerage fees, underwriter marketing costs, and certain legal expenses relating to the offering.</w:t>
      </w:r>
    </w:p>
    <w:p>
      <w:pPr>
        <w:spacing w:after="0" w:line="15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Registered Holders may use this prospectus in connection with resales of shares of our common stock and warrants. This prospectus and any accompanying prospectus supplement will identify the Registered Holders, the terms of our common stock or warrants and any material relationships between us and the Registered Holders. Registered 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Registered Holders will receive all the net proceeds from the resale of shares of our common stock or warrants.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Registered Holder that is an entity may elect to make an in-kind distribution of common stock or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common stock or warrants pursuant to the distribution through a registration statement.</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are required to pay all fees and expenses incident to the registration of shares of our common stock and warrants to be offered and sold pursuant to this prospectus, which we expect to be approximately $0.4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86"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Latham &amp; Watkins LLP has passed upon the validity of the securities of Ouster offered by this prospectus and certain other legal matters related to this prospectus.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financial statements of Ouster, Inc. as of December 31, 2021 and 2020 and for each of the three years in the period ended December 31, 2021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www.ouster.com. The information on our web site, however, is not, and should not be deemed to be, a part of this 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86" w:right="4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0520" w:type="dxa"/>
            <w:vAlign w:val="bottom"/>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7300" w:type="dxa"/>
            <w:vAlign w:val="bottom"/>
            <w:gridSpan w:val="7"/>
          </w:tcPr>
          <w:p>
            <w:pPr>
              <w:jc w:val="center"/>
              <w:ind w:right="250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80" w:type="dxa"/>
            <w:vAlign w:val="bottom"/>
            <w:gridSpan w:val="5"/>
          </w:tcPr>
          <w:p>
            <w:pPr>
              <w:jc w:val="center"/>
              <w:ind w:right="3620"/>
              <w:spacing w:after="0"/>
              <w:rPr>
                <w:sz w:val="20"/>
                <w:szCs w:val="20"/>
                <w:color w:val="auto"/>
              </w:rPr>
            </w:pPr>
            <w:r>
              <w:rPr>
                <w:rFonts w:ascii="Arial" w:cs="Arial" w:eastAsia="Arial" w:hAnsi="Arial"/>
                <w:sz w:val="18"/>
                <w:szCs w:val="18"/>
                <w:b w:val="1"/>
                <w:bCs w:val="1"/>
                <w:color w:val="auto"/>
                <w:w w:val="99"/>
              </w:rPr>
              <w:t>OUSTER, INC.</w:t>
            </w:r>
          </w:p>
        </w:tc>
        <w:tc>
          <w:tcPr>
            <w:tcW w:w="5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00" w:type="dxa"/>
            <w:vAlign w:val="bottom"/>
            <w:gridSpan w:val="11"/>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i w:val="1"/>
                <w:iCs w:val="1"/>
                <w:color w:val="000000"/>
              </w:rPr>
              <w:t>(PCAOB</w:t>
            </w:r>
            <w:r>
              <w:rPr>
                <w:rFonts w:ascii="Arial" w:cs="Arial" w:eastAsia="Arial" w:hAnsi="Arial"/>
                <w:sz w:val="18"/>
                <w:szCs w:val="18"/>
                <w:color w:val="0000EE"/>
              </w:rPr>
              <w:t xml:space="preserve"> </w:t>
            </w:r>
            <w:r>
              <w:rPr>
                <w:rFonts w:ascii="Arial" w:cs="Arial" w:eastAsia="Arial" w:hAnsi="Arial"/>
                <w:sz w:val="18"/>
                <w:szCs w:val="18"/>
                <w:i w:val="1"/>
                <w:iCs w:val="1"/>
                <w:color w:val="000000"/>
              </w:rPr>
              <w:t>ID 238)</w:t>
            </w:r>
          </w:p>
        </w:tc>
        <w:tc>
          <w:tcPr>
            <w:tcW w:w="5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22"/>
        </w:trPr>
        <w:tc>
          <w:tcPr>
            <w:tcW w:w="120" w:type="dxa"/>
            <w:vAlign w:val="bottom"/>
          </w:tcPr>
          <w:p>
            <w:pPr>
              <w:spacing w:after="0"/>
              <w:rPr>
                <w:sz w:val="19"/>
                <w:szCs w:val="19"/>
                <w:color w:val="auto"/>
              </w:rPr>
            </w:pPr>
          </w:p>
        </w:tc>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6180" w:type="dxa"/>
            <w:vAlign w:val="bottom"/>
            <w:gridSpan w:val="5"/>
          </w:tcPr>
          <w:p>
            <w:pPr>
              <w:spacing w:after="0"/>
              <w:rPr>
                <w:sz w:val="19"/>
                <w:szCs w:val="19"/>
                <w:color w:val="auto"/>
              </w:rPr>
            </w:pPr>
          </w:p>
        </w:tc>
        <w:tc>
          <w:tcPr>
            <w:tcW w:w="56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40" w:type="dxa"/>
            <w:vAlign w:val="bottom"/>
            <w:gridSpan w:val="10"/>
          </w:tcPr>
          <w:p>
            <w:pPr>
              <w:spacing w:after="0" w:line="190"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Balance Sheets as of December 31, 2021 and 2020</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Operations and Comprehensive Loss for the Years Ended December 31, 2021, 2020 and 2019</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Consolidated Statements of Changes in Redeemable Convertible Preferred Stock and Stockholders’ Equity (Deficit) for the Years Ended</w:t>
              </w:r>
            </w:hyperlink>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December 31, 2021, 2020 and 2019</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Consolidated Statements of Cash Flows for the Years Ended December 31, 2021, 2020 and 2019</w:t>
              </w:r>
            </w:hyperlink>
          </w:p>
        </w:tc>
        <w:tc>
          <w:tcPr>
            <w:tcW w:w="308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0" w:type="dxa"/>
            <w:vAlign w:val="bottom"/>
            <w:gridSpan w:val="4"/>
          </w:tcPr>
          <w:p>
            <w:pPr>
              <w:jc w:val="center"/>
              <w:ind w:right="4400"/>
              <w:spacing w:after="0"/>
              <w:rPr>
                <w:sz w:val="20"/>
                <w:szCs w:val="20"/>
                <w:color w:val="auto"/>
              </w:rPr>
            </w:pPr>
            <w:r>
              <w:rPr>
                <w:rFonts w:ascii="Arial" w:cs="Arial" w:eastAsia="Arial" w:hAnsi="Arial"/>
                <w:sz w:val="18"/>
                <w:szCs w:val="18"/>
                <w:color w:val="auto"/>
                <w:w w:val="88"/>
              </w:rPr>
              <w:t>F-1</w:t>
            </w: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Ouster,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audited the accompanying consolidated balance sheets of Ouster, Inc. and its subsidiaries (the “Company”) as of December 31, 2021 and 2020, and the related consolidated statements of operations and comprehensive loss, of changes in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8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Sense Photonics, Inc. – Valuation of Developed Technology</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described in Note 3 to the consolidated financial statements, on October 22, 2021, the Company completed the acquisition of Sense Photonics, Inc. for total consideration of $72.8 million, of which $15.9 million related to developed technology. As disclosed by management, the Company recognizes the assets acquired and liabilities assumed in business combinations on the basis of their fair values at the date of acquisition. Management assesses the fair value of assets acquired, including intangible assets, and liabilities assumed using a variety of methods. The fair values assigned to developed technology was determined using the relief from royalty rate method. Management applied significant judgment in estimating the fair value of the developed technology, which involved significant assumptions related to the revenue growth rates, the relief-from-royalty rate, the discount rate and the economic life.</w:t>
      </w:r>
    </w:p>
    <w:p>
      <w:pPr>
        <w:spacing w:after="0" w:line="19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developed technology acquired as part of the acquisition of Sense Photonics, Inc. is a critical audit matter are (i) the high degree of auditor judgment and subjectivity in performing procedures relating to the fair value of the developed technology acquired due to the significant judgment by management when developing the estimate; (ii) significant audit effort in evaluating the significant assumptions related to the revenue growth rates, the relief-from-royalty rate, the discount rate, and the economic life; and (iii) the audit effort involved the use of professionals with specialized skill and knowledge.</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reading the acquisition agreement and (ii) testing management’s process for estimating the fair value of the developed technology. Testing management’s process included evaluating the appropriateness of the relief from royalty rate method, testing the completeness and accuracy of data provided by management, and evaluating the reasonableness of significant assumptions related to the revenue growth rates, the relief-from-royalty rate, the discount rate, and the economic life. Evaluating the reasonableness of the revenue growth rates significant assumption involved considering (i) the past performance of the acquired business; (ii) the consistency with external market and industry data; and (iii) whether the significant assumption was consistent with evidence obtained in other areas of the audit. Professionals with specialized skill and knowledge were used to assist in the evaluation of the appropriateness of the Company’s relief from royalty rate method and the reasonableness of the relief-from-royalty rate, the discount rate, and the economic life significant assumptions.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28,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86"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182,644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207,358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non-current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307,702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4,863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long-term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Warrant liabilities (At December 31, 2021 and 2020 related party $2,669 and Nil, respectively)</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92"/>
              </w:rPr>
              <w:t>Redeemable convertible preferred stock, $0.0001 par value per share; 100,000,000 and 131,411,372 shares authorized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w w:val="95"/>
              </w:rPr>
              <w:t>December 31, 2021 and 2020; Nil and 88,434,754 shares issued and outstanding at December 31, 2021 and 2020,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980" w:type="dxa"/>
            <w:vAlign w:val="bottom"/>
          </w:tcPr>
          <w:p>
            <w:pPr>
              <w:ind w:left="180"/>
              <w:spacing w:after="0"/>
              <w:rPr>
                <w:sz w:val="20"/>
                <w:szCs w:val="20"/>
                <w:color w:val="auto"/>
              </w:rPr>
            </w:pPr>
            <w:r>
              <w:rPr>
                <w:rFonts w:ascii="Arial" w:cs="Arial" w:eastAsia="Arial" w:hAnsi="Arial"/>
                <w:sz w:val="18"/>
                <w:szCs w:val="18"/>
                <w:color w:val="auto"/>
                <w:w w:val="98"/>
              </w:rPr>
              <w:t>respectively (aggregate liquidation preference of Nil and $41,791 at December 31, 2021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$0.0001 par value; 1,000,000,000 and 210,956,516 shares authorized at December 31, 2021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540"/>
              <w:spacing w:after="0"/>
              <w:rPr>
                <w:sz w:val="20"/>
                <w:szCs w:val="20"/>
                <w:color w:val="auto"/>
              </w:rPr>
            </w:pPr>
            <w:r>
              <w:rPr>
                <w:rFonts w:ascii="Arial" w:cs="Arial" w:eastAsia="Arial" w:hAnsi="Arial"/>
                <w:sz w:val="18"/>
                <w:szCs w:val="18"/>
                <w:color w:val="auto"/>
              </w:rPr>
              <w:t>2020, respectively; 172,200,417 and 33,327,294 issued and outstanding at December 31, 2021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564,045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133,468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(303,356)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(209,375)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260,700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307,702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74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33,578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rPr>
              <w:t>16,886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Cost of product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24,492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rPr>
              <w:t>17,365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23,317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23,297</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22,258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rPr>
              <w:t>8,998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(51,762)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(48,363)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(52,150)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(106,405)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(106,780)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(93,987)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(106,780</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to compute basic and diluted net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loss per share</w:t>
            </w: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133,917,571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w w:val="86"/>
              </w:rPr>
              <w:t>17,858,976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7,390,456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8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Redeemable</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Notes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8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4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w w:val="94"/>
              </w:rPr>
              <w:t>receivable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right="105"/>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Preferred Stock</w:t>
            </w:r>
          </w:p>
        </w:tc>
        <w:tc>
          <w:tcPr>
            <w:tcW w:w="1380" w:type="dxa"/>
            <w:vAlign w:val="bottom"/>
            <w:gridSpan w:val="3"/>
          </w:tcPr>
          <w:p>
            <w:pPr>
              <w:jc w:val="right"/>
              <w:ind w:right="204"/>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from</w:t>
            </w:r>
          </w:p>
        </w:tc>
        <w:tc>
          <w:tcPr>
            <w:tcW w:w="1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comprehensive</w:t>
            </w:r>
          </w:p>
        </w:tc>
        <w:tc>
          <w:tcPr>
            <w:tcW w:w="2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1"/>
                <w:szCs w:val="11"/>
                <w:color w:val="auto"/>
              </w:rPr>
            </w:pPr>
          </w:p>
        </w:tc>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1"/>
              </w:rPr>
              <w:t>stockholders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25"/>
              <w:spacing w:after="0" w:line="129" w:lineRule="exact"/>
              <w:rPr>
                <w:sz w:val="20"/>
                <w:szCs w:val="20"/>
                <w:color w:val="auto"/>
              </w:rPr>
            </w:pPr>
            <w:r>
              <w:rPr>
                <w:rFonts w:ascii="Arial" w:cs="Arial" w:eastAsia="Arial" w:hAnsi="Arial"/>
                <w:sz w:val="13"/>
                <w:szCs w:val="13"/>
                <w:b w:val="1"/>
                <w:bCs w:val="1"/>
                <w:color w:val="auto"/>
                <w:w w:val="76"/>
              </w:rPr>
              <w:t>loss</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 January 1, 2019</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4,384,348</w:t>
            </w:r>
          </w:p>
        </w:tc>
        <w:tc>
          <w:tcPr>
            <w:tcW w:w="2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$ 40,016</w:t>
            </w: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7,890,521</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  —</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897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(51,133)</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3"/>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(50,236)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5"/>
                <w:szCs w:val="15"/>
                <w:color w:val="auto"/>
              </w:rPr>
              <w:t>Cumulative-effect adjustment from</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adoption of ASC 842</w:t>
            </w: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3"/>
          </w:tcPr>
          <w:p>
            <w:pPr>
              <w:ind w:left="600"/>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Issuance of common stock upon exercise</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of stock options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8,545</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5"/>
                <w:szCs w:val="15"/>
                <w:color w:val="auto"/>
                <w:w w:val="97"/>
              </w:rPr>
              <w:t>Issuance of common stock upon vesting of</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restricted stock awards</w:t>
            </w: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3,340</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10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1,293</w:t>
            </w:r>
          </w:p>
        </w:tc>
        <w:tc>
          <w:tcPr>
            <w:tcW w:w="0" w:type="dxa"/>
            <w:vAlign w:val="bottom"/>
          </w:tcPr>
          <w:p>
            <w:pPr>
              <w:spacing w:after="0"/>
              <w:rPr>
                <w:sz w:val="1"/>
                <w:szCs w:val="1"/>
                <w:color w:val="auto"/>
              </w:rPr>
            </w:pPr>
          </w:p>
        </w:tc>
      </w:tr>
      <w:tr>
        <w:trPr>
          <w:trHeight w:val="162"/>
        </w:trPr>
        <w:tc>
          <w:tcPr>
            <w:tcW w:w="3080" w:type="dxa"/>
            <w:vAlign w:val="bottom"/>
          </w:tcPr>
          <w:p>
            <w:pPr>
              <w:ind w:left="300"/>
              <w:spacing w:after="0" w:line="162" w:lineRule="exact"/>
              <w:rPr>
                <w:sz w:val="20"/>
                <w:szCs w:val="20"/>
                <w:color w:val="auto"/>
              </w:rPr>
            </w:pPr>
            <w:r>
              <w:rPr>
                <w:rFonts w:ascii="Arial" w:cs="Arial" w:eastAsia="Arial" w:hAnsi="Arial"/>
                <w:sz w:val="15"/>
                <w:szCs w:val="15"/>
                <w:color w:val="auto"/>
              </w:rPr>
              <w:t>Issuance of notes to stockholders</w:t>
            </w:r>
          </w:p>
        </w:tc>
        <w:tc>
          <w:tcPr>
            <w:tcW w:w="10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ind w:left="500"/>
              <w:spacing w:after="0" w:line="162"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(44)</w:t>
            </w:r>
          </w:p>
        </w:tc>
        <w:tc>
          <w:tcPr>
            <w:tcW w:w="120" w:type="dxa"/>
            <w:vAlign w:val="bottom"/>
          </w:tcPr>
          <w:p>
            <w:pPr>
              <w:spacing w:after="0"/>
              <w:rPr>
                <w:sz w:val="14"/>
                <w:szCs w:val="14"/>
                <w:color w:val="auto"/>
              </w:rPr>
            </w:pPr>
          </w:p>
        </w:tc>
        <w:tc>
          <w:tcPr>
            <w:tcW w:w="86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Vesting of early exercised stock options</w:t>
            </w:r>
          </w:p>
        </w:tc>
        <w:tc>
          <w:tcPr>
            <w:tcW w:w="10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308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74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740" w:type="dxa"/>
            <w:vAlign w:val="bottom"/>
          </w:tcPr>
          <w:p>
            <w:pPr>
              <w:ind w:left="50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4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(51,661)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(51,661)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 December 31, 2019</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4,384,348</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40,016</w:t>
            </w: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7,902,407</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(44)</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(102,595)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(100,319)</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300"/>
              <w:spacing w:after="0"/>
              <w:rPr>
                <w:sz w:val="20"/>
                <w:szCs w:val="20"/>
                <w:color w:val="auto"/>
              </w:rPr>
            </w:pPr>
            <w:r>
              <w:rPr>
                <w:rFonts w:ascii="Arial" w:cs="Arial" w:eastAsia="Arial" w:hAnsi="Arial"/>
                <w:sz w:val="15"/>
                <w:szCs w:val="15"/>
                <w:color w:val="auto"/>
              </w:rPr>
              <w:t>Issuance of common stock upon exercise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of stock options</w:t>
            </w: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12,221,363</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Issuance of common stock upon exercise</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of restricted stock awards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1,617,264</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5"/>
                <w:szCs w:val="15"/>
                <w:color w:val="auto"/>
              </w:rPr>
              <w:t>Issuance of redeemable convertible</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preferred stock</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88,434,754</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39,225</w:t>
            </w:r>
          </w:p>
        </w:tc>
        <w:tc>
          <w:tcPr>
            <w:tcW w:w="9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Conversion of redeemable convertible</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 to common stock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9"/>
              </w:rPr>
              <w:t>(4,384,348)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(40,016)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4,384,348</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40,016</w:t>
            </w: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5"/>
                <w:szCs w:val="15"/>
                <w:color w:val="auto"/>
              </w:rPr>
              <w:t>Conversion of convertible notes to</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common stock</w:t>
            </w: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7,201,912</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78,311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78,311</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10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12,057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12,057</w:t>
            </w: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5"/>
                <w:szCs w:val="15"/>
                <w:color w:val="auto"/>
              </w:rPr>
              <w:t>Reclassification of a note receivable from</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60"/>
              <w:spacing w:after="0"/>
              <w:rPr>
                <w:sz w:val="20"/>
                <w:szCs w:val="20"/>
                <w:color w:val="auto"/>
              </w:rPr>
            </w:pPr>
            <w:r>
              <w:rPr>
                <w:rFonts w:ascii="Arial" w:cs="Arial" w:eastAsia="Arial" w:hAnsi="Arial"/>
                <w:sz w:val="15"/>
                <w:szCs w:val="15"/>
                <w:color w:val="auto"/>
              </w:rPr>
              <w:t>a stockholder</w:t>
            </w: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Vesting of early exercised stock options</w:t>
            </w:r>
          </w:p>
        </w:tc>
        <w:tc>
          <w:tcPr>
            <w:tcW w:w="10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162"/>
        </w:trPr>
        <w:tc>
          <w:tcPr>
            <w:tcW w:w="308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74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740" w:type="dxa"/>
            <w:vAlign w:val="bottom"/>
          </w:tcPr>
          <w:p>
            <w:pPr>
              <w:ind w:left="50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4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(106,780)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(106,780)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 December 31, 2020</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88,434,754</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39,225</w:t>
            </w: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w w:val="95"/>
              </w:rPr>
              <w:t>33,327,294</w:t>
            </w:r>
          </w:p>
        </w:tc>
        <w:tc>
          <w:tcPr>
            <w:tcW w:w="4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88"/>
              </w:rPr>
              <w:t>133,468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(209,375)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(75,907)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660" w:type="dxa"/>
            <w:vAlign w:val="bottom"/>
          </w:tcPr>
          <w:p>
            <w:pPr>
              <w:ind w:left="300"/>
              <w:spacing w:after="0"/>
              <w:rPr>
                <w:sz w:val="20"/>
                <w:szCs w:val="20"/>
                <w:color w:val="auto"/>
              </w:rPr>
            </w:pPr>
            <w:r>
              <w:rPr>
                <w:rFonts w:ascii="Arial" w:cs="Arial" w:eastAsia="Arial" w:hAnsi="Arial"/>
                <w:sz w:val="15"/>
                <w:szCs w:val="15"/>
                <w:color w:val="auto"/>
              </w:rPr>
              <w:t>Issuance of common stock upon exercise of stock</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options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Issuance of common stock upon exercise 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warrants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Repurchase of common stock</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w w:val="97"/>
              </w:rPr>
              <w:t>Issuance of redeemable convertible preferred stock</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upon exercise of warrants</w:t>
            </w: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4,232,947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58,097</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Conversion of redeemable convertible preferred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stock to common stock</w:t>
            </w: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6"/>
              </w:rPr>
              <w:t>(92,667,701)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89"/>
              </w:rPr>
              <w:t>(97,322)</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Issuance of common stock upon merger and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private offering, net of acquired private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placement warrants of $19,377</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Offering costs in connection with the merger</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Issuance of common stock in connection with</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acquisition</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Issuance of replacement equity awards in</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connection with acquisition</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Stock-based compensation expense, including</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60" w:type="dxa"/>
            <w:vAlign w:val="bottom"/>
          </w:tcPr>
          <w:p>
            <w:pPr>
              <w:ind w:left="460"/>
              <w:spacing w:after="0" w:line="162" w:lineRule="exact"/>
              <w:rPr>
                <w:sz w:val="20"/>
                <w:szCs w:val="20"/>
                <w:color w:val="auto"/>
              </w:rPr>
            </w:pPr>
            <w:r>
              <w:rPr>
                <w:rFonts w:ascii="Arial" w:cs="Arial" w:eastAsia="Arial" w:hAnsi="Arial"/>
                <w:sz w:val="15"/>
                <w:szCs w:val="15"/>
                <w:color w:val="auto"/>
              </w:rPr>
              <w:t>vesting of restricted stock units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Cancellation of previously issued awards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Vesting of early exercised stock options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366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75"/>
        </w:trPr>
        <w:tc>
          <w:tcPr>
            <w:tcW w:w="3660" w:type="dxa"/>
            <w:vAlign w:val="bottom"/>
          </w:tcPr>
          <w:p>
            <w:pPr>
              <w:ind w:left="300"/>
              <w:spacing w:after="0"/>
              <w:rPr>
                <w:sz w:val="20"/>
                <w:szCs w:val="20"/>
                <w:color w:val="auto"/>
              </w:rPr>
            </w:pPr>
            <w:r>
              <w:rPr>
                <w:rFonts w:ascii="Arial" w:cs="Arial" w:eastAsia="Arial" w:hAnsi="Arial"/>
                <w:sz w:val="15"/>
                <w:szCs w:val="15"/>
                <w:color w:val="auto"/>
              </w:rPr>
              <w:t>Other comprehensive loss</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r>
      <w:tr>
        <w:trPr>
          <w:trHeight w:val="169"/>
        </w:trPr>
        <w:tc>
          <w:tcPr>
            <w:tcW w:w="3660" w:type="dxa"/>
            <w:vAlign w:val="bottom"/>
          </w:tcPr>
          <w:p>
            <w:pPr>
              <w:spacing w:after="0" w:line="169" w:lineRule="exact"/>
              <w:rPr>
                <w:sz w:val="20"/>
                <w:szCs w:val="20"/>
                <w:color w:val="auto"/>
              </w:rPr>
            </w:pPr>
            <w:r>
              <w:rPr>
                <w:rFonts w:ascii="Arial" w:cs="Arial" w:eastAsia="Arial" w:hAnsi="Arial"/>
                <w:sz w:val="15"/>
                <w:szCs w:val="15"/>
                <w:color w:val="auto"/>
              </w:rPr>
              <w:t>Balance — December 31, 2021</w:t>
            </w:r>
          </w:p>
        </w:tc>
        <w:tc>
          <w:tcPr>
            <w:tcW w:w="9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r>
      <w:tr>
        <w:trPr>
          <w:trHeight w:val="20"/>
        </w:trPr>
        <w:tc>
          <w:tcPr>
            <w:tcW w:w="3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20" w:type="dxa"/>
            <w:vAlign w:val="bottom"/>
          </w:tcPr>
          <w:p>
            <w:pPr>
              <w:jc w:val="right"/>
              <w:spacing w:after="0"/>
              <w:rPr>
                <w:sz w:val="20"/>
                <w:szCs w:val="20"/>
                <w:color w:val="auto"/>
              </w:rPr>
            </w:pPr>
            <w:r>
              <w:rPr>
                <w:rFonts w:ascii="Arial" w:cs="Arial" w:eastAsia="Arial" w:hAnsi="Arial"/>
                <w:sz w:val="15"/>
                <w:szCs w:val="15"/>
                <w:color w:val="auto"/>
              </w:rPr>
              <w:t>2,148,437</w:t>
            </w:r>
          </w:p>
        </w:tc>
        <w:tc>
          <w:tcPr>
            <w:tcW w:w="300" w:type="dxa"/>
            <w:vAlign w:val="bottom"/>
          </w:tcPr>
          <w:p>
            <w:pPr>
              <w:spacing w:after="0"/>
              <w:rPr>
                <w:sz w:val="16"/>
                <w:szCs w:val="16"/>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526</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526</w:t>
            </w:r>
          </w:p>
        </w:tc>
      </w:tr>
      <w:tr>
        <w:trPr>
          <w:trHeight w:val="292"/>
        </w:trPr>
        <w:tc>
          <w:tcPr>
            <w:tcW w:w="820" w:type="dxa"/>
            <w:vAlign w:val="bottom"/>
          </w:tcPr>
          <w:p>
            <w:pPr>
              <w:jc w:val="right"/>
              <w:spacing w:after="0"/>
              <w:rPr>
                <w:sz w:val="20"/>
                <w:szCs w:val="20"/>
                <w:color w:val="auto"/>
              </w:rPr>
            </w:pPr>
            <w:r>
              <w:rPr>
                <w:rFonts w:ascii="Arial" w:cs="Arial" w:eastAsia="Arial" w:hAnsi="Arial"/>
                <w:sz w:val="15"/>
                <w:szCs w:val="15"/>
                <w:color w:val="auto"/>
              </w:rPr>
              <w:t>100</w:t>
            </w:r>
          </w:p>
        </w:tc>
        <w:tc>
          <w:tcPr>
            <w:tcW w:w="300" w:type="dxa"/>
            <w:vAlign w:val="bottom"/>
          </w:tcPr>
          <w:p>
            <w:pPr>
              <w:spacing w:after="0"/>
              <w:rPr>
                <w:sz w:val="24"/>
                <w:szCs w:val="24"/>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1</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r>
      <w:tr>
        <w:trPr>
          <w:trHeight w:val="194"/>
        </w:trPr>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(406,845)</w:t>
            </w: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(45)</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324"/>
        </w:trPr>
        <w:tc>
          <w:tcPr>
            <w:tcW w:w="11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324"/>
        </w:trPr>
        <w:tc>
          <w:tcPr>
            <w:tcW w:w="820" w:type="dxa"/>
            <w:vAlign w:val="bottom"/>
          </w:tcPr>
          <w:p>
            <w:pPr>
              <w:jc w:val="right"/>
              <w:spacing w:after="0"/>
              <w:rPr>
                <w:sz w:val="20"/>
                <w:szCs w:val="20"/>
                <w:color w:val="auto"/>
              </w:rPr>
            </w:pPr>
            <w:r>
              <w:rPr>
                <w:rFonts w:ascii="Arial" w:cs="Arial" w:eastAsia="Arial" w:hAnsi="Arial"/>
                <w:sz w:val="15"/>
                <w:szCs w:val="15"/>
                <w:color w:val="auto"/>
              </w:rPr>
              <w:t>92,667,701</w:t>
            </w:r>
          </w:p>
        </w:tc>
        <w:tc>
          <w:tcPr>
            <w:tcW w:w="300" w:type="dxa"/>
            <w:vAlign w:val="bottom"/>
          </w:tcPr>
          <w:p>
            <w:pPr>
              <w:spacing w:after="0"/>
              <w:rPr>
                <w:sz w:val="24"/>
                <w:szCs w:val="2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12</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97,310</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97,322</w:t>
            </w:r>
          </w:p>
        </w:tc>
      </w:tr>
      <w:tr>
        <w:trPr>
          <w:trHeight w:val="454"/>
        </w:trPr>
        <w:tc>
          <w:tcPr>
            <w:tcW w:w="820" w:type="dxa"/>
            <w:vAlign w:val="bottom"/>
          </w:tcPr>
          <w:p>
            <w:pPr>
              <w:jc w:val="right"/>
              <w:spacing w:after="0"/>
              <w:rPr>
                <w:sz w:val="20"/>
                <w:szCs w:val="20"/>
                <w:color w:val="auto"/>
              </w:rPr>
            </w:pPr>
            <w:r>
              <w:rPr>
                <w:rFonts w:ascii="Arial" w:cs="Arial" w:eastAsia="Arial" w:hAnsi="Arial"/>
                <w:sz w:val="15"/>
                <w:szCs w:val="15"/>
                <w:color w:val="auto"/>
              </w:rPr>
              <w:t>34,947,657</w:t>
            </w:r>
          </w:p>
        </w:tc>
        <w:tc>
          <w:tcPr>
            <w:tcW w:w="300" w:type="dxa"/>
            <w:vAlign w:val="bottom"/>
          </w:tcPr>
          <w:p>
            <w:pPr>
              <w:spacing w:after="0"/>
              <w:rPr>
                <w:sz w:val="24"/>
                <w:szCs w:val="2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272,061</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272,065</w:t>
            </w:r>
          </w:p>
        </w:tc>
      </w:tr>
      <w:tr>
        <w:trPr>
          <w:trHeight w:val="194"/>
        </w:trPr>
        <w:tc>
          <w:tcPr>
            <w:tcW w:w="11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(26,620)</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(26,620)</w:t>
            </w:r>
          </w:p>
        </w:tc>
      </w:tr>
      <w:tr>
        <w:trPr>
          <w:trHeight w:val="324"/>
        </w:trPr>
        <w:tc>
          <w:tcPr>
            <w:tcW w:w="820" w:type="dxa"/>
            <w:vAlign w:val="bottom"/>
          </w:tcPr>
          <w:p>
            <w:pPr>
              <w:jc w:val="right"/>
              <w:spacing w:after="0"/>
              <w:rPr>
                <w:sz w:val="20"/>
                <w:szCs w:val="20"/>
                <w:color w:val="auto"/>
              </w:rPr>
            </w:pPr>
            <w:r>
              <w:rPr>
                <w:rFonts w:ascii="Arial" w:cs="Arial" w:eastAsia="Arial" w:hAnsi="Arial"/>
                <w:sz w:val="15"/>
                <w:szCs w:val="15"/>
                <w:color w:val="auto"/>
              </w:rPr>
              <w:t>9,163,982</w:t>
            </w:r>
          </w:p>
        </w:tc>
        <w:tc>
          <w:tcPr>
            <w:tcW w:w="300" w:type="dxa"/>
            <w:vAlign w:val="bottom"/>
          </w:tcPr>
          <w:p>
            <w:pPr>
              <w:spacing w:after="0"/>
              <w:rPr>
                <w:sz w:val="24"/>
                <w:szCs w:val="2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1</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60,023</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60,024</w:t>
            </w:r>
          </w:p>
        </w:tc>
      </w:tr>
      <w:tr>
        <w:trPr>
          <w:trHeight w:val="324"/>
        </w:trPr>
        <w:tc>
          <w:tcPr>
            <w:tcW w:w="11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1,081</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1,081</w:t>
            </w:r>
          </w:p>
        </w:tc>
      </w:tr>
      <w:tr>
        <w:trPr>
          <w:trHeight w:val="292"/>
        </w:trPr>
        <w:tc>
          <w:tcPr>
            <w:tcW w:w="820" w:type="dxa"/>
            <w:vAlign w:val="bottom"/>
          </w:tcPr>
          <w:p>
            <w:pPr>
              <w:jc w:val="right"/>
              <w:spacing w:after="0"/>
              <w:rPr>
                <w:sz w:val="20"/>
                <w:szCs w:val="20"/>
                <w:color w:val="auto"/>
              </w:rPr>
            </w:pPr>
            <w:r>
              <w:rPr>
                <w:rFonts w:ascii="Arial" w:cs="Arial" w:eastAsia="Arial" w:hAnsi="Arial"/>
                <w:sz w:val="15"/>
                <w:szCs w:val="15"/>
                <w:color w:val="auto"/>
              </w:rPr>
              <w:t>458,012</w:t>
            </w:r>
          </w:p>
        </w:tc>
        <w:tc>
          <w:tcPr>
            <w:tcW w:w="300" w:type="dxa"/>
            <w:vAlign w:val="bottom"/>
          </w:tcPr>
          <w:p>
            <w:pPr>
              <w:spacing w:after="0"/>
              <w:rPr>
                <w:sz w:val="24"/>
                <w:szCs w:val="24"/>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25,363</w:t>
            </w: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25,363</w:t>
            </w:r>
          </w:p>
        </w:tc>
      </w:tr>
      <w:tr>
        <w:trPr>
          <w:trHeight w:val="162"/>
        </w:trPr>
        <w:tc>
          <w:tcPr>
            <w:tcW w:w="11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(105,921)</w:t>
            </w:r>
          </w:p>
        </w:tc>
        <w:tc>
          <w:tcPr>
            <w:tcW w:w="5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11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877</w:t>
            </w:r>
          </w:p>
        </w:tc>
        <w:tc>
          <w:tcPr>
            <w:tcW w:w="3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877</w:t>
            </w:r>
          </w:p>
        </w:tc>
      </w:tr>
      <w:tr>
        <w:trPr>
          <w:trHeight w:val="162"/>
        </w:trPr>
        <w:tc>
          <w:tcPr>
            <w:tcW w:w="11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(93,981)</w:t>
            </w:r>
          </w:p>
        </w:tc>
        <w:tc>
          <w:tcPr>
            <w:tcW w:w="6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(93,981)</w:t>
            </w:r>
          </w:p>
        </w:tc>
      </w:tr>
      <w:tr>
        <w:trPr>
          <w:trHeight w:val="175"/>
        </w:trPr>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w:t>
            </w:r>
          </w:p>
        </w:tc>
      </w:tr>
      <w:tr>
        <w:trPr>
          <w:trHeight w:val="20"/>
        </w:trPr>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20" w:type="dxa"/>
            <w:vAlign w:val="bottom"/>
          </w:tcPr>
          <w:p>
            <w:pPr>
              <w:jc w:val="right"/>
              <w:spacing w:after="0" w:line="169" w:lineRule="exact"/>
              <w:rPr>
                <w:sz w:val="20"/>
                <w:szCs w:val="20"/>
                <w:color w:val="auto"/>
              </w:rPr>
            </w:pPr>
            <w:r>
              <w:rPr>
                <w:rFonts w:ascii="Arial" w:cs="Arial" w:eastAsia="Arial" w:hAnsi="Arial"/>
                <w:sz w:val="15"/>
                <w:szCs w:val="15"/>
                <w:color w:val="auto"/>
                <w:w w:val="95"/>
              </w:rPr>
              <w:t>172,200,417</w:t>
            </w:r>
          </w:p>
        </w:tc>
        <w:tc>
          <w:tcPr>
            <w:tcW w:w="300" w:type="dxa"/>
            <w:vAlign w:val="bottom"/>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Arial" w:cs="Arial" w:eastAsia="Arial" w:hAnsi="Arial"/>
                <w:sz w:val="15"/>
                <w:szCs w:val="15"/>
                <w:color w:val="auto"/>
              </w:rPr>
              <w:t>$ 17</w:t>
            </w:r>
          </w:p>
        </w:tc>
        <w:tc>
          <w:tcPr>
            <w:tcW w:w="2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564,045</w:t>
            </w:r>
          </w:p>
        </w:tc>
        <w:tc>
          <w:tcPr>
            <w:tcW w:w="300" w:type="dxa"/>
            <w:vAlign w:val="bottom"/>
          </w:tcPr>
          <w:p>
            <w:pPr>
              <w:spacing w:after="0"/>
              <w:rPr>
                <w:sz w:val="14"/>
                <w:szCs w:val="14"/>
                <w:color w:val="auto"/>
              </w:rPr>
            </w:pPr>
          </w:p>
        </w:tc>
        <w:tc>
          <w:tcPr>
            <w:tcW w:w="320" w:type="dxa"/>
            <w:vAlign w:val="bottom"/>
          </w:tcPr>
          <w:p>
            <w:pPr>
              <w:jc w:val="right"/>
              <w:ind w:right="4"/>
              <w:spacing w:after="0" w:line="169" w:lineRule="exact"/>
              <w:rPr>
                <w:sz w:val="20"/>
                <w:szCs w:val="20"/>
                <w:color w:val="auto"/>
              </w:rPr>
            </w:pPr>
            <w:r>
              <w:rPr>
                <w:rFonts w:ascii="Arial" w:cs="Arial" w:eastAsia="Arial" w:hAnsi="Arial"/>
                <w:sz w:val="15"/>
                <w:szCs w:val="15"/>
                <w:color w:val="auto"/>
                <w:w w:val="94"/>
              </w:rPr>
              <w:t>$—</w:t>
            </w:r>
          </w:p>
        </w:tc>
        <w:tc>
          <w:tcPr>
            <w:tcW w:w="1200" w:type="dxa"/>
            <w:vAlign w:val="bottom"/>
            <w:gridSpan w:val="3"/>
          </w:tcPr>
          <w:p>
            <w:pPr>
              <w:jc w:val="right"/>
              <w:ind w:right="26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(303,356)</w:t>
            </w:r>
          </w:p>
        </w:tc>
        <w:tc>
          <w:tcPr>
            <w:tcW w:w="6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96"/>
              </w:rPr>
              <w:t>$  (6)</w:t>
            </w:r>
          </w:p>
        </w:tc>
        <w:tc>
          <w:tcPr>
            <w:tcW w:w="620" w:type="dxa"/>
            <w:vAlign w:val="bottom"/>
            <w:gridSpan w:val="2"/>
          </w:tcPr>
          <w:p>
            <w:pPr>
              <w:jc w:val="right"/>
              <w:ind w:right="40"/>
              <w:spacing w:after="0" w:line="169" w:lineRule="exact"/>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260,700</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-3068320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-2510790</wp:posOffset>
            </wp:positionV>
            <wp:extent cx="699516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-2099310</wp:posOffset>
            </wp:positionV>
            <wp:extent cx="699516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-1790700</wp:posOffset>
            </wp:positionV>
            <wp:extent cx="699516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-1276350</wp:posOffset>
            </wp:positionV>
            <wp:extent cx="699516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-967740</wp:posOffset>
            </wp:positionV>
            <wp:extent cx="699516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-556260</wp:posOffset>
            </wp:positionV>
            <wp:extent cx="699516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-350520</wp:posOffset>
            </wp:positionV>
            <wp:extent cx="699516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-128270</wp:posOffset>
            </wp:positionV>
            <wp:extent cx="699516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260"/>
            <w:col w:w="5340"/>
          </w:cols>
          <w:pgMar w:left="320" w:top="486" w:right="499" w:bottom="1440" w:gutter="0" w:footer="0" w:header="0"/>
        </w:sectPr>
      </w:pP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86" w:right="49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1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 (93,981)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(106,780)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(51,661)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right-of-use asset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Interest expense on notes and convertible debt</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debt discount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Change in fair value of warrant liabilities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derivative liability</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Gain on extinguishment of tranche right liability</w:t>
            </w:r>
          </w:p>
        </w:tc>
        <w:tc>
          <w:tcPr>
            <w:tcW w:w="4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Inventory write down</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Write-off of property and equipment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Services exchanged for common stock</w:t>
            </w:r>
          </w:p>
        </w:tc>
        <w:tc>
          <w:tcPr>
            <w:tcW w:w="4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(8,007)</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Inventory</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Accrued and other liabilities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lease liability</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(71,061)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(42,117)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(40,187)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net of cash acquired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(15,229)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Proceeds from the merger and private offering</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291,442</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offering costs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(26,620)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Repayment of debt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promissory notes to related parties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Repayment of promissory notes to related parties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warrants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w w:val="95"/>
              </w:rPr>
              <w:t>Proceeds from issuance of redeemable convertible preferred stock, net off issuance cost of $265</w:t>
            </w:r>
          </w:p>
        </w:tc>
        <w:tc>
          <w:tcPr>
            <w:tcW w:w="4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41,526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notes</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Proceeds from issuance of debt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258,304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184,656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5380"/>
              <w:spacing w:after="0"/>
              <w:rPr>
                <w:sz w:val="20"/>
                <w:szCs w:val="20"/>
                <w:color w:val="auto"/>
              </w:rPr>
            </w:pPr>
            <w:r>
              <w:rPr>
                <w:rFonts w:ascii="Arial" w:cs="Arial" w:eastAsia="Arial" w:hAnsi="Arial"/>
                <w:sz w:val="18"/>
                <w:szCs w:val="18"/>
                <w:color w:val="auto"/>
              </w:rPr>
              <w:t>F-8</w:t>
            </w: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40" w:type="dxa"/>
            <w:vAlign w:val="bottom"/>
            <w:gridSpan w:val="2"/>
          </w:tcPr>
          <w:p>
            <w:pPr>
              <w:ind w:left="360"/>
              <w:spacing w:after="0"/>
              <w:rPr>
                <w:sz w:val="20"/>
                <w:szCs w:val="20"/>
                <w:color w:val="auto"/>
              </w:rPr>
            </w:pPr>
            <w:r>
              <w:rPr>
                <w:rFonts w:ascii="Arial" w:cs="Arial" w:eastAsia="Arial" w:hAnsi="Arial"/>
                <w:sz w:val="18"/>
                <w:szCs w:val="18"/>
                <w:color w:val="auto"/>
              </w:rPr>
              <w:t>Cash paid for interest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ind w:left="240"/>
              <w:spacing w:after="0"/>
              <w:rPr>
                <w:sz w:val="20"/>
                <w:szCs w:val="20"/>
                <w:color w:val="auto"/>
              </w:rPr>
            </w:pPr>
            <w:r>
              <w:rPr>
                <w:rFonts w:ascii="Arial" w:cs="Arial" w:eastAsia="Arial" w:hAnsi="Arial"/>
                <w:sz w:val="18"/>
                <w:szCs w:val="18"/>
                <w:color w:val="auto"/>
              </w:rPr>
              <w:t>635</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1,228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w w:val="86"/>
              </w:rPr>
              <w:t>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4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ind w:left="240"/>
              <w:spacing w:after="0"/>
              <w:rPr>
                <w:sz w:val="20"/>
                <w:szCs w:val="20"/>
                <w:color w:val="auto"/>
              </w:rPr>
            </w:pPr>
            <w:r>
              <w:rPr>
                <w:rFonts w:ascii="Arial" w:cs="Arial" w:eastAsia="Arial" w:hAnsi="Arial"/>
                <w:sz w:val="18"/>
                <w:szCs w:val="18"/>
                <w:color w:val="auto"/>
              </w:rPr>
              <w:t>377</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232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w w:val="86"/>
              </w:rPr>
              <w:t>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6,265</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6,409</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40" w:type="dxa"/>
            <w:vAlign w:val="bottom"/>
            <w:gridSpan w:val="2"/>
            <w:vMerge w:val="restart"/>
          </w:tcPr>
          <w:p>
            <w:pPr>
              <w:ind w:left="360"/>
              <w:spacing w:after="0"/>
              <w:rPr>
                <w:sz w:val="20"/>
                <w:szCs w:val="20"/>
                <w:color w:val="auto"/>
              </w:rPr>
            </w:pPr>
            <w:r>
              <w:rPr>
                <w:rFonts w:ascii="Arial" w:cs="Arial" w:eastAsia="Arial" w:hAnsi="Arial"/>
                <w:sz w:val="18"/>
                <w:szCs w:val="18"/>
                <w:color w:val="auto"/>
              </w:rPr>
              <w:t>Equity issued in connection with acquisition</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2"/>
              </w:rPr>
              <w:t>$ 61,105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redeemable convertible preferred stock upon exercise of warrants</w:t>
            </w:r>
          </w:p>
        </w:tc>
        <w:tc>
          <w:tcPr>
            <w:tcW w:w="220" w:type="dxa"/>
            <w:vAlign w:val="bottom"/>
            <w:gridSpan w:val="2"/>
            <w:shd w:val="clear" w:color="auto" w:fill="CCEEFF"/>
          </w:tcPr>
          <w:p>
            <w:pPr>
              <w:spacing w:after="0"/>
              <w:rPr>
                <w:sz w:val="18"/>
                <w:szCs w:val="18"/>
                <w:color w:val="auto"/>
              </w:rPr>
            </w:pPr>
          </w:p>
        </w:tc>
        <w:tc>
          <w:tcPr>
            <w:tcW w:w="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$ 58,097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40" w:type="dxa"/>
            <w:vAlign w:val="bottom"/>
            <w:gridSpan w:val="2"/>
            <w:vMerge w:val="restart"/>
          </w:tcPr>
          <w:p>
            <w:pPr>
              <w:ind w:left="360"/>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2"/>
              </w:rPr>
              <w:t>$ 97,322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$ 40,016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 pursuant to the conversion of convertible notes and accrued interest</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$ 78,311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40" w:type="dxa"/>
            <w:vAlign w:val="bottom"/>
            <w:gridSpan w:val="2"/>
            <w:vMerge w:val="restart"/>
          </w:tcPr>
          <w:p>
            <w:pPr>
              <w:ind w:left="360"/>
              <w:spacing w:after="0"/>
              <w:rPr>
                <w:sz w:val="20"/>
                <w:szCs w:val="20"/>
                <w:color w:val="auto"/>
              </w:rPr>
            </w:pPr>
            <w:r>
              <w:rPr>
                <w:rFonts w:ascii="Arial" w:cs="Arial" w:eastAsia="Arial" w:hAnsi="Arial"/>
                <w:sz w:val="18"/>
                <w:szCs w:val="18"/>
                <w:color w:val="auto"/>
              </w:rPr>
              <w:t>Deferred transaction costs not yet paid</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$ 3,373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Reclassification of common stock on exercise of stock options with notes receivable from stockholders</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40" w:type="dxa"/>
            <w:vAlign w:val="bottom"/>
            <w:gridSpan w:val="2"/>
            <w:vMerge w:val="restart"/>
          </w:tcPr>
          <w:p>
            <w:pPr>
              <w:ind w:left="360"/>
              <w:spacing w:after="0"/>
              <w:rPr>
                <w:sz w:val="20"/>
                <w:szCs w:val="20"/>
                <w:color w:val="auto"/>
              </w:rPr>
            </w:pPr>
            <w:r>
              <w:rPr>
                <w:rFonts w:ascii="Arial" w:cs="Arial" w:eastAsia="Arial" w:hAnsi="Arial"/>
                <w:sz w:val="18"/>
                <w:szCs w:val="18"/>
                <w:color w:val="auto"/>
              </w:rPr>
              <w:t>Issuance of warrants per loan agreement amendment</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 on exercise of stock options with notes receivable from stockholders</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240" w:type="dxa"/>
            <w:vAlign w:val="bottom"/>
            <w:gridSpan w:val="9"/>
          </w:tcPr>
          <w:p>
            <w:pPr>
              <w:spacing w:after="0"/>
              <w:rPr>
                <w:sz w:val="20"/>
                <w:szCs w:val="20"/>
                <w:color w:val="auto"/>
              </w:rPr>
            </w:pPr>
            <w:r>
              <w:rPr>
                <w:rFonts w:ascii="Arial" w:cs="Arial" w:eastAsia="Arial" w:hAnsi="Arial"/>
                <w:sz w:val="18"/>
                <w:szCs w:val="18"/>
                <w:color w:val="auto"/>
                <w:w w:val="90"/>
              </w:rPr>
              <w:t>Reconciliation of cash, cash equivalents and restricted cash reported within the consolidated balance sheets as of 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720" w:type="dxa"/>
            <w:vAlign w:val="bottom"/>
            <w:gridSpan w:val="4"/>
          </w:tcPr>
          <w:p>
            <w:pPr>
              <w:ind w:left="2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2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$ 182,644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$ 11,362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$ 16,848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40" w:type="dxa"/>
            <w:vAlign w:val="bottom"/>
            <w:gridSpan w:val="2"/>
          </w:tcPr>
          <w:p>
            <w:pPr>
              <w:ind w:left="360"/>
              <w:spacing w:after="0"/>
              <w:rPr>
                <w:sz w:val="20"/>
                <w:szCs w:val="20"/>
                <w:color w:val="auto"/>
              </w:rPr>
            </w:pPr>
            <w:r>
              <w:rPr>
                <w:rFonts w:ascii="Arial" w:cs="Arial" w:eastAsia="Arial" w:hAnsi="Arial"/>
                <w:sz w:val="18"/>
                <w:szCs w:val="18"/>
                <w:color w:val="auto"/>
              </w:rPr>
              <w:t>Restricted cash, current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 non-current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1,281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240" w:type="dxa"/>
            <w:vAlign w:val="bottom"/>
            <w:gridSpan w:val="2"/>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$ 184,656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$ 12,642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$ 18,405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72"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195" w:lineRule="exact"/>
        <w:rPr>
          <w:sz w:val="20"/>
          <w:szCs w:val="20"/>
          <w:color w:val="auto"/>
        </w:rPr>
      </w:pPr>
    </w:p>
    <w:p>
      <w:pPr>
        <w:ind w:left="120" w:right="400"/>
        <w:spacing w:after="0" w:line="301" w:lineRule="auto"/>
        <w:rPr>
          <w:sz w:val="20"/>
          <w:szCs w:val="20"/>
          <w:color w:val="auto"/>
        </w:rPr>
      </w:pPr>
      <w:r>
        <w:rPr>
          <w:rFonts w:ascii="Arial" w:cs="Arial" w:eastAsia="Arial" w:hAnsi="Arial"/>
          <w:sz w:val="16"/>
          <w:szCs w:val="16"/>
          <w:color w:val="auto"/>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Company has been actively monitoring the ongoing COVID-19 pandemic situation and its impact on the Company’s business. In response to the pandemic, numerous state and local jurisdictions have imposed “shelter-in-place” orders, quarantines and other restrictions. In the United States, governmental authorities have, at times, recommended, and in certain cases required, that elective, specialty and other procedures and appointments, be suspended or canceled. In the United States, COVID-19 restrictions continue to vary state by state as the measures depend greatly on the political landscape and the resurgence of new cases. In California, where the Company’s headquarters are located, face coverings indoors are still recommended regardless of vaccination status, and some counties continue to have mask mandates. Such orders or restrictions have, at times during the pandemic, resulted in reduced operations at the Company’s headquarters (including its manufacturing facility), work stoppages, slowdowns and delays, travel restrictions and cancellation of events and have restricted the efforts of the Company’s sales representatives, thereby significantly and negatively impacting the Company’s operations.</w:t>
      </w:r>
    </w:p>
    <w:p>
      <w:pPr>
        <w:spacing w:after="0" w:line="18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developments that are highly uncertain, including as a result of new information that may emerge concerning COVID-19, including variants, the progression and effectiveness of vaccination roll-outs, vaccination hesitancy, and the actions taken to contain it or treat COVID-19, as well as the economic impact on local, regional, national and international customers and markets. The situation surrounding COVID-19 remains fluid and the potential for a material impact on the Company increases the longer the virus impacts the level of economic activity in the United States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86"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and globally. Given the ongoing evolution of the COVID-19 and the global responses to curb its impact, the Company is not able to estimate the future effects of the COVID-19 on its results of operations, financial condition, or liquidity.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accompanying consolidated financial statements have been prepared on a going concern basis. The Company has experienced recurring losses from operations, and negative cash flows from operations. As of December 31, 2021, the Company had an accumulated deficit of approximately</w:t>
      </w:r>
    </w:p>
    <w:p>
      <w:pPr>
        <w:ind w:left="120" w:right="20"/>
        <w:spacing w:after="0" w:line="268" w:lineRule="auto"/>
        <w:rPr>
          <w:sz w:val="20"/>
          <w:szCs w:val="20"/>
          <w:color w:val="auto"/>
        </w:rPr>
      </w:pPr>
      <w:r>
        <w:rPr>
          <w:rFonts w:ascii="Arial" w:cs="Arial" w:eastAsia="Arial" w:hAnsi="Arial"/>
          <w:sz w:val="17"/>
          <w:szCs w:val="17"/>
          <w:color w:val="auto"/>
        </w:rPr>
        <w:t>$303.4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December 31, 2021 are sufficient for the Company to continue as a going concern for at least one year from the date these consolidated financial statements are available for issuance.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17"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warrant to purchase one share of Ouster common stock pursuant to the Warrant Agreement. No fractional Public warrants were issued upon separation of the CLA units.</w:t>
      </w:r>
    </w:p>
    <w:p>
      <w:pPr>
        <w:spacing w:after="0" w:line="16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86"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OTI Capital Stock were exercised in full or terminated in accordance with their respective terms (the “OTI Warrant Settlement”).</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 received gross proceeds of $299.9 million from the Merger and private offering, offset by $8.5 million of pre-merger costs relating to CLA and offerings costs of $26.6 million.</w:t>
      </w:r>
    </w:p>
    <w:p>
      <w:pPr>
        <w:spacing w:after="0" w:line="19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Merger was accounted for as a reverse recapitalization.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Items subject to such estimates and assumptions include, but are not limited to, the useful lives of long-lived assets, revenue recognition, sales return reserve, inventory write downs, the realizability of deferred tax assets, the measurement of stock-based compensation, and the valuation of the Company’s various financial instruments. The Company bases its estimates on historical experience and on various other assumptions that the Company believes to be reasonable under the circumstances. On an ongoing basis, the Company evaluates these assumptions, judgments and estimates. Actual results may differ from these estimates.</w:t>
      </w:r>
    </w:p>
    <w:p>
      <w:pPr>
        <w:spacing w:after="0" w:line="17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Due to the novel coronavirus (“COVID-19”) pandemic, there is ongoing uncertainty and significant disruption in the global economy and financial markets. The Company is not aware of any specific event or circumstances that would require an update to estimates, judgments or assumptions or a revision to the carrying value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Company’s assets or liabilities as of the date these financial statements were available to be issued. These estimates, judgments and assumptions may change in the future, as new events occur, or additional information is obtained.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spacing w:after="0" w:line="16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operates as one reportable and operating segment, which relates to the sale of lidar sensor kits. The Company’s chief operating decision maker is its chief executive officer, who reviews financial information presented on a consolidated basis for purposes of making operating decisions, assessing financial performance and allocating resources.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color w:val="auto"/>
        </w:rPr>
        <w:t xml:space="preserve">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revenue is recognized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117"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color w:val="auto"/>
        </w:rPr>
        <w:t>The Company considers the terms and conditions of revenue contracts and its customary business practices in identifying contracts with its customers. It is determined that a contract with a customer exists when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86"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The Company’s performance obligations consist of (i) sale of lidar sensor kits and (ii) product development and validation services. Amounts billed to customers related to shipping and handling are classified as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product or services to the customer. Variable consideration is included in the transaction price if the Company judges that it is probable that a significant future reversal of cumulative revenue under the contract will not occur. The Company does not have a material amount of variable consideration in its agreements with customers. None of the Company’s contracts contain a significant financing component. All taxes assessed by a governmental authority on a specific revenue-producing transaction collected by the Company from a customer are excluded from the transaction price. The Company’s general terms and conditions for its contracts do not contain a right of return that allows the customer to return products and receive a credit.</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117"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2021, 2020 and 2019 the Company did not have a material volume of contracts that required the allocation of transaction price to multiple performance obligations.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left="560" w:right="80"/>
        <w:spacing w:after="0" w:line="269"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promised product or service to a customer. Revenue is recognized when control of products or services is transferred to customers, in an amount that reflects the consideration that the Company expects to receive in exchange for those products or services. The Company generates all of its revenue from contracts with customers and applies judgment in identifying and evaluating any terms and conditions in contracts which may impact revenue recognition. Revenue is recognized at a point in time when control of the goods is transferred to the customer, generally occurring upon shipment. Product sales to certain customers may require customer acceptance due to performance acceptance criteria that is considered more than a formality. For these product sales, revenue is recognized upon the expiration of the customer acceptance period. The obligation to provide services is generally satisfied over time, with the customer simultaneously receiving and consuming the benefits as the Company satisfies its performance obligations. For these service projects, the Company bills and recognizes revenue as the services are performed. For these arrangements, control is transferred to the customer as the Company’s inputs incurred to complete the project; therefore, revenue is recognized over the service period with the measure of progress using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input method based on labor costs incurred to total labor cost (cost-to-cost) as the services are provided. The Company did not have any revenue from services that were recognized over time in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2021 and 2020 was $2.2 million and $0.3 million, respectively. No commission plan was in place and no expense was recognized for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of return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2021 and 2020. Actual returns in subsequent periods have been consistent with estimated amounts.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Additionally, as a practical expedient, the Company has not disclosed the value of unsatisfied performance obligations for contracts with an original expected length of one year or less. The deferred revenue balance represents the remaining performance obligations for contracts with an original duration of greater than one year. For the years ended December 31, 2021, 2020 and 2019, the Company recognized less than $0.1 million, $0.5 million and less than $0.1 million of revenue that was deferred as of December 31, 2020, 2019 and 2018 respectively. Deferred revenue was $0.2 million as of December 31, 2021, relating primarily to the development and validation services. All of the deferred revenue balance at December 31, 2021 is expected to be recognized in the year ending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total revenues by geographic area based on the location products were shipped to and services provided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Americas, excluding United States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60" w:type="dxa"/>
            <w:vAlign w:val="bottom"/>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Asia and Pacific</w:t>
            </w:r>
          </w:p>
        </w:tc>
        <w:tc>
          <w:tcPr>
            <w:tcW w:w="30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9"/>
                <w:szCs w:val="19"/>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$ 33,578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11,413</w:t>
            </w:r>
          </w:p>
        </w:tc>
        <w:tc>
          <w:tcPr>
            <w:tcW w:w="60" w:type="dxa"/>
            <w:vAlign w:val="bottom"/>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680" w:type="dxa"/>
            <w:vAlign w:val="bottom"/>
            <w:gridSpan w:val="2"/>
          </w:tcPr>
          <w:p>
            <w:pPr>
              <w:jc w:val="right"/>
              <w:ind w:right="2279"/>
              <w:spacing w:after="0"/>
              <w:rPr>
                <w:sz w:val="20"/>
                <w:szCs w:val="20"/>
                <w:color w:val="auto"/>
              </w:rPr>
            </w:pPr>
            <w:r>
              <w:rPr>
                <w:rFonts w:ascii="Arial" w:cs="Arial" w:eastAsia="Arial" w:hAnsi="Arial"/>
                <w:sz w:val="18"/>
                <w:szCs w:val="18"/>
                <w:color w:val="auto"/>
              </w:rPr>
              <w:t>F-15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Cost of revenue consists of the manufacturing cost of digital lidar sensors, which primarily consists of sensor components, personnel-related costs directly associated with the manufacturing, and amounts paid to our third-party contract manufacturer and vendors.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440"/>
        <w:spacing w:after="0" w:line="311" w:lineRule="auto"/>
        <w:rPr>
          <w:sz w:val="20"/>
          <w:szCs w:val="20"/>
          <w:color w:val="auto"/>
        </w:rPr>
      </w:pPr>
      <w:r>
        <w:rPr>
          <w:rFonts w:ascii="Arial" w:cs="Arial" w:eastAsia="Arial" w:hAnsi="Arial"/>
          <w:sz w:val="16"/>
          <w:szCs w:val="16"/>
          <w:color w:val="auto"/>
        </w:rPr>
        <w:t>Expenditures incurred in the research and development of new products and enhancements to existing products are charged to expense as incurred. Research and development costs include, but are not limited to payroll and personnel expenses, laboratory supplies, prototype materials consumed during product development and the inventory materials consumed during pilot manufacturing runs, and consulting costs.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costs are charged to expense as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16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2021, 2020 and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Company’s foreign currency translation adjustment is the only component of other comprehensive loss that is excluded from the reported net loss for all periods 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an original maturity from the date of purchase of three months or less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of cash deposited with banks and a money market account.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 consists of certificates of deposit held by banks as security for outstanding letters of credit.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Company’s allowance for expected credit losses were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48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140" w:type="dxa"/>
            <w:vAlign w:val="bottom"/>
            <w:gridSpan w:val="4"/>
          </w:tcPr>
          <w:p>
            <w:pPr>
              <w:ind w:left="820"/>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128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w w:val="86"/>
              </w:rPr>
              <w:t>379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Uncollectible accounts written off, net of recoveries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23"/>
        </w:trPr>
        <w:tc>
          <w:tcPr>
            <w:tcW w:w="48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507</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Inventory consists principally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 The Company wrote down inventories of $0.8 million, $0.8 million and $4.8 million during the years ended December 31, 2021, 2020 and 2019, respectively, included in cost of revenue.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Depreciation is computed using the straight-line method over the estimated useful lives of the assets (see Note 5).</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86"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 There were no triggering events identified. The Company has not identified any such impairment losses to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the carrying value.</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Goodwill is tested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 The Company has determined that it operates in a single operating segment and has a single reporting unit.</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 more likely than not that the fair value of the reporting unit is less than the carrying amount, then the Company would perform a quantitative impairment test.</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As of December 31, 2021, no impairment of goodwill has been identified.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Intangible assets consist primarily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83" w:lineRule="exact"/>
        <w:rPr>
          <w:sz w:val="20"/>
          <w:szCs w:val="20"/>
          <w:color w:val="auto"/>
        </w:rPr>
      </w:pPr>
    </w:p>
    <w:p>
      <w:pPr>
        <w:ind w:left="5460" w:right="5240" w:hanging="4912"/>
        <w:spacing w:after="0" w:line="535" w:lineRule="auto"/>
        <w:tabs>
          <w:tab w:leader="none" w:pos="1094"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I - Quoted prices for identical instruments in active markets. F-18</w:t>
      </w:r>
    </w:p>
    <w:p>
      <w:pPr>
        <w:sectPr>
          <w:pgSz w:w="11900" w:h="16838" w:orient="portrait"/>
          <w:cols w:equalWidth="0" w:num="1">
            <w:col w:w="11120"/>
          </w:cols>
          <w:pgMar w:left="320" w:top="486"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records redeemable convertible preferred stock at their respective fair values on the dates of issuance, net of issuance costs. The redeemable convertible preferred stock is recorded outside of permanent equity because while it was not mandatorily redeemable, in the event of certain events considered not solely within the Company’s control, such as a merger, acquisition or sale of all or substantially all of the Company’s assets (each, a “deemed liquidation event”), the redeemable convertible preferred stock would become redeemable at the option of the holders of such shares. The Company did not adjust the carrying values of the redeemable convertible preferred stock to the liquidation preferences of such shares because it was not probable that a deemed liquidation event would occur that would obligate the Company to pay the liquidation preferences to holders of shares of redeemable convertible preferred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17"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Warrant liabilities consist of redeemable convertible preferred stock warrants and Private Placement warrants. The Company’s redeemable convertible preferred stock warrants were accounted for as a liability as the underlying redeemable convertible preferred stock were contingently redeemable and would obligate the Company to transfer assets to the holders at a future date upon occurrence of a deemed liquidation event.</w:t>
      </w:r>
    </w:p>
    <w:p>
      <w:pPr>
        <w:spacing w:after="0" w:line="14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Private Placement warrants are not redeemable for cash so long as they are held by the initial purchasers or their permitted transferees but may be redeemable for common stock if certain other conditions are met. If the Private Placement warrants are held by someone other than the initial purchasers or their permitted transferees, the Private Placement warrants are redeemable by the Company and exercisable by such holders subject to certain conditions, such as the reported closing price of our common stock equaling or exceeding $18.00 per share (as adjusted for stock splits, stock dividends, reorganizations, recapitalizations and the like) for any 20 trading days within a 30 trading-day period ending three business days before the Company sends the notice of redemption to the holders of Private Placement warrants. The Company evaluated the Private Placement warrants and concluded that they do not meet the criteria to be classified within stockholders’ equity. The agreement governing the Private Placement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This provision precludes the Company from classifying the Private Placement warrants in stockholders’ equity.</w:t>
      </w:r>
    </w:p>
    <w:p>
      <w:pPr>
        <w:spacing w:after="0" w:line="18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As the redeemable convertible preferred stock warrants and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 The Company’s redeemable convertible preferred stock warrants were exercised in 2021 and no redeemable convertible preferred stock warrants were outstanding as of December 31,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and restricted cash, and accounts receivable. Cash, cash equivalents and restricted cash are deposited with federally insured commercial banks in the U.S. and UK, Hong Kong, China and European Union. At times, cash balances in the U.S. may be in excess of federal insurance limits. As of December 31, 2021 and 2020,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color w:val="auto"/>
        </w:rPr>
        <w:t>Company had cash, cash equivalents and restricted cash on deposit with financial institutions in US of $184.2 million and $12.5 million. As of December 31, 2021 and 2020, the Company also had cash on deposit with financial institutions in countries other than the US of approximately $0.5 million and $0.1 million, respectively, that was not federally insured.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generally does not require collateral or other security deposits for accounts receivable.</w:t>
      </w:r>
    </w:p>
    <w:p>
      <w:pPr>
        <w:spacing w:after="0" w:line="22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Customer B</w:t>
            </w:r>
          </w:p>
        </w:tc>
        <w:tc>
          <w:tcPr>
            <w:tcW w:w="202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20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Customer accounted for less than 10% of total accounts receivable in the period.</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There were no customers that accounted for more than 10% of revenue during the year ended December 31, 2021. Revenue from customer D accounted for approximately 11% and 22% of total revenue during the year ended December 31,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One supplier accounted for approximately 20% of total purchases during the year ended December 31, 2021 and accounted for 55% of total accounts payable balance as of December 31, 2021. One supplier accounted for approximately 15% of total purchases during the year ended December 31, 2020 and there were no suppliers that accounted for more than 23% of total accounts payable balance as of December 31, 2020. One supplier accounted for approximately 12% of total purchases during the year ended December 31, 2019 and there were no suppliers that accounted for more than 10% of total accounts payable balance as of December 31,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 capitalizes certain legal, accounting and other third-party fees that are directly related to the Company’s in-process equity financings, including the merger with Colonnade Acquisition Corp, until such financings are consummated. After consummation of the equity financing, these costs will be recorded as a reduction of the proceeds received as a result of the equity financing. In the event that a planned equity financing does not occur or is significantly delayed, all related deferred offering costs are expensed immediately within the Company’s consolidated statements of operations and comprehensive loss. The Company capitalized $3.4 million of costs related to the merger with Colonnade Acquisition Corp. at December 31, 2020 (included in other non-current assets in the consolidated balance sheets). Upon the closing of the Merger the deferred transaction costs were recorded in the additional paid-in capital and there were no deferred transaction costs as of December 31, 2021.</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86"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measures and recognizes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spacing w:after="0" w:line="89" w:lineRule="exact"/>
        <w:rPr>
          <w:sz w:val="20"/>
          <w:szCs w:val="20"/>
          <w:color w:val="auto"/>
        </w:rPr>
      </w:pPr>
    </w:p>
    <w:p>
      <w:pPr>
        <w:ind w:left="1080" w:right="100" w:hanging="532"/>
        <w:spacing w:after="0" w:line="287"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Valuation </w:t>
      </w:r>
      <w:r>
        <w:rPr>
          <w:rFonts w:ascii="Arial" w:cs="Arial" w:eastAsia="Arial" w:hAnsi="Arial"/>
          <w:sz w:val="16"/>
          <w:szCs w:val="16"/>
          <w:color w:val="auto"/>
        </w:rPr>
        <w:t>– The fair value of the shares of common stock underlying the Company’s stock-based awards issued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is based on the grant date closing fair market value of the Company’s common stock. Before closing of the Merger, the fair value of the shares of common stock underlying the Company’s stock-based awards was historically determined by management and approved by the Board of Directors. Because there was no public market for the Company’s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spacing w:after="0" w:line="77" w:lineRule="exact"/>
        <w:rPr>
          <w:rFonts w:ascii="Arial" w:cs="Arial" w:eastAsia="Arial" w:hAnsi="Arial"/>
          <w:sz w:val="16"/>
          <w:szCs w:val="16"/>
          <w:color w:val="auto"/>
        </w:rPr>
      </w:pPr>
    </w:p>
    <w:p>
      <w:pPr>
        <w:ind w:left="1080" w:right="300" w:hanging="532"/>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Company’s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which deems the term to be the average of the time to vesting and the contractual life of the options.</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is based on the historical volatility for the period commensurate with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for a peer group of comparable companies with publicly traded shares.</w:t>
      </w:r>
    </w:p>
    <w:p>
      <w:pPr>
        <w:spacing w:after="0" w:line="75" w:lineRule="exact"/>
        <w:rPr>
          <w:rFonts w:ascii="Arial" w:cs="Arial" w:eastAsia="Arial" w:hAnsi="Arial"/>
          <w:sz w:val="18"/>
          <w:szCs w:val="18"/>
          <w:b w:val="1"/>
          <w:bCs w:val="1"/>
          <w:color w:val="auto"/>
        </w:rPr>
      </w:pPr>
    </w:p>
    <w:p>
      <w:pPr>
        <w:ind w:left="1080" w:right="2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 The Company does not currently pay cash dividends on its common stock and does not anticipate doing 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Accordingly, the expected dividend yield is 0%.</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yield for a term consistent with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effect at the time of grant.</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loan notes for purchase of common stock</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Certain executives and employees of the Company exercised stock options early or purchased stock in exchange for promissory notes in the year ended December 31, 2020. These notes were secured by the underlying shares purchased (the notes were 50% recourse and 50% non-recourse) and the Company had the right to repurchase such unvested shares upon employee termination at the original issuance price. The Company accounted for the notes as non-recourse in their entirety and did not record the notes in the consolidated financial statements as the Company did not consider the recourse rights to be substantive. The half of the respective obligations under the promissory notes were forgiven and the remaining balance was repaid in 2021 (see Note 12).</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Deferred tax liabilities and assets are recognized for the expected future tax consequences of temporary differences between financial statement carrying amounts and the tax basis of assets and liabilities and net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operating loss (NOL) and tax credit carryforwards. Valuation allowances are established when necessary to reduce deferred tax assets to the amount expected to be realized. Due to its history of operating losses, the Company has recorded a full valuation allowance against its deferred tax assets as of December 31, 2021 and December 31, 2020.</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 appeals or litigation processes, if any. An uncertain tax position that meets a more likely than not standard based on its technical merit would then be evaluated under the measurement step to determine the largest tax benefit that the taxpayer 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February 2016, the FASB issued ASC 842, Leases, a new standard requiring lessees to recognize operating and finance lease liabilities on the balance sheet, as well as corresponding right-of-use (“ROU”) assets. This standard also made some changes to lessor accounting and aligns key aspects of the lessor accounting model with the revenue recognition standard. In addition, disclosures are required to enable users of financial statements to assess the amount, timing, and uncertainty of cash flows arising from leases. ASC 842 requires adoption using the modified retrospective approach, with the option of applying the requirements of the standard either i) retrospectively to each prior comparative reporting period presented, or ii) retrospectively at the beginning of the period of adoption. The new standard also eliminates the previous build-to-suit lease accounting guidance, which results in the derecognition of build-to-suit assets and liabilities that remained on the balance sheet as of the ASC 842 adoption date. The Company adopted ASC 842 on January 1, 2019 on a modified retrospective basis, reflecting an immaterial cumulative effect as an adjustment to retained earnings. The Company elected the permitted practical expedients not to reassess the following related to leases that commenced before the effective date of ASC 842: (i) whether any expired or existing contracts contain leases; (ii) the lease classification for any expired or existing leases; and (iii) initial direct costs for any existing leases. The Company also elected the practical expedient to use hindsight in determining lease term and assessment of impairment of right of use assets.</w:t>
      </w:r>
    </w:p>
    <w:p>
      <w:pPr>
        <w:spacing w:after="0" w:line="17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new standard also provides certain accounting elections for an entity’s ongoing accounting. The Company elected the short-term lease recognition exemption for all leases that qualify. This means that, for those leases that qualify, the Company will not recognize ROU assets or lease liabilities for leases with an initial lease term of one year or less. The Company also elected to not separate lease and nonlease components for its building leases. The nonlease components are generally variable in nature and are expected to represent most of the Company’s variable lease costs. Variable costs are expensed as incurred. The Company determines whether an arrangement is a lease, or contains a lease, at inception.</w:t>
      </w:r>
    </w:p>
    <w:p>
      <w:pPr>
        <w:spacing w:after="0" w:line="161"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For the purpose of the adoption of ASC 842, the Company also performed an evaluation of its other contracts with customers and suppliers in accordance with ASC 842 and determined that, except for the leases described in Note 9, “Leases”, none of the Company’s contracts contain a lease.</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June 2016, the FASB issued ASU 2016-13, Financial Instruments-Credit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to use the present value of cash flows when estimating the ECL.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credit-related losses are required to be recognized through earnings and non-credit related losses are reported in other comprehensive income. The Company adopted this ASU as of January 1, 2021, which did not have a material impact on its consolidated financial statements and related disclosures.</w:t>
      </w:r>
    </w:p>
    <w:p>
      <w:pPr>
        <w:spacing w:after="0" w:line="12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The Company adopted this ASU as of January 1, 2021, which did not have a material impact on its consolidated financial statements and related disclosures.</w:t>
      </w:r>
    </w:p>
    <w:p>
      <w:pPr>
        <w:spacing w:after="0" w:line="188"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December 2019, the FASB issued ASU No. 2019-12, Income Taxes. ASU 2019-12 simplifies the accounting for income taxes by removing certain exceptions to the general principles in Topic 740 and by improving consistent application of other areas of Topic 740. The Company adopted this ASU as of January 1, 2021, which did not have a material impact on its consolidated financial statements and related disclosures.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170"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w:t>
      </w:r>
    </w:p>
    <w:p>
      <w:pPr>
        <w:ind w:left="120"/>
        <w:spacing w:after="0" w:line="251" w:lineRule="auto"/>
        <w:rPr>
          <w:sz w:val="20"/>
          <w:szCs w:val="20"/>
          <w:color w:val="auto"/>
        </w:rPr>
      </w:pPr>
      <w:r>
        <w:rPr>
          <w:rFonts w:ascii="Arial" w:cs="Arial" w:eastAsia="Arial" w:hAnsi="Arial"/>
          <w:sz w:val="18"/>
          <w:szCs w:val="18"/>
          <w:color w:val="auto"/>
        </w:rPr>
        <w:t>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2021. The Company is currently evaluating the impact of the adoption of this ASU on the Company’s consolidated financial statements.</w:t>
      </w:r>
    </w:p>
    <w:p>
      <w:pPr>
        <w:spacing w:after="0" w:line="19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Business Combination and Related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Sense Acquisition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October 22, 2021, the Company acquired Sense Photonics Inc. (“Sense”), a privately held lidar technology company for autonomous vehicles. The transaction has been accounted for as a business combination.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8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0" w:lineRule="auto"/>
        <w:rPr>
          <w:sz w:val="20"/>
          <w:szCs w:val="20"/>
          <w:color w:val="auto"/>
        </w:rPr>
      </w:pPr>
      <w:r>
        <w:rPr>
          <w:rFonts w:ascii="Arial" w:cs="Arial" w:eastAsia="Arial" w:hAnsi="Arial"/>
          <w:sz w:val="16"/>
          <w:szCs w:val="16"/>
          <w:color w:val="auto"/>
        </w:rPr>
        <w:t>Company purchased all of the outstanding shares of the capital stock of Sense and settled all Sense debt for total consideration of $72.8 million comprised of 9,163,982 shares of the Company’s common stock having a fair value of $60.0 million, fully vested replacement equity awards having a fair value of $1.1 million, and a cash payment of $11.7 million to settle Sense pre-existing debt and transaction costs incurred by Sense in connection with the acquisition. The Company retained 1,573,427 shares of common stock with the aggregate fair value of $10.3 million to satisfy any necessary adjustments, including without limitation certain indemnification claims and net working capital shortfall (“Holdback Shares”). The Holdback Shares will be released, net of any shares necessary to satisfy all unsatisfied or disputed claims for indemnification and net working capital shortfall, and distributed to the Sense stockholders in 18 months from the acquisition date. The Holdback Shares are considered issued and outstanding from legal perspective and have the same economic and voting rights as other issued and outstanding shares of the Company’s common stock.</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 incurred by the Company in connection with the acquisition, including professional fees, were $1.5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preliminary fair value of identifiable assets acquired and liabilities assumed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technology—estimated useful life of 8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15,900</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Vendor relationship—estimated useful life of 3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6,600</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relationships—estimated useful life of 3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51,076</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(1,540)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(2,477)</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72,808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fair value assigned to developed technology was determined as of the acquisition date under the relief-from-royalty rate method using Level 3 inputs. Management applied significant judgement in estimating the fair value of the developed technology, which involved significant assumptions related to the revenue growth rates, the relief-from-royalty rate, the discount rate, and the economic life. The fair values assigned to the vendor relationship and customer relationships were determined using Level 3 inputs under the with-and-without method. These Level 3 inputs include revenue growth rates, discount rate and period to recreate the relationship.</w:t>
      </w:r>
    </w:p>
    <w:p>
      <w:pPr>
        <w:spacing w:after="0" w:line="188"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the identifiable assets and assumed liabilities acquired and is primarily attributable to the assembled workforce and expected synergies at the time of the acquisition. Goodwill is not deductible for tax purposes.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Sense’s revenue and pretax loss for the period from the acquisition date of October 22, 2021 to December 31, 2021 was not material.</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unaudited supplemental pro forma information presents the combined historical results of operations of the Company and Sense as if the business combination had been completed on January 1, 2020.</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8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pro forma financial information includes amortization of fair value adjustments in the appropriate pro forma periods as though the companies were combined as of the beginning of 2020. These adjustments include:</w:t>
      </w:r>
    </w:p>
    <w:p>
      <w:pPr>
        <w:spacing w:after="0" w:line="76" w:lineRule="exact"/>
        <w:rPr>
          <w:sz w:val="20"/>
          <w:szCs w:val="20"/>
          <w:color w:val="auto"/>
        </w:rPr>
      </w:pPr>
    </w:p>
    <w:p>
      <w:pPr>
        <w:ind w:left="1080" w:right="18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amortization expense of $4.5 million and $3.7 million related to the fair value of acquired identifiable intangible assets in 2021 and 2020, respectively;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decrease in expenses of $1.5 million related to acquisition transaction expenses in 2021;</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stock based compensation expense of $10.8 million and $8.7 million in 2021 and 2020, respectively, related to the stock options and restricted stock units issued to Sense employees.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includes unaudited pro forma results (in thousands, except per share data):</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10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33,578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159"/>
              <w:spacing w:after="0"/>
              <w:rPr>
                <w:sz w:val="20"/>
                <w:szCs w:val="20"/>
                <w:color w:val="auto"/>
              </w:rPr>
            </w:pPr>
            <w:r>
              <w:rPr>
                <w:rFonts w:ascii="Arial" w:cs="Arial" w:eastAsia="Arial" w:hAnsi="Arial"/>
                <w:sz w:val="18"/>
                <w:szCs w:val="18"/>
                <w:color w:val="auto"/>
              </w:rPr>
              <w:t>(107,352)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(139,850)</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6"/>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equivalents: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177,513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177,513</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2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177,513</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177,513</w:t>
            </w:r>
          </w:p>
        </w:tc>
        <w:tc>
          <w:tcPr>
            <w:tcW w:w="4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Warrant liabilities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7,626</w:t>
            </w:r>
          </w:p>
        </w:tc>
      </w:tr>
      <w:tr>
        <w:trPr>
          <w:trHeight w:val="27"/>
        </w:trPr>
        <w:tc>
          <w:tcPr>
            <w:tcW w:w="4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7,626</w:t>
            </w:r>
          </w:p>
        </w:tc>
      </w:tr>
      <w:tr>
        <w:trPr>
          <w:trHeight w:val="20"/>
        </w:trPr>
        <w:tc>
          <w:tcPr>
            <w:tcW w:w="4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6"/>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equivalents: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10,493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10,493</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2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4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Warrant liabilities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49,293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49,293</w:t>
            </w:r>
          </w:p>
        </w:tc>
      </w:tr>
      <w:tr>
        <w:trPr>
          <w:trHeight w:val="27"/>
        </w:trPr>
        <w:tc>
          <w:tcPr>
            <w:tcW w:w="4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49,293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49,293</w:t>
            </w:r>
          </w:p>
        </w:tc>
      </w:tr>
      <w:tr>
        <w:trPr>
          <w:trHeight w:val="20"/>
        </w:trPr>
        <w:tc>
          <w:tcPr>
            <w:tcW w:w="4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8).</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8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4"/>
                <w:szCs w:val="14"/>
                <w:color w:val="auto"/>
              </w:rPr>
            </w:pPr>
          </w:p>
        </w:tc>
        <w:tc>
          <w:tcPr>
            <w:tcW w:w="17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Redeemable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2"/>
                <w:szCs w:val="12"/>
                <w:color w:val="auto"/>
              </w:rPr>
            </w:pPr>
          </w:p>
        </w:tc>
        <w:tc>
          <w:tcPr>
            <w:tcW w:w="17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Private Placement</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9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8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92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 Liability</w:t>
            </w: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Tranche Liability</w:t>
            </w: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 Liability</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2019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Recognition of preferred stock warrant liability upon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subsequent issuance of warrants</w:t>
            </w:r>
          </w:p>
        </w:tc>
        <w:tc>
          <w:tcPr>
            <w:tcW w:w="14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the fair value included in other income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net</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Fair value as of December 31, 2019</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recognition of preferred stock warrant liability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subsequent issuance of warrants</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(1,610)</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Change in the fair value included in other income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(48,440)</w:t>
            </w:r>
          </w:p>
        </w:tc>
        <w:tc>
          <w:tcPr>
            <w:tcW w:w="120" w:type="dxa"/>
            <w:vAlign w:val="bottom"/>
          </w:tcPr>
          <w:p>
            <w:pPr>
              <w:spacing w:after="0"/>
              <w:rPr>
                <w:sz w:val="20"/>
                <w:szCs w:val="20"/>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Extinguishment of derivative liability upon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convertible notes</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Settlement of redeemable convertible preferred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tranche liability due to the issuance of Series B</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redeemable convertible preferred stock, included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(49,293)</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Private placement warrant liability acquired as part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140" w:type="dxa"/>
            <w:vAlign w:val="bottom"/>
          </w:tcPr>
          <w:p>
            <w:pPr>
              <w:spacing w:after="0"/>
              <w:rPr>
                <w:sz w:val="20"/>
                <w:szCs w:val="20"/>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(19,377)</w:t>
            </w: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the fair value included in other income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net</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11,751</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Issuance of preferred stock upon exercise of warrants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58,097</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auto"/>
        </w:rPr>
        <w:t>The Company has certain assets, including goodwill and other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Our financial instruments that are not re-measured at fair value include accounts receivable, accounts payable, accrued and other current liabilities and short-term debt. The carrying values of these financial instruments approximate their fair values.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Balance Sheet Components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177,513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10,493</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182,644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11,362</w:t>
            </w: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maintains a cash sweep account which is included in money market funds as of December 31, 2021. Cash is invested in the short-term money market funds, which is a cash sweep for not invested cash that earns interest.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$2,401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$1,376</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1,951</w:t>
            </w:r>
          </w:p>
        </w:tc>
        <w:tc>
          <w:tcPr>
            <w:tcW w:w="4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1,249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7,448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4,817</w:t>
            </w: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years ended December 31, 2021, 2020 and 2019, $0.8 million, $0.8 million and $4.8 million of inventory write downs were charged to cost of revenue.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54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Prepaid insurance</w:t>
            </w: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contract manufacturer</w:t>
            </w:r>
          </w:p>
        </w:tc>
        <w:tc>
          <w:tcPr>
            <w:tcW w:w="4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1,521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Grant receivable</w:t>
            </w: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4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 prepaid and other current assets</w:t>
            </w:r>
          </w:p>
        </w:tc>
        <w:tc>
          <w:tcPr>
            <w:tcW w:w="3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2,441</w:t>
            </w:r>
          </w:p>
        </w:tc>
        <w:tc>
          <w:tcPr>
            <w:tcW w:w="4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4280" w:type="dxa"/>
            <w:vAlign w:val="bottom"/>
            <w:gridSpan w:val="3"/>
          </w:tcPr>
          <w:p>
            <w:pPr>
              <w:jc w:val="right"/>
              <w:ind w:right="346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6" w:right="6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3880" w:type="dxa"/>
            <w:vAlign w:val="bottom"/>
          </w:tcPr>
          <w:p>
            <w:pPr>
              <w:jc w:val="center"/>
              <w:ind w:left="175"/>
              <w:spacing w:after="0"/>
              <w:rPr>
                <w:sz w:val="20"/>
                <w:szCs w:val="20"/>
                <w:color w:val="auto"/>
              </w:rPr>
            </w:pPr>
            <w:r>
              <w:rPr>
                <w:rFonts w:ascii="Arial" w:cs="Arial" w:eastAsia="Arial" w:hAnsi="Arial"/>
                <w:sz w:val="14"/>
                <w:szCs w:val="14"/>
                <w:b w:val="1"/>
                <w:bCs w:val="1"/>
                <w:color w:val="auto"/>
                <w:w w:val="94"/>
              </w:rPr>
              <w:t>Estimated Useful Life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jc w:val="center"/>
              <w:ind w:left="175"/>
              <w:spacing w:after="0" w:line="142" w:lineRule="exact"/>
              <w:rPr>
                <w:sz w:val="20"/>
                <w:szCs w:val="20"/>
                <w:color w:val="auto"/>
              </w:rPr>
            </w:pPr>
            <w:r>
              <w:rPr>
                <w:rFonts w:ascii="Arial" w:cs="Arial" w:eastAsia="Arial" w:hAnsi="Arial"/>
                <w:sz w:val="14"/>
                <w:szCs w:val="14"/>
                <w:b w:val="1"/>
                <w:bCs w:val="1"/>
                <w:color w:val="auto"/>
                <w:w w:val="93"/>
              </w:rPr>
              <w:t>(in years)</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2"/>
                <w:szCs w:val="12"/>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Computer equipment</w:t>
            </w:r>
          </w:p>
        </w:tc>
        <w:tc>
          <w:tcPr>
            <w:tcW w:w="3880" w:type="dxa"/>
            <w:vAlign w:val="bottom"/>
          </w:tcPr>
          <w:p>
            <w:pPr>
              <w:jc w:val="center"/>
              <w:ind w:left="175"/>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Automotive and vehicle hardware</w:t>
            </w:r>
          </w:p>
        </w:tc>
        <w:tc>
          <w:tcPr>
            <w:tcW w:w="38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Software</w:t>
            </w:r>
          </w:p>
        </w:tc>
        <w:tc>
          <w:tcPr>
            <w:tcW w:w="3880" w:type="dxa"/>
            <w:vAlign w:val="bottom"/>
          </w:tcPr>
          <w:p>
            <w:pPr>
              <w:jc w:val="center"/>
              <w:ind w:left="175"/>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1"/>
              </w:rPr>
              <w:t>Shorter of useful life or lease term</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40" w:type="dxa"/>
            <w:vAlign w:val="bottom"/>
            <w:shd w:val="clear" w:color="auto" w:fill="CCEEFF"/>
          </w:tcPr>
          <w:p>
            <w:pPr>
              <w:spacing w:after="0"/>
              <w:rPr>
                <w:sz w:val="18"/>
                <w:szCs w:val="18"/>
                <w:color w:val="auto"/>
              </w:rPr>
            </w:pPr>
          </w:p>
        </w:tc>
      </w:tr>
      <w:tr>
        <w:trPr>
          <w:trHeight w:val="223"/>
        </w:trPr>
        <w:tc>
          <w:tcPr>
            <w:tcW w:w="32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15,723</w:t>
            </w:r>
          </w:p>
        </w:tc>
        <w:tc>
          <w:tcPr>
            <w:tcW w:w="140" w:type="dxa"/>
            <w:vAlign w:val="bottom"/>
          </w:tcPr>
          <w:p>
            <w:pPr>
              <w:spacing w:after="0"/>
              <w:rPr>
                <w:sz w:val="19"/>
                <w:szCs w:val="19"/>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(10,740)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(5,992)</w:t>
            </w:r>
          </w:p>
        </w:tc>
      </w:tr>
      <w:tr>
        <w:trPr>
          <w:trHeight w:val="223"/>
        </w:trPr>
        <w:tc>
          <w:tcPr>
            <w:tcW w:w="32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14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Depreciation expense associated with property and equipment was $4.7 million, $3.7 million and $2.0 million in the years ended December 31, 2021, 2020 and 2019, respectively. As of December 31, 2021, the Company had tangible assets of $1.8 million held in Thailand and the remainder were in the U.S. As of December 31, 2020, the Company had tangible assets of $1.3 million held in Thailand and the remainder were in the U.S.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Acquired Intangible Assets,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goodwill activity (in thousands):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Goodwill acquired</w:t>
            </w: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51,076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$ 51,076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w w:val="91"/>
              </w:rPr>
              <w:t>Acquired intangible assets, net consisted of the following (in thousands):</w:t>
            </w: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8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w w:val="93"/>
              </w:rPr>
              <w:t>Estimated Useful</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680" w:type="dxa"/>
            <w:vAlign w:val="bottom"/>
          </w:tcPr>
          <w:p>
            <w:pPr>
              <w:spacing w:after="0"/>
              <w:rPr>
                <w:sz w:val="10"/>
                <w:szCs w:val="10"/>
                <w:color w:val="auto"/>
              </w:rPr>
            </w:pPr>
          </w:p>
        </w:tc>
        <w:tc>
          <w:tcPr>
            <w:tcW w:w="1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80" w:type="dxa"/>
            <w:vAlign w:val="bottom"/>
          </w:tcPr>
          <w:p>
            <w:pPr>
              <w:jc w:val="right"/>
              <w:ind w:right="1019"/>
              <w:spacing w:after="0" w:line="149" w:lineRule="exact"/>
              <w:rPr>
                <w:sz w:val="20"/>
                <w:szCs w:val="20"/>
                <w:color w:val="auto"/>
              </w:rPr>
            </w:pPr>
            <w:r>
              <w:rPr>
                <w:rFonts w:ascii="Arial" w:cs="Arial" w:eastAsia="Arial" w:hAnsi="Arial"/>
                <w:sz w:val="14"/>
                <w:szCs w:val="14"/>
                <w:b w:val="1"/>
                <w:bCs w:val="1"/>
                <w:color w:val="auto"/>
              </w:rPr>
              <w:t>Life</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Carrying</w:t>
            </w:r>
          </w:p>
        </w:tc>
        <w:tc>
          <w:tcPr>
            <w:tcW w:w="68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80" w:type="dxa"/>
            <w:vAlign w:val="bottom"/>
          </w:tcPr>
          <w:p>
            <w:pPr>
              <w:jc w:val="right"/>
              <w:ind w:right="859"/>
              <w:spacing w:after="0"/>
              <w:rPr>
                <w:sz w:val="20"/>
                <w:szCs w:val="20"/>
                <w:color w:val="auto"/>
              </w:rPr>
            </w:pPr>
            <w:r>
              <w:rPr>
                <w:rFonts w:ascii="Arial" w:cs="Arial" w:eastAsia="Arial" w:hAnsi="Arial"/>
                <w:sz w:val="14"/>
                <w:szCs w:val="14"/>
                <w:b w:val="1"/>
                <w:bCs w:val="1"/>
                <w:color w:val="auto"/>
              </w:rPr>
              <w:t>(in years)</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Value</w:t>
            </w:r>
          </w:p>
        </w:tc>
        <w:tc>
          <w:tcPr>
            <w:tcW w:w="680" w:type="dxa"/>
            <w:vAlign w:val="bottom"/>
          </w:tcPr>
          <w:p>
            <w:pPr>
              <w:spacing w:after="0"/>
              <w:rPr>
                <w:sz w:val="14"/>
                <w:szCs w:val="14"/>
                <w:color w:val="auto"/>
              </w:rPr>
            </w:pP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80" w:type="dxa"/>
            <w:vAlign w:val="bottom"/>
            <w:tcBorders>
              <w:top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$15,900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Vendor relationship</w:t>
            </w:r>
          </w:p>
        </w:tc>
        <w:tc>
          <w:tcPr>
            <w:tcW w:w="1780" w:type="dxa"/>
            <w:vAlign w:val="bottom"/>
          </w:tcPr>
          <w:p>
            <w:pPr>
              <w:jc w:val="right"/>
              <w:ind w:right="619"/>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6,600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(367)</w:t>
            </w: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820" w:type="dxa"/>
            <w:vAlign w:val="bottom"/>
            <w:gridSpan w:val="2"/>
          </w:tcPr>
          <w:p>
            <w:pPr>
              <w:ind w:left="360"/>
              <w:spacing w:after="0"/>
              <w:rPr>
                <w:sz w:val="20"/>
                <w:szCs w:val="20"/>
                <w:color w:val="auto"/>
              </w:rPr>
            </w:pPr>
            <w:r>
              <w:rPr>
                <w:rFonts w:ascii="Arial" w:cs="Arial" w:eastAsia="Arial" w:hAnsi="Arial"/>
                <w:sz w:val="18"/>
                <w:szCs w:val="18"/>
                <w:color w:val="auto"/>
              </w:rPr>
              <w:t>Intangible assets, net</w:t>
            </w:r>
          </w:p>
        </w:tc>
        <w:tc>
          <w:tcPr>
            <w:tcW w:w="17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23,400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w:t>
            </w:r>
          </w:p>
        </w:tc>
        <w:tc>
          <w:tcPr>
            <w:tcW w:w="8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22,652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Amortization expense associated with acquired intangible assets, net was $0.7 million in the year ended December 31, 2021. The Company did not have any intangible assets and amortization expense associated as of December 31, 2020 and in the year ended December 31, 2019.</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8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$1,618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Uninvoiced receipts</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9,835</w:t>
            </w:r>
          </w:p>
        </w:tc>
        <w:tc>
          <w:tcPr>
            <w:tcW w:w="4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14,173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4,121</w:t>
            </w:r>
          </w:p>
        </w:tc>
        <w:tc>
          <w:tcPr>
            <w:tcW w:w="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Convertible Notes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Convertible Notes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During the period from August 2018 through April 2019, the Company issued convertible promissory notes to certain Investors (“2018 Investors”), with an aggregate principal amount of $40.3 million (“2018 Convertible Notes”). The Company received consideration of $40.0 million, net of debt issuance costs of $0.3 million. The 2018 Convertible Notes were payable anytime on or after two years from the respective issuance dates upon demand of the 2018 Investors holding at least 60% of the outstanding principal of the 2018 Convertible Notes or at the Company’s option with 10 days’ notice to the 2018 Investors, and carried paid in-kind interest of 5%. The notes and all accrued but unpaid interest were automatically convertible into shares of the Company’s common stock in the event of qualified financing (defined with respect to the 2018 Convertible Notes as a sale by the Company of shares of its capital stock for aggregate gross proceeds of at least $5 million) and convertible in the event of non-qualified financing (defined with respect to the 2018 Convertible Notes as a sale by the Company of shares of its capital stock for aggregate gross proceeds of less than $5 million) or change of control at the option of the majority of 2018 Investors at a conversion price equal to the lesser of (i) $400 million divided by the number of shares of the Company’s common stock outstanding immediately prior to the respective events, assuming conversion or exercise of all securities convertible into common stock and (ii) the price per share of its capital stock paid in the applicable transaction (qualified financing, non-qualified financing, or change of control).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of the 2018 Convertible Notes were converted to common stock in April 2020 as part of Series B redeemable convertible preferred stock financing.</w:t>
      </w:r>
    </w:p>
    <w:p>
      <w:pPr>
        <w:spacing w:after="0" w:line="24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For the year ended December 31, 2020, the Company recognized interest expense of $0.6 million and amortization of debt discount issuance costs, included in interest expense of $0.1 million related to the 2018 Convertible Notes.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April 3, 2020, $40.2 million of principal and $2.8 million of accrued interest of the 2018 Convertible Notes were converted to 3,005,762 shares of common stock at a conversion price of $14.33 per share. The Notes were converted to common stock outside of the original contract terms. The holders of 2018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spacing w:after="0" w:line="93"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Company’s challenges associated with the financing efforts of its operations at the time of the convertible notes exchange.</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the convertible notes completed the exchange for a value lower than the face amount of the notes. As a result, the Company concluded a concession was granted to the Company.</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convertible notes exchange resulted in a gain of approximately $42.5 million, which resulted in a credit to additional paid-in capital as this transaction was with related parties.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86"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During the period from September through November, 2019, the Company issued convertible promissory notes to certain Investors (“2019 Investors”), with an aggregate principal amount of $29.3 million (“2019 Convertible Notes”).</w:t>
      </w:r>
    </w:p>
    <w:p>
      <w:pPr>
        <w:spacing w:after="0" w:line="170"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The Company received consideration of $29.2 million, net of debt issuance costs of $0.1 million. The 2019 Convertible Notes were to be payable anytime on or after September 18, 2021 upon demand by consent of the 2019 Investors holding at least 60% of the outstanding principal of the 2019 Convertible Notes or at the Company’s option with 10 days’ notice to the 2020 Investors, and carried interest at 5% per annum which in addition to the notes was payable at maturity. The 2019 Convertible Notes and all accrued but unpaid interest were automatically convertible into shares of the Company’s common stock in the event of qualified financing and convertible in the event of non-qualified financing (defined with respect to the 2019 Convertible Notes as a sale by the Company of shares of its capital stock for aggregate gross proceeds of less than $20 million) or change of control at the option of the majority of 2020 investors at a conversion price determined as the lesser of (i) a ratio of $300 million and the number of shares of the Company’s common stock outstanding immediately prior to the respective events, assuming conversion or exercise of all securities convertible into common stock and (ii) 85% of the price per share of its capital stock paid in the applicable transaction (qualified financing, non-qualified financing, or change of control).</w:t>
      </w:r>
    </w:p>
    <w:p>
      <w:pPr>
        <w:spacing w:after="0" w:line="185"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2019 Convertible Notes contain embedded features that provide the lenders with multiple settlement alternatives. Certain of these settlement features provided the lenders a right to a fixed number of the Company’s shares upon conversion of the notes (the “conversion option”). Other settlement features provided the lenders the right or the obligation to receive cash or a variable number of shares upon the completion of a capital raising transaction, change of control or default of the Company (the “redemption features”).</w:t>
      </w:r>
    </w:p>
    <w:p>
      <w:pPr>
        <w:spacing w:after="0" w:line="18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conversion options of the convertible notes did not meet the requirements to be separately accounted for as a derivative liability. However, certain redemption features of the 2019 Convertible Notes met the requirements for separate accounting and were accounted for as a single, compound derivative instrument. The derivative instrument was recorded at fair value at inception and was subject to remeasurement to fair value at each balance sheet date, with any changes in fair value recognized in the statements of operations and comprehensive loss (see Note 4).</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April 3, 2020, $29.3 million of principal and $0.7 million of accrued interest of the 2019 Convertible Notes were converted to 4,196,178 shares of common stock at a conversion price of $7.17 per share. All of the 2019 Convertible Notes were converted to common stock in April 2020 as part of Series B redeemable convertible preferred stock financing. The Notes were converted to common stock outside of the original contract terms. The holders of 2019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spacing w:after="0" w:line="83"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Company’s challenges associated with the financing efforts of its operations at the time of the convertible notes exchange.</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the convertible notes completed the exchange for a value lower than the face amount of the notes. As a result, the Company concluded a concession was granted to the Company.</w:t>
      </w:r>
    </w:p>
    <w:p>
      <w:pPr>
        <w:spacing w:after="0" w:line="170"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The convertible notes exchange resulted in a gain of approximately $29.3 million, which resulted in a credit to additional paid-in capital as this transaction was with related parties. The outstanding derivative liability in the amount of $5.3 million as of the conversion date of 2019 Notes was extinguished and accounted for as a capital contribution to equity.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86"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the year ended December 31, 2020, the Company recognized interest expense of $0.4 million and amortization of debt discount issuance costs, included in interest expense of $0.1 million in relation with the 2019 Convertible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Long-term Debt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becomes no longer attainable or ceases to fairly reflect the costs of the lender, in which case the applicable interest rate shall be Prime Rate plus 6.0%. In an event of default, annual interest is increased by 5.0% above the otherwise applicable rate. The loan’s annual effective interest rate was approximately 16.4% for each of the years ended December 31, 2021 and 2020.</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conjunction with the Runway Loan and Security Agreement, the Company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warrants were exercised on March 11, 2021 and the warrant liability was remeasured to fair value with the increase recognized as a loss of</w:t>
      </w:r>
    </w:p>
    <w:p>
      <w:pPr>
        <w:spacing w:after="0" w:line="35"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$0.6 million and $13.8 million for the years ended December 31, 2021 and 2020, respectively, within other income (expense), net in the consolidated statements of operations and comprehensive loss.</w:t>
      </w:r>
    </w:p>
    <w:p>
      <w:pPr>
        <w:spacing w:after="0" w:line="185"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December 31, 2021 and 2020, the outstanding principal balance of the loan was nil and $7.0 million, respectively.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17"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The Company issued a $5.0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Series A and B Redeemable Convertible Preferred Stock Warrants and Tranche Liabilities</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On November 27, 2018, in connection with the execution of the Runway Loan and Security Agreement, the Company issued a warrant to purchase 35,348 shares of Series A Preferred Stock of the Company at an exercise price of $11.3518 per share (the “Runway warrant”). On August 5, 2019, in connection with the second amendment to the Runway Loan and Security Agreement, the Company amended the warrant issued to Runway Growth to increase the number of shares available to purchase to 53,023 shares of Series A Preferred Stock of the Company at an exercise price of $11.3518 per share.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8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Runway warrant had a term expiring upon the earlier of 10-year anniversary from the issuance date and liquidation of the Company. The Runway warrant had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Runway warrant contained provisions for adjustment of the exercise price and number of shares issuable upon the exercise of warrants in the event of certain stock dividends, stock splits, reorganizations, reclassifications, and consolidations.</w:t>
      </w:r>
    </w:p>
    <w:p>
      <w:pPr>
        <w:spacing w:after="0" w:line="17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fair value of the Runway warrant issued was recorded as of the date of initial issuance in the amount of $0.1 million. The subsequent issuance of warrants pursuant to the August 5, 2019 amendment to the Runway Loan and Security Agreement was recorded in the amount of $0.1 million. The Runway warrant was exercised on March 11, 2021.</w:t>
      </w:r>
    </w:p>
    <w:p>
      <w:pPr>
        <w:spacing w:after="0" w:line="18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On April 3, 2020, in connection with the closing of the Series B redeemable convertible preferred stock, the Company issued a warrant to purchase 4,513,993 shares of Series B redeemable convertible preferred stock of the Company at an exercise price of $0.3323 per share (the “Series B warrants”). The Series B warrants could be exercised prior to the earliest to occur of (i) the 10-year anniversary of the date of issuance, (ii) the consummation of a liquidation transaction, or (iii) the consummation of an initial public offering. These Series B warrants included a cashless exercise provision under which their holders could,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warrants in the event of certain stock dividends, stock splits, reorganizations, reclassifications, and consolidations.</w:t>
      </w:r>
    </w:p>
    <w:p>
      <w:pPr>
        <w:spacing w:after="0" w:line="178"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year ended December 31, 2021, classified within other income (expense), net in the consolidated statements of operations and comprehensive loss.</w:t>
      </w:r>
    </w:p>
    <w:p>
      <w:pPr>
        <w:spacing w:after="0" w:line="16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the Company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the Company, assuming various outcomes. As the probability of a transaction with a special purpose acquisition company (“SPAC”) increased, the fair value of the redeemable convertible preferred stock warrant liability increased as of the date of the exercise.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Initial Issuance</w:t>
            </w:r>
          </w:p>
        </w:tc>
        <w:tc>
          <w:tcPr>
            <w:tcW w:w="15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7"/>
              </w:rPr>
              <w:t>Subsequent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February 11,</w:t>
            </w:r>
          </w:p>
        </w:tc>
        <w:tc>
          <w:tcPr>
            <w:tcW w:w="2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11,</w:t>
            </w:r>
          </w:p>
        </w:tc>
      </w:tr>
      <w:tr>
        <w:trPr>
          <w:trHeight w:val="17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Date</w:t>
            </w:r>
          </w:p>
        </w:tc>
        <w:tc>
          <w:tcPr>
            <w:tcW w:w="15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Issuance Date</w:t>
            </w: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88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10.27</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8.44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Term (years)</w:t>
            </w:r>
          </w:p>
        </w:tc>
        <w:tc>
          <w:tcPr>
            <w:tcW w:w="2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2.00</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2.00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57.81%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0.13%</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0.13%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 Redeemable Convertible Preferred Stock Tranche</w:t>
      </w:r>
    </w:p>
    <w:p>
      <w:pPr>
        <w:spacing w:after="0" w:line="117"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In April, 2020 and May, 2020, the Company issued 62,505,102 shares of Series B redeemable convertible preferred stock at $0.3323 per share. For each share purchased, the purchaser had an option to purchase 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86"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additional share of Series B redeemable convertible preferred stock at $0.3323 per share, exercisable at any time prior to August 13, 2020 (the “Tranche Right”). The Company determined that the Tranche Right represented a freestanding obligation of the Company to issue additional shares of contingently redeemable shares if exercised by the holder. The freestanding redeemable convertible preferred stock tranche liability was initially recorded at fair value, with fair value changes recorded within other income (expense), net in the consolidated statements of operations and comprehensive loss.</w:t>
      </w:r>
    </w:p>
    <w:p>
      <w:pPr>
        <w:spacing w:after="0" w:line="18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 July 2020, the Company issued 37,970,846 shares of Series B redeemable convertible preferred stock at $0.3323 per share for net proceeds of $12.5 million, less $0.1 million of stock issuance costs.</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August, 2020, upon the expiration of the Tranche Right, 25,286,587 shares of Series B redeemable convertible preferred stock were issued in accordance with the Tranche Right. The remaining Tranche Right expired, unexercised, resulting in a $1.6 million gain recorded within other income (expense), net in the consolidated statements of operations and comprehensive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5 years from the completion of the Merger, or earlier upon redemption or liquidation. Each Private Placement warrant is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192"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Private Placement warrants were initially recognized as a liability at a fair value of $19.4 million and the Private Placement warrant liability was remeasured to fair value as of December 31, 2021, resulting in a gain of $11.8 million in the year ended December 31, 2021, classified within other income (expense), net in the condensed consolidated statements of operations and comprehensive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March 11,</w:t>
            </w:r>
          </w:p>
        </w:tc>
        <w:tc>
          <w:tcPr>
            <w:tcW w:w="3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Exercise price of warrant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11.50</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27.00%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350 Treat Building Lease</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September 2017, the Company entered into a lease agreement (the “350 Treat Building Lease”) to lease approximately 26,125 square feet of office and warehouse space located in San Francisco, California for its corporate headquarters. Subsequently, in June 2018, the Company took possession of the 350 Treat Building Lease. This lease includes a free rent period and escalating rent payments and has a remaining lease term of 3.1 years that expires on January 31, 2023. The Company’s obligation to pay rent commenced in February 2018. The Company is obligated to make lease payments totaling approximately $7.4 million over the lease term, offset by $2.4 million of tenant improvement allowance. The lease further provides that the Company is obligated to pay to the landlord certain costs, including taxes and operating expenses.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86"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November 2021, the Company entered into an amendment to the 350 Treat Building Lease agreement, whereby the parties agreed to extend the term of the lease for an additional four years and seven months and provide for an additional tenant improvement allowance. The total base lease payments for the extended period of 4.6 years equals $7.6 million . The Company recorded an adjustment of $5.5 million to the right-of-use asset and right-of-use operating lease liability associated with the 350 Treat Building Lease agreement upon the amendment.</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350 Treat Building Lease is considered to be an operating lease as it does not meet the criteria of a finance lease. As of December 31, 2021, the operating lease right-of-use asset and operating lease liability were $6.6 million and $8.3 million, respectively. As of December 31, 2020, the operating lease right-of-use asset and operating lease liability were $2.1 million and $3.1 million, respectively. The discount rate used to determine the lease liability was 3.74%.</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2741 16</w:t>
      </w:r>
      <w:r>
        <w:rPr>
          <w:rFonts w:ascii="Arial" w:cs="Arial" w:eastAsia="Arial" w:hAnsi="Arial"/>
          <w:sz w:val="25"/>
          <w:szCs w:val="25"/>
          <w:i w:val="1"/>
          <w:iCs w:val="1"/>
          <w:color w:val="auto"/>
          <w:vertAlign w:val="superscript"/>
        </w:rPr>
        <w:t>th</w:t>
      </w:r>
      <w:r>
        <w:rPr>
          <w:rFonts w:ascii="Arial" w:cs="Arial" w:eastAsia="Arial" w:hAnsi="Arial"/>
          <w:sz w:val="18"/>
          <w:szCs w:val="18"/>
          <w:i w:val="1"/>
          <w:iCs w:val="1"/>
          <w:color w:val="auto"/>
        </w:rPr>
        <w:t xml:space="preserve"> Street Lease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2017 the Company entered into a lease agreement (the “2741 16th Street Lease”) to lease approximately 20,032 square feet of office space</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25,000 of parking space located in San Francisco, California. Subsequently, in June 2019, the Company took possession of the 2741 16th Street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Lease. This lease includes a free rent period and escalating rent payments and has a remaining lease term of 3.1 years that expires on August 31, 2023.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Company’s obligation to pay rent commenced in September 2018. The Company is obligated to make lease payments totaling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$8.2 million over the lease term, offset by $4.6 million of tenant improvement allowance. The lease further provides that the Company is obligated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 to the landlord certain costs related to 2741 16th Street, including taxes and operating expenses.</w:t>
      </w:r>
    </w:p>
    <w:p>
      <w:pPr>
        <w:spacing w:after="0" w:line="21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May 2020, the Company entered into an amendment to the 2741 16th 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4.0 years equals $8.5 million and the increase in total base lease payments for the lease term provided for by the original agreement is $0.7 million. The Company recorded an adjustment of $6.2 million to the right-of-use asset and right-of-use operating lease liability associated with the 2741 16th Street Lease agreement upon the amendment.</w:t>
      </w:r>
    </w:p>
    <w:p>
      <w:pPr>
        <w:spacing w:after="0" w:line="17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2741 16th Street Lease is considered to be an operating lease as it does not meet the criteria of a finance lease. As of December 31, 2021, the operating lease right-of-use asset and lease liability were $7.7 million (2020: $8.7 million) and $10.1 million (2020: $11.5 million), respectively. The discount rate used to determine the operating lease liability was 5.25%.</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real estate leases</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 2020 and 2021, the Company entered into three lease agreements for office spaces located outside of the US. The terms of those leases range from 2 to 3 years. The Company is obligated to make lease payments totaling approximately $1.0 for those leases over the respective lease terms.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operating lease cost for the years ended December 31, 2021, 2020 and 2019 was $3.6 million, $2.9 million and $1.9 million, which consisted of</w:t>
      </w:r>
    </w:p>
    <w:p>
      <w:pPr>
        <w:spacing w:after="0" w:line="4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$3.0 million, $2.6 million and $1.7 million of fixed lease expense and $0.6 million, $0.3 million and $0.2 million of variable lease expense, respectively. Cash paid for amounts included in the measurement of lease liabilities was $4.2 million, $3.5 million and $3.3 million for the years ended December 31, 2021, 2020 and 2019, respectively.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86"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weighted average remaining lease term and discount rate for leases: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5"/>
              </w:rPr>
              <w:t>5.53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5.58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w w:val="93"/>
              </w:rPr>
              <w:t>5.25%</w:t>
            </w:r>
          </w:p>
        </w:tc>
        <w:tc>
          <w:tcPr>
            <w:tcW w:w="0" w:type="dxa"/>
            <w:vAlign w:val="bottom"/>
          </w:tcPr>
          <w:p>
            <w:pPr>
              <w:spacing w:after="0"/>
              <w:rPr>
                <w:sz w:val="1"/>
                <w:szCs w:val="1"/>
                <w:color w:val="auto"/>
              </w:rPr>
            </w:pPr>
          </w:p>
        </w:tc>
      </w:tr>
      <w:tr>
        <w:trPr>
          <w:trHeight w:val="418"/>
        </w:trPr>
        <w:tc>
          <w:tcPr>
            <w:tcW w:w="8140" w:type="dxa"/>
            <w:vAlign w:val="bottom"/>
            <w:gridSpan w:val="5"/>
          </w:tcPr>
          <w:p>
            <w:pPr>
              <w:spacing w:after="0"/>
              <w:rPr>
                <w:sz w:val="20"/>
                <w:szCs w:val="20"/>
                <w:color w:val="auto"/>
              </w:rPr>
            </w:pPr>
            <w:r>
              <w:rPr>
                <w:rFonts w:ascii="Arial" w:cs="Arial" w:eastAsia="Arial" w:hAnsi="Arial"/>
                <w:sz w:val="18"/>
                <w:szCs w:val="18"/>
                <w:color w:val="auto"/>
                <w:w w:val="98"/>
              </w:rPr>
              <w:t>The maturities of the operating lease liabilities as of December 31, 2021 were as follows (in thousands):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2026 and thereafter</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19,275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connection with the 350 Treat Building Lease and 2741 16th Street Lease, the Company obtained letters of credit from certain banks as required by the lease agreements. If the Company defaults under the terms of the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2021 and 2020. The outstanding amount of the letters of credit are $2.0 million and $1.3 million as of December 31, 2021 and 2020,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17"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As of December 31, 2021, the Company had non-cancelable purchase commitments to a third-party contract manufacturer for approximately $17.5 million and other vendors for approximately $12.3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is involved in various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June 10, 2021, we received a letter from the SEC notifying us of an investigation and document subpoena. The subpoena seeks documents regarding projected financial information in CLA’s Form S-4 registration statement filed on December 22, 2020. We are complying with the SEC’s requests to date. We are awaiting information from the SEC on whether there will be next steps, if any beyond current requests to date. Although we believe we are responding in an appropriate manner, there can be no assurance whether this SEC investigation shall conclude, whether the SEC may request production for additional documents and communications, or whether we may be involved in subsequent litigation. At this time, we are unable to estimate the probability or the amount of liability, if any, related to this matter.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86"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64"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consolidated financial statements do not include a liability for any potential obligations under the indemnification agreements at December 31, 2021 and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Redeemable Convertible Preferred and Common Stock</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Seed Financing and conversion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April 2016, the Company issued 1,887,253 shares of Series Seed redeemable convertible preferred stock at $1.02 per share for net proceeds of</w:t>
      </w:r>
    </w:p>
    <w:p>
      <w:pPr>
        <w:spacing w:after="0" w:line="4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$1.8 million, net of $0.1 million stock issuance costs. In April 2016, the Company issued 44,256 shares to an investor upon conversion of a note having a balance of principal and interest of $45,000. In May 2016, the Company issued 563,725 shares of Series Seed redeemable convertible preferred stock at $1.02 per share for net proceeds of $0.6 million. In July 2016, the Company issued 445,942 shares of Series Seed redeemable convertible preferred stock at $1.02 per share for net proceeds of $0.5 million.</w:t>
      </w:r>
    </w:p>
    <w:p>
      <w:pPr>
        <w:spacing w:after="0" w:line="193"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In April 2020, in order to induce the closing of the Series B Financing, the holders exercised the embedded conversion feature and all the outstanding Series Seed redeemable convertible preferred stock shares were converted to 2,941,176 shares of the Company’s common stock.</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Financing and conversion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October 2017, the Company issued 1,324,511 shares of Series A Preferred Stock at $11.3158 per share for net proceeds of $14.8 million, net of</w:t>
      </w:r>
    </w:p>
    <w:p>
      <w:pPr>
        <w:spacing w:after="0" w:line="46"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$0.2 million of stock issuance costs. In October 2017, the Company issued 1,253,556 shares of Series A Preferred Stock upon conversion of multiple notes having a principal and interest balance of $4.6 million. In December, 2018, the Company issued 715,712 shares of Series A Preferred Stock at $11.3158 per share for net proceeds of $8.1 million.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86"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In April 2020, in order to induce the closing of the Series B Financing, the holders exercised the embedded conversion feature and all of the outstanding Series A redeemable convertible preferred stock shares were converted to 3,293,779 shares of the Company’s common stock.</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April 2020, the Company issued 45,185,071 shares of Series B redeemable convertible preferred stock at $0.3323 per share for gross proceeds of $15.1 million, less $0.1 million of stock issuance costs. In May 2020, the Company issued 17,320,031 shares of Series B redeemable convertible preferred stock at $0.3323 per share for gross proceeds of $5.8 million, less $0.1 million of stock issuance costs. In July 2020, the Company issued 37,970,846 shares of Series B redeemable convertible preferred stock at $0.3323 per share for gross proceeds of $12.5 million, less $0.1 million of stock issuance costs. In August 2020, the Company issued 25,286,587 shares of Series B redeemable convertible preferred stock at $0.3323 per share for gross proceeds of $8.4 million, less $0.1 million of stock issuance costs.</w:t>
      </w:r>
    </w:p>
    <w:p>
      <w:pPr>
        <w:spacing w:after="0" w:line="19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December 31, 2021, the Company does not have any redeemable convertible preferred stock outstanding.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Redeemable convertible preferred stock as of December 31, 2020, consisted of the following (in thousands, except share and per share data):</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3"/>
              </w:rPr>
              <w:t>December 31, 2020</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 Price</w:t>
            </w: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2"/>
              </w:rPr>
              <w:t>Shares</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Liquidation</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27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1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per share</w:t>
            </w:r>
          </w:p>
        </w:tc>
        <w:tc>
          <w:tcPr>
            <w:tcW w:w="10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Authorized</w:t>
            </w:r>
          </w:p>
        </w:tc>
        <w:tc>
          <w:tcPr>
            <w:tcW w:w="320" w:type="dxa"/>
            <w:vAlign w:val="bottom"/>
          </w:tcPr>
          <w:p>
            <w:pPr>
              <w:spacing w:after="0"/>
              <w:rPr>
                <w:sz w:val="15"/>
                <w:szCs w:val="15"/>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B</w:t>
            </w:r>
          </w:p>
        </w:tc>
        <w:tc>
          <w:tcPr>
            <w:tcW w:w="2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0.33</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131,411,372</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88,434,754</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8"/>
              </w:rPr>
              <w:t>$  41,791</w:t>
            </w: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$ 39,225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features of the Company’s redeemable convertible preferred stock were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provisions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Series Seed, Series A and Series B preferred stockholders were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were to be distributed among the holders of the preferred stock and common stock pro rata based on the number of shares of common stock then held by each holder (assuming conversion of all shares of preferred stock into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the event of liquidation, dissolution or winding up of the Company, merger or a reduction of capital through the sale or lease of all or substantial part of the business of the Company, before any distribution or payment could be made to the holders of 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to receive a pro rata distribution, based on the relative preferred stock ownership and in proportion to the preferential amount each such holder is otherwise entitled. If the assets and funds were in excess of amounts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86"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distributed to the preferred stockholders, the remaining assets and funds were to be distributed pro rata to the holders of the common stock. If the holders of the redeemable convertible preferred stock would receive a greater distribution if they converted to common stock, then such conversion would have been assumed prior to distribution.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holders of Series Seed, Series A and Series B redeemable convertible preferred stock had a right to convert their stock into not assessable shares of common stock at a conversion rate equal to their respective liquidation preferences divided by a conversion price of $1.02, $11.3518 and $0.3323, respectively, which would be adjusted for any stock splits, stock dividends, combination, subdivisions, recapitalization or similar transactions.</w:t>
      </w:r>
    </w:p>
    <w:p>
      <w:pPr>
        <w:spacing w:after="0" w:line="14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Shares of Series B redeemable convertible preferred stock were automatically be converted into shares of common stock upon the earlier of (a) the closing of the sale of shares of common stock to the public at a minimum price of $1.41 per share, subject to appropriate adjustment in the event of any stock splits, stock dividends, combinations, subdivisions, recapitalization or similar transactions with respect to common stock, in a firm-commitment underwritten public offering pursuant to an effective registration statement under the Securities Act of 1933, as amended, resulting in at least</w:t>
      </w:r>
    </w:p>
    <w:p>
      <w:pPr>
        <w:spacing w:after="0" w:line="1" w:lineRule="exact"/>
        <w:rPr>
          <w:sz w:val="20"/>
          <w:szCs w:val="20"/>
          <w:color w:val="auto"/>
        </w:rPr>
      </w:pPr>
    </w:p>
    <w:p>
      <w:pPr>
        <w:ind w:left="120" w:right="100"/>
        <w:spacing w:after="0" w:line="302" w:lineRule="auto"/>
        <w:rPr>
          <w:sz w:val="20"/>
          <w:szCs w:val="20"/>
          <w:color w:val="auto"/>
        </w:rPr>
      </w:pPr>
      <w:r>
        <w:rPr>
          <w:rFonts w:ascii="Arial" w:cs="Arial" w:eastAsia="Arial" w:hAnsi="Arial"/>
          <w:sz w:val="16"/>
          <w:szCs w:val="16"/>
          <w:color w:val="auto"/>
        </w:rPr>
        <w:t>$75.0 million of gross cash proceeds to the Company or (b)(i) upon vote or written consent of a majority of the then outstanding shares of the Series Seed redeemable convertible preferred stock, voting as a separate series on an as-converted basis or (ii) upon vote or written consent of the majority of the then outstanding shares of the Series B redeemable convertible preferred stock, voting as a separate series on an as-converted basis, respectively.</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The redeemable convertible preferred stock is recorded in mezzanine equity because while it is not currently redeemable, it may become redeemable at the option of the preferred stockholders upon the occurrence of certain deemed liquidation events that are considered not solely within the Company’s control for an amount equal to the shares respective liquidation preference plus declared and unpaid dividends.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Each holder of redeemable convertible preferred stock shall be entitled to the number of votes equal to the number of shares of common stock into which such redeemable convertible preferred stock could then be converted and, with respect to such vote, holders of redeemable convertible preferred stock are entitled to vote together with the holders of common stock as a single class on all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Stock-based compensation</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December 31, 2021, the Company has three equity incentive plans, the 2015 Stock Plan (the “2015 Plan”), the 2021 Incentive Award Plan (the “2021 Plan”) and the Sense 2017 Equity Incentive Plan (the “Sense Plan” and together the “Plans”).</w:t>
      </w:r>
    </w:p>
    <w:p>
      <w:pPr>
        <w:spacing w:after="0" w:line="170"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 Plans provide for the grant of stock options, stock appreciation rights, restricted stock awards restricted stock units, performance stock unit awards and other forms of equity compensation (collectively, “equity awards”). In addition, the 2021 Plan provides for the grant of performance bonus awards. All awards within the Plans may be granted to employees, including officers, as well as directors and consultants, within the limits defined in the Plans.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60"/>
          </w:cols>
          <w:pgMar w:left="320" w:top="48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spacing w:after="0" w:line="16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spacing w:after="0" w:line="17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exercise price of stock options granted before the Merger were determined based on the fair value of stock at the date of grant obtained by the Company on a contemporaneous basis from an independent valuation firm. The valuation firm used a PWERM to estimate the aggregate enterprise value of the Company at each valuation date. The PWERM involves applying appropriate risk adjusted discount rates to future values for the enterprise assuming various possible scenarios. The projections used in connection with these valuations were based on the Company’s expected operating performance over the forecast period. Share value is based on the probability-weighted present value of expected future returns to the equity investor considering each of the likely future scenarios available to the enterprise, and the rights and preferences of each share class.</w:t>
      </w:r>
    </w:p>
    <w:p>
      <w:pPr>
        <w:spacing w:after="0" w:line="16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Incentive Award Plan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March 2021, the Company granted an option to purchase 1,614,492 shares of Company common stock, 807,246 restricted stock units and 807,246 performance stock units to a senior advisor serving on the Company’s board of directors as chair. The option would vest over five years starting from the first anniversary from the senior advisor’s employment start date and at a rate of 20% per annum, subject to his continued employment with the Company and provided that option grant will only be exercisable in the event that the closing trading price per share of the Company stock equals or exceeds 130% of the exercise price per share of the option for 30 consecutive trading days. The restricted stock units would vest over five years starting from the first anniversary from the senior advisor’s employment start date and at a rate of 20% per annum, subject to his continued employment with the Company. The performance stock units would vest over four years based on achieving increases in the Company’s stock price from the date of grant ranging from 150%, to earn 25% of the performance stock units, to 300% to earn the entire award of performance stock units. Each performance stock unit constituted the right to receive one share of Company common stock upon vesting. The senior advisor resigned in June 2021 and the option to purchase 1,614,492 shares of Company common stock, all restricted stock unit awards granted and all performance stock unit awards granted were forfeited.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86"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March 2021, the Company also granted 152,628 restricted stock units to several members of the board of directors subject to standard terms of these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Stock Plan</w:t>
      </w:r>
    </w:p>
    <w:p>
      <w:pPr>
        <w:spacing w:after="0" w:line="117"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In 2015, the Company established its 2015 Stock Plan. As of March 11, 2021, the effective time of the Merger, the Company no longer grants equity awards pursuant to the 2015 Plan, but it continues to govern the terms of outstanding stock options that were granted prior to that date.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 Assumed from Acquisition</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closing of the acquisition, 823,114 stock options and 4,490,980 RSUs were assumed.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Promissory Notes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On October 12, 2020, the Company issued $1.1 million partial recourse promissory notes to certain executives and employees. The promissory notes carried 0.38% annual cash interest and were due on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$0.5 million under each of their respective notes. Additional compensation expense of $0.5 million was recognized in general and administrative expenses in the year ended December 31, 2021.</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Early Exercises</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For those shares issued in connection with early cash exercises, there were 1,501,976 and 6,212,254 unvested shares outstanding as of December 31, 2021 and 2020, respectively, and approximately $0.3 million and $0.6 million of related liabilities at respective dates. The number of options early exercised for the years ended December 31, 2021 and 2020 were nil and 9,507,478,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86"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 recognized stock-based compensation for all stock options in the statements of operations and comprehensive loss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96"/>
              </w:rPr>
              <w:t>2021</w:t>
            </w:r>
          </w:p>
        </w:tc>
        <w:tc>
          <w:tcPr>
            <w:tcW w:w="10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7,240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621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13,663</w:t>
            </w:r>
          </w:p>
        </w:tc>
        <w:tc>
          <w:tcPr>
            <w:tcW w:w="40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25,363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$ 1,293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6"/>
            <w:vMerge w:val="restart"/>
          </w:tcPr>
          <w:p>
            <w:pPr>
              <w:jc w:val="right"/>
              <w:ind w:right="260"/>
              <w:spacing w:after="0"/>
              <w:rPr>
                <w:sz w:val="20"/>
                <w:szCs w:val="20"/>
                <w:color w:val="auto"/>
              </w:rPr>
            </w:pPr>
            <w:r>
              <w:rPr>
                <w:rFonts w:ascii="Arial" w:cs="Arial" w:eastAsia="Arial" w:hAnsi="Arial"/>
                <w:sz w:val="18"/>
                <w:szCs w:val="18"/>
                <w:color w:val="auto"/>
                <w:w w:val="90"/>
              </w:rPr>
              <w:t>Stock option activity for the years ended December 31, 2021, 2020 and 2019 is as follows: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24"/>
                <w:szCs w:val="2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Ave rage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Term (in years)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Outstanding—January 1, 2019</w:t>
            </w:r>
          </w:p>
        </w:tc>
        <w:tc>
          <w:tcPr>
            <w:tcW w:w="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977,513</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2160" w:type="dxa"/>
            <w:vAlign w:val="bottom"/>
            <w:gridSpan w:val="3"/>
          </w:tcPr>
          <w:p>
            <w:pPr>
              <w:jc w:val="right"/>
              <w:ind w:right="400"/>
              <w:spacing w:after="0"/>
              <w:rPr>
                <w:sz w:val="20"/>
                <w:szCs w:val="20"/>
                <w:color w:val="auto"/>
              </w:rPr>
            </w:pPr>
            <w:r>
              <w:rPr>
                <w:rFonts w:ascii="Arial" w:cs="Arial" w:eastAsia="Arial" w:hAnsi="Arial"/>
                <w:sz w:val="18"/>
                <w:szCs w:val="18"/>
                <w:color w:val="auto"/>
              </w:rPr>
              <w:t>913,090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8.25</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2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5.96</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cancelled</w:t>
            </w:r>
          </w:p>
        </w:tc>
        <w:tc>
          <w:tcPr>
            <w:tcW w:w="8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(282,413)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1,599,645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6.58</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2160" w:type="dxa"/>
            <w:vAlign w:val="bottom"/>
            <w:gridSpan w:val="3"/>
          </w:tcPr>
          <w:p>
            <w:pPr>
              <w:jc w:val="right"/>
              <w:ind w:right="400"/>
              <w:spacing w:after="0"/>
              <w:rPr>
                <w:sz w:val="20"/>
                <w:szCs w:val="20"/>
                <w:color w:val="auto"/>
              </w:rPr>
            </w:pPr>
            <w:r>
              <w:rPr>
                <w:rFonts w:ascii="Arial" w:cs="Arial" w:eastAsia="Arial" w:hAnsi="Arial"/>
                <w:sz w:val="18"/>
                <w:szCs w:val="18"/>
                <w:color w:val="auto"/>
              </w:rPr>
              <w:t>37,663,242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0.45</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363,941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2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(12,221,364)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0.20</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121,106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cancelled</w:t>
            </w:r>
          </w:p>
        </w:tc>
        <w:tc>
          <w:tcPr>
            <w:tcW w:w="8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(1,309,020)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Outstanding—December 31, 2020</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25,732,503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0.56</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1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$245,746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assumed through acquisition</w:t>
            </w:r>
          </w:p>
        </w:tc>
        <w:tc>
          <w:tcPr>
            <w:tcW w:w="2160" w:type="dxa"/>
            <w:vAlign w:val="bottom"/>
            <w:gridSpan w:val="3"/>
          </w:tcPr>
          <w:p>
            <w:pPr>
              <w:jc w:val="right"/>
              <w:ind w:right="400"/>
              <w:spacing w:after="0"/>
              <w:rPr>
                <w:sz w:val="20"/>
                <w:szCs w:val="20"/>
                <w:color w:val="auto"/>
              </w:rPr>
            </w:pPr>
            <w:r>
              <w:rPr>
                <w:rFonts w:ascii="Arial" w:cs="Arial" w:eastAsia="Arial" w:hAnsi="Arial"/>
                <w:sz w:val="18"/>
                <w:szCs w:val="18"/>
                <w:color w:val="auto"/>
              </w:rPr>
              <w:t>823,114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5.05</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2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645,796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10.26</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ind w:left="360"/>
              <w:spacing w:after="0"/>
              <w:rPr>
                <w:sz w:val="20"/>
                <w:szCs w:val="20"/>
                <w:color w:val="auto"/>
              </w:rPr>
            </w:pPr>
            <w:r>
              <w:rPr>
                <w:rFonts w:ascii="Arial" w:cs="Arial" w:eastAsia="Arial" w:hAnsi="Arial"/>
                <w:sz w:val="18"/>
                <w:szCs w:val="18"/>
                <w:color w:val="auto"/>
              </w:rPr>
              <w:t>Options exercised</w:t>
            </w:r>
          </w:p>
        </w:tc>
        <w:tc>
          <w:tcPr>
            <w:tcW w:w="2160" w:type="dxa"/>
            <w:vAlign w:val="bottom"/>
            <w:gridSpan w:val="3"/>
          </w:tcPr>
          <w:p>
            <w:pPr>
              <w:jc w:val="right"/>
              <w:ind w:right="340"/>
              <w:spacing w:after="0"/>
              <w:rPr>
                <w:sz w:val="20"/>
                <w:szCs w:val="20"/>
                <w:color w:val="auto"/>
              </w:rPr>
            </w:pPr>
            <w:r>
              <w:rPr>
                <w:rFonts w:ascii="Arial" w:cs="Arial" w:eastAsia="Arial" w:hAnsi="Arial"/>
                <w:sz w:val="18"/>
                <w:szCs w:val="18"/>
                <w:color w:val="auto"/>
              </w:rPr>
              <w:t>(2,155,348)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cancelled</w:t>
            </w:r>
          </w:p>
        </w:tc>
        <w:tc>
          <w:tcPr>
            <w:tcW w:w="2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(916,969)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0"/>
        </w:trPr>
        <w:tc>
          <w:tcPr>
            <w:tcW w:w="4620" w:type="dxa"/>
            <w:vAlign w:val="bottom"/>
            <w:gridSpan w:val="3"/>
          </w:tcPr>
          <w:p>
            <w:pPr>
              <w:ind w:left="440"/>
              <w:spacing w:after="0"/>
              <w:rPr>
                <w:sz w:val="20"/>
                <w:szCs w:val="20"/>
                <w:color w:val="auto"/>
              </w:rPr>
            </w:pPr>
            <w:r>
              <w:rPr>
                <w:rFonts w:ascii="Arial" w:cs="Arial" w:eastAsia="Arial" w:hAnsi="Arial"/>
                <w:sz w:val="18"/>
                <w:szCs w:val="18"/>
                <w:color w:val="auto"/>
              </w:rPr>
              <w:t>Outstanding—December 31, 2021</w:t>
            </w:r>
          </w:p>
        </w:tc>
        <w:tc>
          <w:tcPr>
            <w:tcW w:w="8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24,129,096</w:t>
            </w:r>
          </w:p>
        </w:tc>
        <w:tc>
          <w:tcPr>
            <w:tcW w:w="400" w:type="dxa"/>
            <w:vAlign w:val="bottom"/>
          </w:tcPr>
          <w:p>
            <w:pPr>
              <w:spacing w:after="0"/>
              <w:rPr>
                <w:sz w:val="20"/>
                <w:szCs w:val="20"/>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1.01</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8.6</w:t>
            </w:r>
          </w:p>
        </w:tc>
        <w:tc>
          <w:tcPr>
            <w:tcW w:w="1180" w:type="dxa"/>
            <w:vAlign w:val="bottom"/>
            <w:gridSpan w:val="6"/>
          </w:tcPr>
          <w:p>
            <w:pPr>
              <w:jc w:val="right"/>
              <w:ind w:right="40"/>
              <w:spacing w:after="0"/>
              <w:rPr>
                <w:sz w:val="20"/>
                <w:szCs w:val="20"/>
                <w:color w:val="auto"/>
              </w:rPr>
            </w:pPr>
            <w:r>
              <w:rPr>
                <w:rFonts w:ascii="Arial" w:cs="Arial" w:eastAsia="Arial" w:hAnsi="Arial"/>
                <w:sz w:val="18"/>
                <w:szCs w:val="18"/>
                <w:color w:val="auto"/>
              </w:rPr>
              <w:t>$100,992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vest-December 31, 2021</w:t>
            </w:r>
          </w:p>
        </w:tc>
        <w:tc>
          <w:tcPr>
            <w:tcW w:w="2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24,129,096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1.01</w:t>
            </w:r>
          </w:p>
        </w:tc>
        <w:tc>
          <w:tcPr>
            <w:tcW w:w="12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1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$100,992</w:t>
            </w:r>
          </w:p>
        </w:tc>
        <w:tc>
          <w:tcPr>
            <w:tcW w:w="0" w:type="dxa"/>
            <w:vAlign w:val="bottom"/>
          </w:tcPr>
          <w:p>
            <w:pPr>
              <w:spacing w:after="0"/>
              <w:rPr>
                <w:sz w:val="1"/>
                <w:szCs w:val="1"/>
                <w:color w:val="auto"/>
              </w:rPr>
            </w:pPr>
          </w:p>
        </w:tc>
      </w:tr>
      <w:tr>
        <w:trPr>
          <w:trHeight w:val="223"/>
        </w:trPr>
        <w:tc>
          <w:tcPr>
            <w:tcW w:w="4620" w:type="dxa"/>
            <w:vAlign w:val="bottom"/>
            <w:gridSpan w:val="3"/>
          </w:tcPr>
          <w:p>
            <w:pPr>
              <w:ind w:left="440"/>
              <w:spacing w:after="0"/>
              <w:rPr>
                <w:sz w:val="20"/>
                <w:szCs w:val="20"/>
                <w:color w:val="auto"/>
              </w:rPr>
            </w:pPr>
            <w:r>
              <w:rPr>
                <w:rFonts w:ascii="Arial" w:cs="Arial" w:eastAsia="Arial" w:hAnsi="Arial"/>
                <w:sz w:val="18"/>
                <w:szCs w:val="18"/>
                <w:color w:val="auto"/>
              </w:rPr>
              <w:t>Exercisable—December 31, 2021</w:t>
            </w:r>
          </w:p>
        </w:tc>
        <w:tc>
          <w:tcPr>
            <w:tcW w:w="8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9,332,369</w:t>
            </w:r>
          </w:p>
        </w:tc>
        <w:tc>
          <w:tcPr>
            <w:tcW w:w="4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408"/>
              <w:spacing w:after="0"/>
              <w:rPr>
                <w:sz w:val="20"/>
                <w:szCs w:val="20"/>
                <w:color w:val="auto"/>
              </w:rPr>
            </w:pPr>
            <w:r>
              <w:rPr>
                <w:rFonts w:ascii="Arial" w:cs="Arial" w:eastAsia="Arial" w:hAnsi="Arial"/>
                <w:sz w:val="18"/>
                <w:szCs w:val="18"/>
                <w:color w:val="auto"/>
              </w:rPr>
              <w:t>0.74</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8.5</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60" w:type="dxa"/>
            <w:vAlign w:val="bottom"/>
            <w:gridSpan w:val="3"/>
          </w:tcPr>
          <w:p>
            <w:pPr>
              <w:jc w:val="right"/>
              <w:ind w:right="1100"/>
              <w:spacing w:after="0"/>
              <w:rPr>
                <w:sz w:val="20"/>
                <w:szCs w:val="20"/>
                <w:color w:val="auto"/>
              </w:rPr>
            </w:pPr>
            <w:r>
              <w:rPr>
                <w:rFonts w:ascii="Arial" w:cs="Arial" w:eastAsia="Arial" w:hAnsi="Arial"/>
                <w:sz w:val="18"/>
                <w:szCs w:val="18"/>
                <w:color w:val="auto"/>
              </w:rPr>
              <w:t>F-41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Exercisable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Weighted</w:t>
            </w:r>
          </w:p>
        </w:tc>
        <w:tc>
          <w:tcPr>
            <w:tcW w:w="600" w:type="dxa"/>
            <w:vAlign w:val="bottom"/>
          </w:tcPr>
          <w:p>
            <w:pPr>
              <w:spacing w:after="0"/>
              <w:rPr>
                <w:sz w:val="10"/>
                <w:szCs w:val="10"/>
                <w:color w:val="auto"/>
              </w:rPr>
            </w:pPr>
          </w:p>
        </w:tc>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4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9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3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92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Outstanding</w:t>
            </w:r>
          </w:p>
        </w:tc>
        <w:tc>
          <w:tcPr>
            <w:tcW w:w="860" w:type="dxa"/>
            <w:vAlign w:val="bottom"/>
          </w:tcPr>
          <w:p>
            <w:pPr>
              <w:spacing w:after="0"/>
              <w:rPr>
                <w:sz w:val="14"/>
                <w:szCs w:val="14"/>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Life (Years)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Exercisable</w:t>
            </w:r>
          </w:p>
        </w:tc>
        <w:tc>
          <w:tcPr>
            <w:tcW w:w="10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Life (Years)</w:t>
            </w:r>
          </w:p>
        </w:tc>
        <w:tc>
          <w:tcPr>
            <w:tcW w:w="120" w:type="dxa"/>
            <w:vAlign w:val="bottom"/>
          </w:tcPr>
          <w:p>
            <w:pPr>
              <w:spacing w:after="0"/>
              <w:rPr>
                <w:sz w:val="14"/>
                <w:szCs w:val="14"/>
                <w:color w:val="auto"/>
              </w:rPr>
            </w:pPr>
          </w:p>
        </w:tc>
        <w:tc>
          <w:tcPr>
            <w:tcW w:w="11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5,548,717</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3,492,915</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8.4</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1"/>
              </w:rPr>
              <w:t>0.18</w:t>
            </w:r>
          </w:p>
        </w:tc>
        <w:tc>
          <w:tcPr>
            <w:tcW w:w="6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9,602,898</w:t>
            </w: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8.7</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340"/>
              <w:spacing w:after="0"/>
              <w:rPr>
                <w:sz w:val="20"/>
                <w:szCs w:val="20"/>
                <w:color w:val="auto"/>
              </w:rPr>
            </w:pPr>
            <w:r>
              <w:rPr>
                <w:rFonts w:ascii="Arial" w:cs="Arial" w:eastAsia="Arial" w:hAnsi="Arial"/>
                <w:sz w:val="18"/>
                <w:szCs w:val="18"/>
                <w:color w:val="auto"/>
              </w:rPr>
              <w:t>0.21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3,138,238</w:t>
            </w:r>
          </w:p>
        </w:tc>
        <w:tc>
          <w:tcPr>
            <w:tcW w:w="2440" w:type="dxa"/>
            <w:vAlign w:val="bottom"/>
            <w:gridSpan w:val="3"/>
          </w:tcPr>
          <w:p>
            <w:pPr>
              <w:ind w:left="1520"/>
              <w:spacing w:after="0"/>
              <w:rPr>
                <w:sz w:val="20"/>
                <w:szCs w:val="20"/>
                <w:color w:val="auto"/>
              </w:rPr>
            </w:pPr>
            <w:r>
              <w:rPr>
                <w:rFonts w:ascii="Arial" w:cs="Arial" w:eastAsia="Arial" w:hAnsi="Arial"/>
                <w:sz w:val="18"/>
                <w:szCs w:val="18"/>
                <w:color w:val="auto"/>
              </w:rPr>
              <w:t>8.7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0.21</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7,524,114</w:t>
            </w:r>
          </w:p>
        </w:tc>
        <w:tc>
          <w:tcPr>
            <w:tcW w:w="2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1.42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2,194,532</w:t>
            </w:r>
          </w:p>
        </w:tc>
        <w:tc>
          <w:tcPr>
            <w:tcW w:w="244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1.42</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40,581</w:t>
            </w: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6.1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340"/>
              <w:spacing w:after="0"/>
              <w:rPr>
                <w:sz w:val="20"/>
                <w:szCs w:val="20"/>
                <w:color w:val="auto"/>
              </w:rPr>
            </w:pPr>
            <w:r>
              <w:rPr>
                <w:rFonts w:ascii="Arial" w:cs="Arial" w:eastAsia="Arial" w:hAnsi="Arial"/>
                <w:sz w:val="18"/>
                <w:szCs w:val="18"/>
                <w:color w:val="auto"/>
              </w:rPr>
              <w:t>1.49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39,927</w:t>
            </w:r>
          </w:p>
        </w:tc>
        <w:tc>
          <w:tcPr>
            <w:tcW w:w="2440" w:type="dxa"/>
            <w:vAlign w:val="bottom"/>
            <w:gridSpan w:val="3"/>
          </w:tcPr>
          <w:p>
            <w:pPr>
              <w:ind w:left="1520"/>
              <w:spacing w:after="0"/>
              <w:rPr>
                <w:sz w:val="20"/>
                <w:szCs w:val="20"/>
                <w:color w:val="auto"/>
              </w:rPr>
            </w:pPr>
            <w:r>
              <w:rPr>
                <w:rFonts w:ascii="Arial" w:cs="Arial" w:eastAsia="Arial" w:hAnsi="Arial"/>
                <w:sz w:val="18"/>
                <w:szCs w:val="18"/>
                <w:color w:val="auto"/>
              </w:rPr>
              <w:t>6.1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1.49</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766,989</w:t>
            </w:r>
          </w:p>
        </w:tc>
        <w:tc>
          <w:tcPr>
            <w:tcW w:w="2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5.24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466,757</w:t>
            </w:r>
          </w:p>
        </w:tc>
        <w:tc>
          <w:tcPr>
            <w:tcW w:w="244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5.24</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645,797</w:t>
            </w:r>
          </w:p>
        </w:tc>
        <w:tc>
          <w:tcPr>
            <w:tcW w:w="460" w:type="dxa"/>
            <w:vAlign w:val="bottom"/>
          </w:tcPr>
          <w:p>
            <w:pPr>
              <w:spacing w:after="0"/>
              <w:rPr>
                <w:sz w:val="19"/>
                <w:szCs w:val="19"/>
                <w:color w:val="auto"/>
              </w:rPr>
            </w:pPr>
          </w:p>
        </w:tc>
        <w:tc>
          <w:tcPr>
            <w:tcW w:w="236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340"/>
              <w:spacing w:after="0"/>
              <w:rPr>
                <w:sz w:val="20"/>
                <w:szCs w:val="20"/>
                <w:color w:val="auto"/>
              </w:rPr>
            </w:pPr>
            <w:r>
              <w:rPr>
                <w:rFonts w:ascii="Arial" w:cs="Arial" w:eastAsia="Arial" w:hAnsi="Arial"/>
                <w:sz w:val="18"/>
                <w:szCs w:val="18"/>
                <w:color w:val="auto"/>
              </w:rPr>
              <w:t>10.26</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40" w:type="dxa"/>
            <w:vAlign w:val="bottom"/>
            <w:gridSpan w:val="3"/>
          </w:tcPr>
          <w:p>
            <w:pPr>
              <w:ind w:left="1520"/>
              <w:spacing w:after="0"/>
              <w:rPr>
                <w:sz w:val="20"/>
                <w:szCs w:val="20"/>
                <w:color w:val="auto"/>
              </w:rPr>
            </w:pPr>
            <w:r>
              <w:rPr>
                <w:rFonts w:ascii="Arial" w:cs="Arial" w:eastAsia="Arial" w:hAnsi="Arial"/>
                <w:sz w:val="18"/>
                <w:szCs w:val="18"/>
                <w:color w:val="auto"/>
              </w:rPr>
              <w:t>9.4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24,129,096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9,332,369</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2021, 2020 and 2019 was $5.90, $1.10 and $4.39,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grant date fair value of options assumed during the year ended December 31, 2021 was $3.11.</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2021, there was approximately $26.4 million of unamortized stock-based compensation expense related to unvested stock options that is expected to be recognized over a weighted average period of 1.60 years.</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Cash received from option exercises and purchases of shares was $0.5 million, $0.4 million and $0.1 million for years ended December 31, 2021, 2020 and 2019, respectively.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weighted-average assumptions in the Black-Scholes option-pricing models used to determine the fair value of stock options granted during the years ended December 31, 2021, 2020 and 2019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5.0—6.1</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2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0.3—1.5%</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1.5%—2.4%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63.2%</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57.4%—63.3%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55.3%—58.0%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weighted-average assumptions in the Black-Scholes option-pricing models used to determine the fair value of stock options assumed during the year ended December 31, 2021 were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4800" w:type="dxa"/>
            <w:vAlign w:val="bottom"/>
            <w:gridSpan w:val="2"/>
          </w:tcPr>
          <w:p>
            <w:pPr>
              <w:ind w:left="3220"/>
              <w:spacing w:after="0"/>
              <w:rPr>
                <w:sz w:val="20"/>
                <w:szCs w:val="20"/>
                <w:color w:val="auto"/>
              </w:rPr>
            </w:pPr>
            <w:r>
              <w:rPr>
                <w:rFonts w:ascii="Arial" w:cs="Arial" w:eastAsia="Arial" w:hAnsi="Arial"/>
                <w:sz w:val="14"/>
                <w:szCs w:val="14"/>
                <w:b w:val="1"/>
                <w:bCs w:val="1"/>
                <w:color w:val="auto"/>
                <w:w w:val="90"/>
              </w:rPr>
              <w:t>Year Ended December 31,</w:t>
            </w:r>
          </w:p>
        </w:tc>
      </w:tr>
      <w:tr>
        <w:trPr>
          <w:trHeight w:val="142"/>
        </w:trPr>
        <w:tc>
          <w:tcPr>
            <w:tcW w:w="268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3.1—5.6</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0.8%—1.3%</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44.1%—48.6%</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4800" w:type="dxa"/>
            <w:vAlign w:val="bottom"/>
            <w:gridSpan w:val="2"/>
          </w:tcPr>
          <w:p>
            <w:pPr>
              <w:jc w:val="center"/>
              <w:ind w:left="3116"/>
              <w:spacing w:after="0"/>
              <w:rPr>
                <w:sz w:val="20"/>
                <w:szCs w:val="20"/>
                <w:color w:val="auto"/>
              </w:rPr>
            </w:pPr>
            <w:r>
              <w:rPr>
                <w:rFonts w:ascii="Arial" w:cs="Arial" w:eastAsia="Arial" w:hAnsi="Arial"/>
                <w:sz w:val="18"/>
                <w:szCs w:val="18"/>
                <w:color w:val="auto"/>
                <w:w w:val="92"/>
              </w:rPr>
              <w:t>0%</w:t>
            </w:r>
          </w:p>
        </w:tc>
      </w:tr>
      <w:tr>
        <w:trPr>
          <w:trHeight w:val="350"/>
        </w:trPr>
        <w:tc>
          <w:tcPr>
            <w:tcW w:w="2680" w:type="dxa"/>
            <w:vAlign w:val="bottom"/>
          </w:tcPr>
          <w:p>
            <w:pPr>
              <w:spacing w:after="0"/>
              <w:rPr>
                <w:sz w:val="24"/>
                <w:szCs w:val="24"/>
                <w:color w:val="auto"/>
              </w:rPr>
            </w:pPr>
          </w:p>
        </w:tc>
        <w:tc>
          <w:tcPr>
            <w:tcW w:w="4800" w:type="dxa"/>
            <w:vAlign w:val="bottom"/>
            <w:gridSpan w:val="2"/>
          </w:tcPr>
          <w:p>
            <w:pPr>
              <w:ind w:left="900"/>
              <w:spacing w:after="0"/>
              <w:rPr>
                <w:sz w:val="20"/>
                <w:szCs w:val="20"/>
                <w:color w:val="auto"/>
              </w:rPr>
            </w:pPr>
            <w:r>
              <w:rPr>
                <w:rFonts w:ascii="Arial" w:cs="Arial" w:eastAsia="Arial" w:hAnsi="Arial"/>
                <w:sz w:val="18"/>
                <w:szCs w:val="18"/>
                <w:color w:val="auto"/>
              </w:rPr>
              <w:t>F-42</w:t>
            </w:r>
          </w:p>
        </w:tc>
      </w:tr>
    </w:tbl>
    <w:p>
      <w:pPr>
        <w:sectPr>
          <w:pgSz w:w="11900" w:h="16838" w:orient="portrait"/>
          <w:cols w:equalWidth="0" w:num="1">
            <w:col w:w="11140"/>
          </w:cols>
          <w:pgMar w:left="320" w:top="486"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(“RSA”)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RSAs activity under the Plan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0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7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Value (per 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 January 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34,865</w:t>
            </w:r>
          </w:p>
        </w:tc>
        <w:tc>
          <w:tcPr>
            <w:tcW w:w="8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0.58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Granted during the year</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1,617,264</w:t>
            </w:r>
          </w:p>
        </w:tc>
        <w:tc>
          <w:tcPr>
            <w:tcW w:w="4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w w:val="91"/>
              </w:rPr>
              <w:t>0.46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year</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(105,921)</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0.35</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Vested during the year</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(1,505,454)</w:t>
            </w:r>
          </w:p>
        </w:tc>
        <w:tc>
          <w:tcPr>
            <w:tcW w:w="4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w w:val="91"/>
              </w:rPr>
              <w:t>0.52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Unvested –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40,754</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0.67</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Granted during the year</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year</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Vested during the year</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(23,288)</w:t>
            </w:r>
          </w:p>
        </w:tc>
        <w:tc>
          <w:tcPr>
            <w:tcW w:w="4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w w:val="91"/>
              </w:rPr>
              <w:t>0.67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Unvested –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1"/>
              </w:rPr>
              <w:t>0.67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total fair value of RSAs vested during the years ended December 31, 2021, 2020 and 2019 was less than $0.1 million, $1.1 million and $0.1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 (“RSU”)</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RSUs activity under the Plan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 January 1, 2021</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Assumed through acquisition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4,490,980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during the year</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5,224,504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Canceled during the year</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(552,072)</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the year</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(509,786)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Unvested –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8,653,626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2021, total compensation expense related to unvested RSUs granted to employees, but not yet recognized, was $61.0 million, with a weighted-average remaining vesting period of 3.5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Employee benefit plan</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 a pre-tax basis. The Company at its discretion offers matching contributions of up to 4% of each employee’s annual compensation. The Company provided matching contributions of $1.0 million, $0.7 million and $0.5 million to the plan during the years ended December 31, 2021, 2020 and 2019, respectively.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86"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Net Loss Per Common Share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Year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(93,981)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(106,780)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(51,661)</w:t>
            </w:r>
          </w:p>
        </w:tc>
      </w:tr>
      <w:tr>
        <w:trPr>
          <w:trHeight w:val="20"/>
        </w:trPr>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500" w:type="dxa"/>
            <w:vAlign w:val="bottom"/>
          </w:tcPr>
          <w:p>
            <w:pPr>
              <w:ind w:left="360"/>
              <w:spacing w:after="0" w:line="201" w:lineRule="exact"/>
              <w:rPr>
                <w:sz w:val="20"/>
                <w:szCs w:val="20"/>
                <w:color w:val="auto"/>
              </w:rPr>
            </w:pPr>
            <w:r>
              <w:rPr>
                <w:rFonts w:ascii="Arial" w:cs="Arial" w:eastAsia="Arial" w:hAnsi="Arial"/>
                <w:sz w:val="18"/>
                <w:szCs w:val="18"/>
                <w:color w:val="auto"/>
                <w:w w:val="96"/>
              </w:rPr>
              <w:t>Weighted average shares used to compute basic and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4500" w:type="dxa"/>
            <w:vAlign w:val="bottom"/>
          </w:tcPr>
          <w:p>
            <w:pPr>
              <w:ind w:left="540"/>
              <w:spacing w:after="0"/>
              <w:rPr>
                <w:sz w:val="20"/>
                <w:szCs w:val="20"/>
                <w:color w:val="auto"/>
              </w:rPr>
            </w:pPr>
            <w:r>
              <w:rPr>
                <w:rFonts w:ascii="Arial" w:cs="Arial" w:eastAsia="Arial" w:hAnsi="Arial"/>
                <w:sz w:val="18"/>
                <w:szCs w:val="18"/>
                <w:color w:val="auto"/>
              </w:rPr>
              <w:t>diluted net loss per share</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133,917,571</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17,858,976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7,390,456</w:t>
            </w:r>
          </w:p>
        </w:tc>
        <w:tc>
          <w:tcPr>
            <w:tcW w:w="120" w:type="dxa"/>
            <w:vAlign w:val="bottom"/>
          </w:tcPr>
          <w:p>
            <w:pPr>
              <w:spacing w:after="0"/>
              <w:rPr>
                <w:sz w:val="20"/>
                <w:szCs w:val="20"/>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common share—basic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r>
      <w:tr>
        <w:trPr>
          <w:trHeight w:val="20"/>
        </w:trPr>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0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500" w:type="dxa"/>
            <w:vAlign w:val="bottom"/>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0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88,434,754</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4,384,348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22,675,729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25,732,503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1,599,645</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Unvested RSA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146,675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34,865</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10,106,993</w:t>
            </w:r>
          </w:p>
        </w:tc>
        <w:tc>
          <w:tcPr>
            <w:tcW w:w="320" w:type="dxa"/>
            <w:vAlign w:val="bottom"/>
          </w:tcPr>
          <w:p>
            <w:pPr>
              <w:spacing w:after="0"/>
              <w:rPr>
                <w:sz w:val="18"/>
                <w:szCs w:val="18"/>
                <w:color w:val="auto"/>
              </w:rPr>
            </w:pP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Unvested early exercised common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6,212,254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120,984</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 and early exercised options subject to nonrecourse notes</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2,151,100</w:t>
            </w:r>
          </w:p>
        </w:tc>
        <w:tc>
          <w:tcPr>
            <w:tcW w:w="3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15,999,900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4,443,862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37,285</w:t>
            </w:r>
          </w:p>
        </w:tc>
        <w:tc>
          <w:tcPr>
            <w:tcW w:w="60" w:type="dxa"/>
            <w:vAlign w:val="bottom"/>
            <w:shd w:val="clear" w:color="auto" w:fill="CCEEFF"/>
          </w:tcPr>
          <w:p>
            <w:pPr>
              <w:spacing w:after="0"/>
              <w:rPr>
                <w:sz w:val="18"/>
                <w:szCs w:val="18"/>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50,843,376</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127,121,148</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6,177,127</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(loss) before income taxes for the years ended December 31, 2021, 2020 and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96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6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3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$(96,956)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$(106,508)</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$(51,600)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Foreign</w:t>
            </w:r>
          </w:p>
        </w:tc>
        <w:tc>
          <w:tcPr>
            <w:tcW w:w="3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7"/>
        </w:trPr>
        <w:tc>
          <w:tcPr>
            <w:tcW w:w="2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(96,775)</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(106,405)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(51,660)</w:t>
            </w:r>
          </w:p>
        </w:tc>
      </w:tr>
      <w:tr>
        <w:trPr>
          <w:trHeight w:val="20"/>
        </w:trPr>
        <w:tc>
          <w:tcPr>
            <w:tcW w:w="2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2600" w:type="dxa"/>
            <w:vAlign w:val="bottom"/>
          </w:tcPr>
          <w:p>
            <w:pPr>
              <w:spacing w:after="0"/>
              <w:rPr>
                <w:sz w:val="24"/>
                <w:szCs w:val="24"/>
                <w:color w:val="auto"/>
              </w:rPr>
            </w:pPr>
          </w:p>
        </w:tc>
        <w:tc>
          <w:tcPr>
            <w:tcW w:w="4460" w:type="dxa"/>
            <w:vAlign w:val="bottom"/>
            <w:gridSpan w:val="3"/>
          </w:tcPr>
          <w:p>
            <w:pPr>
              <w:jc w:val="right"/>
              <w:ind w:right="2188"/>
              <w:spacing w:after="0"/>
              <w:rPr>
                <w:sz w:val="20"/>
                <w:szCs w:val="20"/>
                <w:color w:val="auto"/>
              </w:rPr>
            </w:pPr>
            <w:r>
              <w:rPr>
                <w:rFonts w:ascii="Arial" w:cs="Arial" w:eastAsia="Arial" w:hAnsi="Arial"/>
                <w:sz w:val="18"/>
                <w:szCs w:val="18"/>
                <w:color w:val="auto"/>
              </w:rPr>
              <w:t>F-44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gridSpan w:val="3"/>
          </w:tcPr>
          <w:p>
            <w:pPr>
              <w:jc w:val="center"/>
              <w:ind w:left="316"/>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(benefit) expense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(2,185)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deferred (benefit) expense</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(2,831)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income tax (benefit) expense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(2,794)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Income tax benefit in current years relates to the release of valuation allowance as a result of the recording of a deferred tax liability from an acquisition during the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between the statutory rate U.S. federal rate and the Company’s effective tax rate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(10,849)</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(3,810)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Fair value changes - warrants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11,192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7"/>
              </w:rPr>
              <w:t>Convertible debt cancellation of indebtedness income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Valuation allowance</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14,559</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tax (benefit) provision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140" w:type="dxa"/>
            <w:vAlign w:val="bottom"/>
            <w:gridSpan w:val="2"/>
          </w:tcPr>
          <w:p>
            <w:pPr>
              <w:jc w:val="right"/>
              <w:ind w:right="1427"/>
              <w:spacing w:after="0"/>
              <w:rPr>
                <w:sz w:val="20"/>
                <w:szCs w:val="20"/>
                <w:color w:val="auto"/>
              </w:rPr>
            </w:pPr>
            <w:r>
              <w:rPr>
                <w:rFonts w:ascii="Arial" w:cs="Arial" w:eastAsia="Arial" w:hAnsi="Arial"/>
                <w:sz w:val="18"/>
                <w:szCs w:val="18"/>
                <w:color w:val="auto"/>
              </w:rPr>
              <w:t>F-45</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Significant components of the Company’s deferred tax assets and liabilities for federal and state income taxes are as follows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42,721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15,285</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Gross deferred tax assets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56,101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22,642</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(47,420)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(19,362)</w:t>
            </w:r>
          </w:p>
        </w:tc>
      </w:tr>
      <w:tr>
        <w:trPr>
          <w:trHeight w:val="230"/>
        </w:trPr>
        <w:tc>
          <w:tcPr>
            <w:tcW w:w="612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Intangible property</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(5,287)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(3,050)</w:t>
            </w: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deferred tax liabilities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w:t>
            </w: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has established a full valuation allowance of $47.4 million and $19.4 million for the years ended December 31, 2021 and 2020,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2021. Accordingly, the Company has recorded a full valuation allowance on its deferred tax assets.</w:t>
      </w:r>
    </w:p>
    <w:p>
      <w:pPr>
        <w:spacing w:after="0" w:line="178"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valuation allowance on the Company’s net deferred taxes increased by $28.0 million and decreased by $6.8 million during the years ended December 31, 2021 and 2020, respectively. The increase in valuation allowance is primarily attributed to the generation of net operating losses and credit in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the Company had federal net operating loss carryforwards and state net operating loss carryforwards of approximately</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$49.5 million and $70.0 million, respectively. As of December 31, 2020, the federal net operating loss carryforward begins expiring in 2035 through 2040, and the state net operating loss carryforward begins expiring in 2035 through 2040. As of December 31, 2020, the amount of federal net operating loss that does not expire is $49.5 million.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2021, the Company had federal net operating loss carryforwards and state net operating loss carryforwards of approximately</w:t>
      </w:r>
    </w:p>
    <w:p>
      <w:pPr>
        <w:spacing w:after="0" w:line="3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$224.4 million and $146.8 million, respectively. As of December 31, 2021, federal net operating loss carryforwards generated after December 31, 2017 will be carried forward indefinitely and the state net operating loss carryforward begins expiring in 2035 through 2040. As of December 31, 2021, the amount of federal net operating loss that does not expire is $215.9 million.</w:t>
      </w:r>
    </w:p>
    <w:p>
      <w:pPr>
        <w:spacing w:after="0" w:line="19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As of December 31, 2021, the Company had federal and state research and development credit carryforwards of approximately $4.0 million and $2.30 million, respectively. As of December 31, 2020, the Company had federal and state research and development credit carryforwards of approximately $2.1 million and less than $0.1 million, respectively. As of December 31, 2021 and 2020 the federal credits will expire starting in 2035 and 2038, respectively, if not utilized and state credits carryforward indefinitely.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8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Such ownership change could result in the limitation and /or expiration of the net operating loss and tax credit carryforwards before utilization, which could result in increased future tax liabilities. While the Company has experienced ownership shifts, there has been no limitation or loss of tax attributes as of December 31, 2021.</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As of December 31, 2021 and 2020 the Company has reviewed the positive and negative evidence relating to the realizability of the deferred tax assets and has concluded that the deferred tax assets are more likely than not to not be realized.</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CARES Act includes provisions relating to refundable payroll tax credits, deferment of employer’s social security payments, net operating loss carry back periods, alternative minimum tax credit refunds, modifications to the net interest deduction limitations and technical corrections to tax depreciation methods for qualified improvement property. This new legislation did not impact the current year provision. The Company will continue to monitor the possible impacts in the future periods.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June 29, 2020, Governor Gavin Newsom signed California Assembly Bill 85 (AB 85) into law. The legislation suspends the California net operating loss deductions for 2021, 2022, and 2023 for certain taxpayers and imposes a limitation of certain California Tax Credits for 2021, 2022, and 2023.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As a result of the legislation, the available California net operating losses were unable to be utilized to offset taxable income in 2021. The Company utilized California R&amp;D credits to reduce its taxable income to minimum tax. The Company will continue to monitor the possible California net operating loss and credit limitations in future periods.</w:t>
      </w:r>
    </w:p>
    <w:p>
      <w:pPr>
        <w:spacing w:after="0" w:line="16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balance of gross unrecognized tax benefits as of December 31, 2021 and 2020 was $18.5 million and $1.0 million, respectively. Out of the total unrecognized tax benefits, $0.1 million at December 31, 2021, if recognized, would reduce our effective tax rate in the period of recognition. The Company does not expect its unrecognized tax benefits to change significantly over the next 12 months. The Company recognizes interest and penalties accrued on any unrecognized tax benefits as a component of income tax expense. As of December 31, 2021 and 2020, the Company has not accrued interest and penalties related to uncertain tax positions. The following table sets forth the change in the uncertain tax positions for the years ended December 31, 2021 and 2020:</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gridSpan w:val="2"/>
          </w:tcPr>
          <w:p>
            <w:pPr>
              <w:jc w:val="center"/>
              <w:ind w:left="324"/>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520" w:type="dxa"/>
            <w:vAlign w:val="bottom"/>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3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Decreases:</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 current year’s tax positions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3700" w:type="dxa"/>
            <w:vAlign w:val="bottom"/>
          </w:tcPr>
          <w:p>
            <w:pPr>
              <w:ind w:left="720"/>
              <w:spacing w:after="0"/>
              <w:rPr>
                <w:sz w:val="20"/>
                <w:szCs w:val="20"/>
                <w:color w:val="auto"/>
              </w:rPr>
            </w:pPr>
            <w:r>
              <w:rPr>
                <w:rFonts w:ascii="Arial" w:cs="Arial" w:eastAsia="Arial" w:hAnsi="Arial"/>
                <w:sz w:val="18"/>
                <w:szCs w:val="18"/>
                <w:color w:val="auto"/>
              </w:rPr>
              <w:t>For prior years’ tax positions</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ind w:left="720"/>
              <w:spacing w:after="0"/>
              <w:rPr>
                <w:sz w:val="20"/>
                <w:szCs w:val="20"/>
                <w:color w:val="auto"/>
              </w:rPr>
            </w:pPr>
            <w:r>
              <w:rPr>
                <w:rFonts w:ascii="Arial" w:cs="Arial" w:eastAsia="Arial" w:hAnsi="Arial"/>
                <w:sz w:val="18"/>
                <w:szCs w:val="18"/>
                <w:color w:val="auto"/>
              </w:rPr>
              <w:t>For current year’s tax positions</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 prior years’ tax positions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17,011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3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18,533</w:t>
            </w:r>
          </w:p>
        </w:tc>
        <w:tc>
          <w:tcPr>
            <w:tcW w:w="4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651</w:t>
            </w:r>
          </w:p>
        </w:tc>
        <w:tc>
          <w:tcPr>
            <w:tcW w:w="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3460" w:type="dxa"/>
            <w:vAlign w:val="bottom"/>
            <w:gridSpan w:val="2"/>
          </w:tcPr>
          <w:p>
            <w:pPr>
              <w:jc w:val="right"/>
              <w:ind w:right="2287"/>
              <w:spacing w:after="0"/>
              <w:rPr>
                <w:sz w:val="20"/>
                <w:szCs w:val="20"/>
                <w:color w:val="auto"/>
              </w:rPr>
            </w:pPr>
            <w:r>
              <w:rPr>
                <w:rFonts w:ascii="Arial" w:cs="Arial" w:eastAsia="Arial" w:hAnsi="Arial"/>
                <w:sz w:val="18"/>
                <w:szCs w:val="18"/>
                <w:color w:val="auto"/>
              </w:rPr>
              <w:t>F-47</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files income tax returns in the U.S. for Federal, California, and other US states, as well as miscellaneous foreign jurisdictions. In the normal course of business, the Company is subject to examination by taxing authorities. The Company has not been audited by the Internal Revenue Service or any state income or franchise tax agency. As of December 31, 2021, its federal returns for the years ended December 31, 2016 through the current period and the state returns for the years ended December 31, 2016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b w:val="1"/>
          <w:bCs w:val="1"/>
          <w:color w:val="auto"/>
        </w:rPr>
        <w:t>Note 7</w:t>
      </w:r>
      <w:r>
        <w:rPr>
          <w:rFonts w:ascii="Arial" w:cs="Arial" w:eastAsia="Arial" w:hAnsi="Arial"/>
          <w:sz w:val="17"/>
          <w:szCs w:val="17"/>
          <w:color w:val="auto"/>
        </w:rPr>
        <w:t>, Long-term Debt for details of promissory notes issued by the Company to certain investors of the Company (or an affiliate thereof).</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b w:val="1"/>
          <w:bCs w:val="1"/>
          <w:color w:val="auto"/>
        </w:rPr>
        <w:t>Note 12</w:t>
      </w:r>
      <w:r>
        <w:rPr>
          <w:rFonts w:ascii="Arial" w:cs="Arial" w:eastAsia="Arial" w:hAnsi="Arial"/>
          <w:sz w:val="16"/>
          <w:szCs w:val="16"/>
          <w:color w:val="auto"/>
        </w:rPr>
        <w:t>, Stock-based compensation for details of partial recourse promissory notes issued by the Company to certain executives and employees.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has evaluated subsequent events through February 28, 2022, the date these consolidated financial statements were available to be issued and has determined that no subsequent events require disclosure in the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86"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sets forth the estimated expenses to be borne by the registrant in connection with the issuance and distribution of the shares of common stock and warrants being registered hereby.</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123,689.41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Financial printing and miscellaneous expenses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115,000.00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348,686.41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86"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120" w:right="160" w:hanging="4"/>
        <w:spacing w:after="0" w:line="260" w:lineRule="auto"/>
        <w:tabs>
          <w:tab w:leader="none" w:pos="3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85"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direct and indirect costs, fees and expenses of any type or nature whatsoever, including all other disbursements, obligations or expenses of the types customarily incurred in connection with prosecuting, defending, preparing to prosecute or defend, investigating, being or preparing to be witness in, settlement or appeal of, or otherwise participating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all direct and indirect costs, fees and expenses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2018, we have made sales of the following unregistered securities:</w:t>
      </w:r>
    </w:p>
    <w:p>
      <w:pPr>
        <w:spacing w:after="0" w:line="13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March 11, 2021, we issued 1,767,060 restricted stock units to certain of our directors concurrently with the Closing.</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June 30, 2020, our Sponsor paid $25,000, or approximately $0.005 per share, to cover certain of our offering costs in exchange for 5,750,000 Class B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 August 25, 2020, we issued 6,000,000 private placement warrants to our Sponsor concurrently with the closing of our IPO; and</w:t>
      </w:r>
    </w:p>
    <w:p>
      <w:pPr>
        <w:spacing w:after="0" w:line="142" w:lineRule="exact"/>
        <w:rPr>
          <w:rFonts w:ascii="Arial" w:cs="Arial" w:eastAsia="Arial" w:hAnsi="Arial"/>
          <w:sz w:val="17"/>
          <w:szCs w:val="17"/>
          <w:color w:val="auto"/>
        </w:rPr>
      </w:pPr>
    </w:p>
    <w:p>
      <w:pPr>
        <w:ind w:left="1080" w:right="280" w:hanging="424"/>
        <w:spacing w:after="0" w:line="34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March 11, 2021, we issued 10,000,000 shares of common stock to certain qualified institutional buyers and accredited investors that agreed to purchase such shares in connection with the Business Combination for aggregate consideration of $100,000,000.</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3"/>
          </w:tcPr>
          <w:p>
            <w:pPr>
              <w:ind w:left="400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134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2.1†</w:t>
            </w:r>
          </w:p>
        </w:tc>
        <w:tc>
          <w:tcPr>
            <w:tcW w:w="9360" w:type="dxa"/>
            <w:vAlign w:val="bottom"/>
            <w:tcBorders>
              <w:bottom w:val="single" w:sz="8" w:color="0000EE"/>
            </w:tcBorders>
            <w:gridSpan w:val="2"/>
          </w:tcPr>
          <w:p>
            <w:pPr>
              <w:spacing w:after="0"/>
              <w:rPr>
                <w:rFonts w:ascii="Arial" w:cs="Arial" w:eastAsia="Arial" w:hAnsi="Arial"/>
                <w:sz w:val="18"/>
                <w:szCs w:val="18"/>
                <w:color w:val="0000EE"/>
                <w:w w:val="89"/>
              </w:rPr>
            </w:pPr>
            <w:hyperlink r:id="rId214">
              <w:r>
                <w:rPr>
                  <w:rFonts w:ascii="Arial" w:cs="Arial" w:eastAsia="Arial" w:hAnsi="Arial"/>
                  <w:sz w:val="18"/>
                  <w:szCs w:val="18"/>
                  <w:color w:val="0000EE"/>
                  <w:w w:val="89"/>
                </w:rPr>
                <w:t>Agreement and Plan of Merger, dated as of December 21, 2020, by and among the Registrant, Beam Merger Sub, Inc. and Ouster,</w:t>
              </w:r>
            </w:hyperlink>
          </w:p>
        </w:tc>
        <w:tc>
          <w:tcPr>
            <w:tcW w:w="32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4"/>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Inc. (incorporated by reference to Exhibit 2.1 to the Registration Statement on Form S-4 (File No. 333-251611) filed on February 10,</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2021).</w:t>
              </w:r>
            </w:hyperlink>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200" w:type="dxa"/>
            <w:vAlign w:val="bottom"/>
            <w:gridSpan w:val="3"/>
          </w:tcPr>
          <w:p>
            <w:pPr>
              <w:ind w:left="354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140"/>
          </w:cols>
          <w:pgMar w:left="320" w:top="486"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40" w:type="dxa"/>
            <w:vAlign w:val="bottom"/>
            <w:gridSpan w:val="22"/>
          </w:tcPr>
          <w:p>
            <w:pPr>
              <w:ind w:left="130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2"/>
                <w:szCs w:val="22"/>
                <w:color w:val="auto"/>
              </w:rPr>
            </w:pPr>
          </w:p>
        </w:tc>
        <w:tc>
          <w:tcPr>
            <w:tcW w:w="9520" w:type="dxa"/>
            <w:vAlign w:val="bottom"/>
            <w:tcBorders>
              <w:top w:val="single" w:sz="8" w:color="auto"/>
              <w:bottom w:val="single" w:sz="8" w:color="0000EE"/>
            </w:tcBorders>
            <w:gridSpan w:val="26"/>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Certificate of Incorporation of Ouster, Inc. (incorporated by reference to Exhibit 3.1 to the Registration Statement on Form S-4 (File</w:t>
              </w:r>
            </w:hyperlink>
          </w:p>
        </w:tc>
        <w:tc>
          <w:tcPr>
            <w:tcW w:w="40" w:type="dxa"/>
            <w:vAlign w:val="bottom"/>
            <w:tcBorders>
              <w:top w:val="single" w:sz="8" w:color="auto"/>
            </w:tcBorders>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No. 333-251611) filed on March 10,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360" w:type="dxa"/>
            <w:vAlign w:val="bottom"/>
            <w:tcBorders>
              <w:bottom w:val="single" w:sz="8" w:color="0000EE"/>
            </w:tcBorders>
            <w:gridSpan w:val="21"/>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Bylaws of Ouster, Inc. (incorporated by reference to Exhibit 3.2 to the Registration Statement on Form S-4 (File No. 333-251611)</w:t>
              </w:r>
            </w:hyperlink>
          </w:p>
        </w:tc>
        <w:tc>
          <w:tcPr>
            <w:tcW w:w="20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filed on March 10,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8880" w:type="dxa"/>
            <w:vAlign w:val="bottom"/>
            <w:tcBorders>
              <w:bottom w:val="single" w:sz="8" w:color="0000EE"/>
            </w:tcBorders>
            <w:gridSpan w:val="16"/>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Warrant Agreement, dated August 20, 2020, between Colonnade Acquisition Corp. and Continental Stock Transfer &amp; Trust</w:t>
              </w:r>
            </w:hyperlink>
          </w:p>
        </w:tc>
        <w:tc>
          <w:tcPr>
            <w:tcW w:w="68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Company (incorporated by reference to Exhibit 4.1 to the Current Report on Form 8-K filed on August 25, 2020).</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9400" w:type="dxa"/>
            <w:vAlign w:val="bottom"/>
            <w:tcBorders>
              <w:bottom w:val="single" w:sz="8" w:color="0000EE"/>
            </w:tcBorders>
            <w:gridSpan w:val="23"/>
          </w:tcPr>
          <w:p>
            <w:pPr>
              <w:spacing w:after="0"/>
              <w:rPr>
                <w:rFonts w:ascii="Arial" w:cs="Arial" w:eastAsia="Arial" w:hAnsi="Arial"/>
                <w:sz w:val="18"/>
                <w:szCs w:val="18"/>
                <w:color w:val="0000EE"/>
                <w:w w:val="90"/>
              </w:rPr>
            </w:pPr>
            <w:hyperlink r:id="rId219">
              <w:r>
                <w:rPr>
                  <w:rFonts w:ascii="Arial" w:cs="Arial" w:eastAsia="Arial" w:hAnsi="Arial"/>
                  <w:sz w:val="18"/>
                  <w:szCs w:val="18"/>
                  <w:color w:val="0000EE"/>
                  <w:w w:val="90"/>
                </w:rPr>
                <w:t>Specimen Warrant Certificate of the Registrant (incorporated by reference to Exhibit 4.3 to the Registrant’s Registration Statement</w:t>
              </w:r>
            </w:hyperlink>
          </w:p>
        </w:tc>
        <w:tc>
          <w:tcPr>
            <w:tcW w:w="16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on Form S-1 (File No. 333-240378), filed on August 4, 2020).</w:t>
              </w:r>
            </w:hyperlink>
          </w:p>
        </w:tc>
        <w:tc>
          <w:tcPr>
            <w:tcW w:w="5080" w:type="dxa"/>
            <w:vAlign w:val="bottom"/>
            <w:gridSpan w:val="21"/>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2580" w:type="dxa"/>
            <w:vAlign w:val="bottom"/>
            <w:tcBorders>
              <w:bottom w:val="single" w:sz="8" w:color="0000EE"/>
            </w:tcBorders>
            <w:gridSpan w:val="5"/>
          </w:tcPr>
          <w:p>
            <w:pPr>
              <w:spacing w:after="0"/>
              <w:rPr>
                <w:rFonts w:ascii="Arial" w:cs="Arial" w:eastAsia="Arial" w:hAnsi="Arial"/>
                <w:sz w:val="18"/>
                <w:szCs w:val="18"/>
                <w:color w:val="0000EE"/>
                <w:w w:val="93"/>
              </w:rPr>
            </w:pPr>
            <w:hyperlink r:id="rId220">
              <w:r>
                <w:rPr>
                  <w:rFonts w:ascii="Arial" w:cs="Arial" w:eastAsia="Arial" w:hAnsi="Arial"/>
                  <w:sz w:val="18"/>
                  <w:szCs w:val="18"/>
                  <w:color w:val="0000EE"/>
                  <w:w w:val="93"/>
                </w:rPr>
                <w:t>Opinion of Latham &amp; Watkins LLP.</w:t>
              </w:r>
            </w:hyperlink>
          </w:p>
        </w:tc>
        <w:tc>
          <w:tcPr>
            <w:tcW w:w="6980" w:type="dxa"/>
            <w:vAlign w:val="bottom"/>
            <w:gridSpan w:val="23"/>
          </w:tcPr>
          <w:p>
            <w:pPr>
              <w:spacing w:after="0"/>
              <w:rPr>
                <w:sz w:val="24"/>
                <w:szCs w:val="24"/>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60" w:type="dxa"/>
            <w:vAlign w:val="bottom"/>
            <w:gridSpan w:val="28"/>
          </w:tcPr>
          <w:p>
            <w:pPr>
              <w:spacing w:after="0"/>
              <w:rPr>
                <w:rFonts w:ascii="Arial" w:cs="Arial" w:eastAsia="Arial" w:hAnsi="Arial"/>
                <w:sz w:val="18"/>
                <w:szCs w:val="18"/>
                <w:color w:val="0000EE"/>
                <w:w w:val="98"/>
              </w:rPr>
            </w:pPr>
            <w:hyperlink r:id="rId221">
              <w:r>
                <w:rPr>
                  <w:rFonts w:ascii="Arial" w:cs="Arial" w:eastAsia="Arial" w:hAnsi="Arial"/>
                  <w:sz w:val="18"/>
                  <w:szCs w:val="18"/>
                  <w:color w:val="0000EE"/>
                  <w:w w:val="98"/>
                </w:rPr>
                <w:t>Form of Indemnification Agreement (incorporated by reference to Exhibit 10.1 to the Annual Report on Form 10-K filed on</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February 22, 2022).</w:t>
              </w:r>
            </w:hyperlink>
          </w:p>
        </w:tc>
        <w:tc>
          <w:tcPr>
            <w:tcW w:w="640" w:type="dxa"/>
            <w:vAlign w:val="bottom"/>
            <w:gridSpan w:val="11"/>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24"/>
                <w:szCs w:val="24"/>
                <w:color w:val="auto"/>
              </w:rPr>
            </w:pPr>
          </w:p>
        </w:tc>
        <w:tc>
          <w:tcPr>
            <w:tcW w:w="9560" w:type="dxa"/>
            <w:vAlign w:val="bottom"/>
            <w:gridSpan w:val="28"/>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Amended and Restated Registration Rights Agreement, by and among Ouster, Inc. and the holders party thereto (incorporated by</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reference to Exhibit 10.2 to the Current Report on Form 8-K (File No. 001-39463) filed on March 15, 2021).</w:t>
              </w:r>
            </w:hyperlink>
          </w:p>
        </w:tc>
        <w:tc>
          <w:tcPr>
            <w:tcW w:w="1460" w:type="dxa"/>
            <w:vAlign w:val="bottom"/>
            <w:tcBorders>
              <w:top w:val="single" w:sz="8" w:color="0000EE"/>
            </w:tcBorders>
            <w:gridSpan w:val="8"/>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4"/>
                <w:szCs w:val="24"/>
                <w:color w:val="auto"/>
              </w:rPr>
            </w:pPr>
          </w:p>
        </w:tc>
        <w:tc>
          <w:tcPr>
            <w:tcW w:w="9560" w:type="dxa"/>
            <w:vAlign w:val="bottom"/>
            <w:gridSpan w:val="28"/>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2021 Incentive Award Plan (incorporated by reference to Exhibit 10.3 to the Current Report on Form 8-K (File No. 001-39463) filed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on March 15, 2021).</w:t>
              </w:r>
            </w:hyperlink>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10.3(a)+</w:t>
            </w:r>
          </w:p>
        </w:tc>
        <w:tc>
          <w:tcPr>
            <w:tcW w:w="9560" w:type="dxa"/>
            <w:vAlign w:val="bottom"/>
            <w:gridSpan w:val="28"/>
          </w:tcPr>
          <w:p>
            <w:pPr>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Form of Stock Option Agreement under the Ouster, Inc. 2021 Incentive Award Plan (incorporated by reference to Exhibit 10.5(a) to</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the Registration Statement on Form S-4 (File No. 333-251611) filed on December 22, 2020).</w:t>
              </w:r>
            </w:hyperlink>
          </w:p>
        </w:tc>
        <w:tc>
          <w:tcPr>
            <w:tcW w:w="80" w:type="dxa"/>
            <w:vAlign w:val="bottom"/>
            <w:gridSpan w:val="3"/>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1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10.3(b)+</w:t>
            </w:r>
          </w:p>
        </w:tc>
        <w:tc>
          <w:tcPr>
            <w:tcW w:w="9340" w:type="dxa"/>
            <w:vAlign w:val="bottom"/>
            <w:tcBorders>
              <w:bottom w:val="single" w:sz="8" w:color="0000EE"/>
            </w:tcBorders>
            <w:gridSpan w:val="20"/>
          </w:tcPr>
          <w:p>
            <w:pPr>
              <w:spacing w:after="0"/>
              <w:rPr>
                <w:rFonts w:ascii="Arial" w:cs="Arial" w:eastAsia="Arial" w:hAnsi="Arial"/>
                <w:sz w:val="18"/>
                <w:szCs w:val="18"/>
                <w:color w:val="0000EE"/>
                <w:w w:val="91"/>
              </w:rPr>
            </w:pPr>
            <w:hyperlink r:id="rId225">
              <w:r>
                <w:rPr>
                  <w:rFonts w:ascii="Arial" w:cs="Arial" w:eastAsia="Arial" w:hAnsi="Arial"/>
                  <w:sz w:val="18"/>
                  <w:szCs w:val="18"/>
                  <w:color w:val="0000EE"/>
                  <w:w w:val="91"/>
                </w:rPr>
                <w:t>Form of Restricted Stock Unit Agreement under the Ouster, Inc. 2021 Incentive Award Plan (incorporated by reference to Exhibit</w:t>
              </w:r>
            </w:hyperlink>
          </w:p>
        </w:tc>
        <w:tc>
          <w:tcPr>
            <w:tcW w:w="22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3(b)</w:t>
              </w:r>
              <w:r>
                <w:rPr>
                  <w:rFonts w:ascii="Arial" w:cs="Arial" w:eastAsia="Arial" w:hAnsi="Arial"/>
                  <w:sz w:val="18"/>
                  <w:szCs w:val="18"/>
                  <w:color w:val="0000EE"/>
                  <w:w w:val="92"/>
                </w:rPr>
                <w:t xml:space="preserve"> to the Current Report on Form 8-K (File No. 001-39463) filed on March 15, 2021).</w:t>
              </w:r>
            </w:hyperlink>
          </w:p>
        </w:tc>
        <w:tc>
          <w:tcPr>
            <w:tcW w:w="3000" w:type="dxa"/>
            <w:vAlign w:val="bottom"/>
            <w:gridSpan w:val="20"/>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040" w:type="dxa"/>
            <w:vAlign w:val="bottom"/>
            <w:tcBorders>
              <w:bottom w:val="single" w:sz="8" w:color="0000EE"/>
            </w:tcBorders>
            <w:gridSpan w:val="18"/>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Manufacturing Services Agreement, dated as of March 5, 2018, by and between Ouster, Inc. and Benchmark Electronics, Inc.</w:t>
              </w:r>
            </w:hyperlink>
          </w:p>
        </w:tc>
        <w:tc>
          <w:tcPr>
            <w:tcW w:w="52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(incorporated by reference to Exhibit 10.6 to the Registration Statement on Form S-4 (File No. 333-251611) filed on December 22,</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6">
              <w:r>
                <w:rPr>
                  <w:rFonts w:ascii="Arial" w:cs="Arial" w:eastAsia="Arial" w:hAnsi="Arial"/>
                  <w:sz w:val="18"/>
                  <w:szCs w:val="18"/>
                  <w:color w:val="0000EE"/>
                  <w:w w:val="86"/>
                </w:rPr>
                <w:t>2020).</w:t>
              </w:r>
            </w:hyperlink>
          </w:p>
        </w:tc>
        <w:tc>
          <w:tcPr>
            <w:tcW w:w="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24"/>
                <w:szCs w:val="24"/>
                <w:color w:val="auto"/>
              </w:rPr>
            </w:pPr>
          </w:p>
        </w:tc>
        <w:tc>
          <w:tcPr>
            <w:tcW w:w="9380" w:type="dxa"/>
            <w:vAlign w:val="bottom"/>
            <w:tcBorders>
              <w:bottom w:val="single" w:sz="8" w:color="0000EE"/>
            </w:tcBorders>
            <w:gridSpan w:val="22"/>
          </w:tcPr>
          <w:p>
            <w:pPr>
              <w:spacing w:after="0"/>
              <w:rPr>
                <w:rFonts w:ascii="Arial" w:cs="Arial" w:eastAsia="Arial" w:hAnsi="Arial"/>
                <w:sz w:val="18"/>
                <w:szCs w:val="18"/>
                <w:color w:val="0000EE"/>
                <w:w w:val="89"/>
              </w:rPr>
            </w:pPr>
            <w:hyperlink r:id="rId227">
              <w:r>
                <w:rPr>
                  <w:rFonts w:ascii="Arial" w:cs="Arial" w:eastAsia="Arial" w:hAnsi="Arial"/>
                  <w:sz w:val="18"/>
                  <w:szCs w:val="18"/>
                  <w:color w:val="0000EE"/>
                  <w:w w:val="89"/>
                </w:rPr>
                <w:t>Lease, dated September 5, 2017, by and between Ouster, Inc. and Mission Creative Ownership, LLC (incorporated by reference to</w:t>
              </w:r>
            </w:hyperlink>
          </w:p>
        </w:tc>
        <w:tc>
          <w:tcPr>
            <w:tcW w:w="18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Exhibit 10.13 to the Registration Statement on Form S-4 (File No. 333-251611) filed on January 27, 2021).</w:t>
              </w:r>
            </w:hyperlink>
          </w:p>
        </w:tc>
        <w:tc>
          <w:tcPr>
            <w:tcW w:w="1840" w:type="dxa"/>
            <w:vAlign w:val="bottom"/>
            <w:gridSpan w:val="18"/>
          </w:tcPr>
          <w:p>
            <w:pPr>
              <w:spacing w:after="0"/>
              <w:rPr>
                <w:sz w:val="17"/>
                <w:szCs w:val="17"/>
                <w:color w:val="auto"/>
              </w:rPr>
            </w:pPr>
          </w:p>
        </w:tc>
      </w:tr>
      <w:tr>
        <w:trPr>
          <w:trHeight w:val="304"/>
        </w:trPr>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rPr>
              <w:t>10.5(a)</w:t>
            </w:r>
          </w:p>
        </w:tc>
        <w:tc>
          <w:tcPr>
            <w:tcW w:w="8620" w:type="dxa"/>
            <w:vAlign w:val="bottom"/>
            <w:tcBorders>
              <w:bottom w:val="single" w:sz="8" w:color="0000EE"/>
            </w:tcBorders>
            <w:gridSpan w:val="13"/>
          </w:tcPr>
          <w:p>
            <w:pPr>
              <w:spacing w:after="0"/>
              <w:rPr>
                <w:rFonts w:ascii="Arial" w:cs="Arial" w:eastAsia="Arial" w:hAnsi="Arial"/>
                <w:sz w:val="18"/>
                <w:szCs w:val="18"/>
                <w:color w:val="0000EE"/>
                <w:w w:val="90"/>
              </w:rPr>
            </w:pPr>
            <w:hyperlink r:id="rId228">
              <w:r>
                <w:rPr>
                  <w:rFonts w:ascii="Arial" w:cs="Arial" w:eastAsia="Arial" w:hAnsi="Arial"/>
                  <w:sz w:val="18"/>
                  <w:szCs w:val="18"/>
                  <w:color w:val="0000EE"/>
                  <w:w w:val="90"/>
                </w:rPr>
                <w:t>First Amendment to Lease, dated January 21, 2018, by and between Ouster, Inc. and Mission Creative Ownership, LLC</w:t>
              </w:r>
            </w:hyperlink>
          </w:p>
        </w:tc>
        <w:tc>
          <w:tcPr>
            <w:tcW w:w="940" w:type="dxa"/>
            <w:vAlign w:val="bottom"/>
            <w:gridSpan w:val="1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(incorporated by reference to Exhibit 10.13(a) to the Registration Statement on Form S-4 (File No. 333-251611) filed on January 27,</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8">
              <w:r>
                <w:rPr>
                  <w:rFonts w:ascii="Arial" w:cs="Arial" w:eastAsia="Arial" w:hAnsi="Arial"/>
                  <w:sz w:val="18"/>
                  <w:szCs w:val="18"/>
                  <w:color w:val="0000EE"/>
                  <w:w w:val="86"/>
                </w:rPr>
                <w:t>2021).</w:t>
              </w:r>
            </w:hyperlink>
          </w:p>
        </w:tc>
        <w:tc>
          <w:tcPr>
            <w:tcW w:w="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10.5(b)</w:t>
            </w:r>
          </w:p>
        </w:tc>
        <w:tc>
          <w:tcPr>
            <w:tcW w:w="9560" w:type="dxa"/>
            <w:vAlign w:val="bottom"/>
            <w:gridSpan w:val="28"/>
          </w:tcPr>
          <w:p>
            <w:pPr>
              <w:spacing w:after="0"/>
              <w:rPr>
                <w:rFonts w:ascii="Arial" w:cs="Arial" w:eastAsia="Arial" w:hAnsi="Arial"/>
                <w:sz w:val="18"/>
                <w:szCs w:val="18"/>
                <w:color w:val="0000EE"/>
                <w:w w:val="98"/>
              </w:rPr>
            </w:pPr>
            <w:hyperlink r:id="rId229">
              <w:r>
                <w:rPr>
                  <w:rFonts w:ascii="Arial" w:cs="Arial" w:eastAsia="Arial" w:hAnsi="Arial"/>
                  <w:sz w:val="18"/>
                  <w:szCs w:val="18"/>
                  <w:color w:val="0000EE"/>
                  <w:w w:val="98"/>
                </w:rPr>
                <w:t>Second Amendment to Lease, dated March 27, 2018, by and between Ouster, Inc. and Mission Creative Ownership, LLC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40" w:type="dxa"/>
            <w:vAlign w:val="bottom"/>
            <w:gridSpan w:val="1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(incorporated by reference to Exhibit 10.13(b) to the Registration Statement on Form S-4 (File No. 333-251611) filed on January 27,</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29">
              <w:r>
                <w:rPr>
                  <w:rFonts w:ascii="Arial" w:cs="Arial" w:eastAsia="Arial" w:hAnsi="Arial"/>
                  <w:sz w:val="18"/>
                  <w:szCs w:val="18"/>
                  <w:color w:val="0000EE"/>
                  <w:w w:val="86"/>
                </w:rPr>
                <w:t>2021).</w:t>
              </w:r>
            </w:hyperlink>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460" w:type="dxa"/>
            <w:vAlign w:val="bottom"/>
            <w:gridSpan w:val="2"/>
          </w:tcPr>
          <w:p>
            <w:pPr>
              <w:jc w:val="right"/>
              <w:ind w:right="860"/>
              <w:spacing w:after="0"/>
              <w:rPr>
                <w:sz w:val="20"/>
                <w:szCs w:val="20"/>
                <w:color w:val="auto"/>
              </w:rPr>
            </w:pPr>
            <w:r>
              <w:rPr>
                <w:rFonts w:ascii="Arial" w:cs="Arial" w:eastAsia="Arial" w:hAnsi="Arial"/>
                <w:sz w:val="18"/>
                <w:szCs w:val="18"/>
                <w:color w:val="auto"/>
              </w:rPr>
              <w:t>10.5(c)</w:t>
            </w:r>
          </w:p>
        </w:tc>
        <w:tc>
          <w:tcPr>
            <w:tcW w:w="9560" w:type="dxa"/>
            <w:vAlign w:val="bottom"/>
            <w:gridSpan w:val="28"/>
          </w:tcPr>
          <w:p>
            <w:pPr>
              <w:spacing w:after="0"/>
              <w:rPr>
                <w:rFonts w:ascii="Arial" w:cs="Arial" w:eastAsia="Arial" w:hAnsi="Arial"/>
                <w:sz w:val="18"/>
                <w:szCs w:val="18"/>
                <w:color w:val="0000EE"/>
              </w:rPr>
            </w:pPr>
            <w:hyperlink r:id="rId230">
              <w:r>
                <w:rPr>
                  <w:rFonts w:ascii="Arial" w:cs="Arial" w:eastAsia="Arial" w:hAnsi="Arial"/>
                  <w:sz w:val="18"/>
                  <w:szCs w:val="18"/>
                  <w:color w:val="0000EE"/>
                </w:rPr>
                <w:t>Third Amendment to Lease, dated August 14, 2018, by and between Ouster, Inc. and Mission Creative Ownership, LLC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40" w:type="dxa"/>
            <w:vAlign w:val="bottom"/>
            <w:gridSpan w:val="1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(incorporated by reference to Exhibit 10.13(c) to the Registration Statement on Form S-4 (File No. 333-251611) filed on January 27,</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2021).</w:t>
              </w:r>
            </w:hyperlink>
          </w:p>
        </w:tc>
        <w:tc>
          <w:tcPr>
            <w:tcW w:w="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10.5(d)</w:t>
            </w:r>
          </w:p>
        </w:tc>
        <w:tc>
          <w:tcPr>
            <w:tcW w:w="9520" w:type="dxa"/>
            <w:vAlign w:val="bottom"/>
            <w:tcBorders>
              <w:bottom w:val="single" w:sz="8" w:color="0000EE"/>
            </w:tcBorders>
            <w:gridSpan w:val="26"/>
          </w:tcPr>
          <w:p>
            <w:pPr>
              <w:spacing w:after="0"/>
              <w:rPr>
                <w:rFonts w:ascii="Arial" w:cs="Arial" w:eastAsia="Arial" w:hAnsi="Arial"/>
                <w:sz w:val="18"/>
                <w:szCs w:val="18"/>
                <w:color w:val="0000EE"/>
                <w:w w:val="91"/>
              </w:rPr>
            </w:pPr>
            <w:hyperlink r:id="rId231">
              <w:r>
                <w:rPr>
                  <w:rFonts w:ascii="Arial" w:cs="Arial" w:eastAsia="Arial" w:hAnsi="Arial"/>
                  <w:sz w:val="18"/>
                  <w:szCs w:val="18"/>
                  <w:color w:val="0000EE"/>
                  <w:w w:val="91"/>
                </w:rPr>
                <w:t>Fourth Amendment to Lease, dated April 4, 2019, by and between Ouster, Inc. and Mission Creative Ownership, LLC (incorporated</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8"/>
          </w:tcPr>
          <w:p>
            <w:pPr>
              <w:spacing w:after="0" w:line="196" w:lineRule="exact"/>
              <w:rPr>
                <w:rFonts w:ascii="Arial" w:cs="Arial" w:eastAsia="Arial" w:hAnsi="Arial"/>
                <w:sz w:val="18"/>
                <w:szCs w:val="18"/>
                <w:color w:val="0000EE"/>
                <w:w w:val="96"/>
              </w:rPr>
            </w:pPr>
            <w:hyperlink r:id="rId231">
              <w:r>
                <w:rPr>
                  <w:rFonts w:ascii="Arial" w:cs="Arial" w:eastAsia="Arial" w:hAnsi="Arial"/>
                  <w:sz w:val="18"/>
                  <w:szCs w:val="18"/>
                  <w:color w:val="0000EE"/>
                  <w:w w:val="96"/>
                </w:rPr>
                <w:t>by reference to Exhibit 10.13(d) to the Registration Statement on Form S-4 (File No. 333-251611) filed on January 27,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86"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gridSpan w:val="25"/>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10.5(e)</w:t>
            </w:r>
          </w:p>
        </w:tc>
        <w:tc>
          <w:tcPr>
            <w:tcW w:w="9600" w:type="dxa"/>
            <w:vAlign w:val="bottom"/>
            <w:gridSpan w:val="30"/>
          </w:tcPr>
          <w:p>
            <w:pPr>
              <w:spacing w:after="0"/>
              <w:rPr>
                <w:rFonts w:ascii="Arial" w:cs="Arial" w:eastAsia="Arial" w:hAnsi="Arial"/>
                <w:sz w:val="18"/>
                <w:szCs w:val="18"/>
                <w:color w:val="0000EE"/>
                <w:w w:val="92"/>
              </w:rPr>
            </w:pPr>
            <w:hyperlink r:id="rId233">
              <w:r>
                <w:rPr>
                  <w:rFonts w:ascii="Arial" w:cs="Arial" w:eastAsia="Arial" w:hAnsi="Arial"/>
                  <w:sz w:val="18"/>
                  <w:szCs w:val="18"/>
                  <w:color w:val="0000EE"/>
                  <w:w w:val="92"/>
                </w:rPr>
                <w:t>Fifth Amendment to Lease, dated July 21, 2019, by and between Ouster, Inc. and Mission Creative Ownership, LLC (incorporated</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233">
              <w:r>
                <w:rPr>
                  <w:rFonts w:ascii="Arial" w:cs="Arial" w:eastAsia="Arial" w:hAnsi="Arial"/>
                  <w:sz w:val="18"/>
                  <w:szCs w:val="18"/>
                  <w:color w:val="0000EE"/>
                  <w:w w:val="94"/>
                </w:rPr>
                <w:t>by reference to Exhibit 10.13(e) to the Registration Statement on Form S-4 (File No. 333-251611) filed on January 27, 2021).</w:t>
              </w:r>
            </w:hyperlink>
          </w:p>
        </w:tc>
        <w:tc>
          <w:tcPr>
            <w:tcW w:w="200" w:type="dxa"/>
            <w:vAlign w:val="bottom"/>
            <w:gridSpan w:val="3"/>
          </w:tcPr>
          <w:p>
            <w:pPr>
              <w:spacing w:after="0"/>
              <w:rPr>
                <w:sz w:val="17"/>
                <w:szCs w:val="17"/>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10.5(f)</w:t>
            </w:r>
          </w:p>
        </w:tc>
        <w:tc>
          <w:tcPr>
            <w:tcW w:w="88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234">
              <w:r>
                <w:rPr>
                  <w:rFonts w:ascii="Arial" w:cs="Arial" w:eastAsia="Arial" w:hAnsi="Arial"/>
                  <w:sz w:val="18"/>
                  <w:szCs w:val="18"/>
                  <w:color w:val="0000EE"/>
                  <w:w w:val="90"/>
                </w:rPr>
                <w:t>Sixth Amendment to Lease, dated December 20, 2019, by and between Ouster, Inc. and Mission Creative Ownership, LLC</w:t>
              </w:r>
            </w:hyperlink>
          </w:p>
        </w:tc>
        <w:tc>
          <w:tcPr>
            <w:tcW w:w="180" w:type="dxa"/>
            <w:vAlign w:val="bottom"/>
            <w:tcBorders>
              <w:top w:val="single" w:sz="8" w:color="0000EE"/>
            </w:tcBorders>
            <w:gridSpan w:val="4"/>
          </w:tcPr>
          <w:p>
            <w:pPr>
              <w:spacing w:after="0"/>
              <w:rPr>
                <w:sz w:val="24"/>
                <w:szCs w:val="24"/>
                <w:color w:val="auto"/>
              </w:rPr>
            </w:pPr>
          </w:p>
        </w:tc>
        <w:tc>
          <w:tcPr>
            <w:tcW w:w="56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(incorporated by reference to Exhibit 10.13(f) to the Registration Statement on Form S-4 (File No. 333-251611) filed on January 27,</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2021).</w:t>
              </w:r>
            </w:hyperlink>
          </w:p>
        </w:tc>
        <w:tc>
          <w:tcPr>
            <w:tcW w:w="2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10.5(g)</w:t>
            </w:r>
          </w:p>
        </w:tc>
        <w:tc>
          <w:tcPr>
            <w:tcW w:w="9600" w:type="dxa"/>
            <w:vAlign w:val="bottom"/>
            <w:gridSpan w:val="30"/>
          </w:tcPr>
          <w:p>
            <w:pPr>
              <w:spacing w:after="0"/>
              <w:rPr>
                <w:rFonts w:ascii="Arial" w:cs="Arial" w:eastAsia="Arial" w:hAnsi="Arial"/>
                <w:sz w:val="18"/>
                <w:szCs w:val="18"/>
                <w:color w:val="0000EE"/>
              </w:rPr>
            </w:pPr>
            <w:hyperlink r:id="rId235">
              <w:r>
                <w:rPr>
                  <w:rFonts w:ascii="Arial" w:cs="Arial" w:eastAsia="Arial" w:hAnsi="Arial"/>
                  <w:sz w:val="18"/>
                  <w:szCs w:val="18"/>
                  <w:color w:val="0000EE"/>
                </w:rPr>
                <w:t>Seventh Amendment to Lease, dated May 18, 2020, by and between Ouster, Inc. and Mission Creative Ownership, LLC</w:t>
              </w:r>
            </w:hyperlink>
          </w:p>
        </w:tc>
      </w:tr>
      <w:tr>
        <w:trPr>
          <w:trHeight w:val="20"/>
        </w:trPr>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(incorporated by reference to Exhibit 10.13(g) to the Registration Statement on Form S-4 (File No. 333-251611) filed on January 27,</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2021).</w:t>
              </w:r>
            </w:hyperlink>
          </w:p>
        </w:tc>
        <w:tc>
          <w:tcPr>
            <w:tcW w:w="2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9600" w:type="dxa"/>
            <w:vAlign w:val="bottom"/>
            <w:gridSpan w:val="30"/>
          </w:tcPr>
          <w:p>
            <w:pPr>
              <w:spacing w:after="0"/>
              <w:rPr>
                <w:rFonts w:ascii="Arial" w:cs="Arial" w:eastAsia="Arial" w:hAnsi="Arial"/>
                <w:sz w:val="18"/>
                <w:szCs w:val="18"/>
                <w:color w:val="0000EE"/>
                <w:w w:val="98"/>
              </w:rPr>
            </w:pPr>
            <w:hyperlink r:id="rId236">
              <w:r>
                <w:rPr>
                  <w:rFonts w:ascii="Arial" w:cs="Arial" w:eastAsia="Arial" w:hAnsi="Arial"/>
                  <w:sz w:val="18"/>
                  <w:szCs w:val="18"/>
                  <w:color w:val="0000EE"/>
                  <w:w w:val="98"/>
                </w:rPr>
                <w:t>NNN Lease, dated September 1, 2017, by and between Ouster, Inc. and SIC-350 Treat, LLC (incorporated by reference to</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Exhibit 10.14 to the Registration Statement on Form S-4 (File No. 333-251611) filed on January 27, 2021).</w:t>
              </w:r>
            </w:hyperlink>
          </w:p>
        </w:tc>
        <w:tc>
          <w:tcPr>
            <w:tcW w:w="820" w:type="dxa"/>
            <w:vAlign w:val="bottom"/>
            <w:gridSpan w:val="15"/>
          </w:tcPr>
          <w:p>
            <w:pPr>
              <w:spacing w:after="0"/>
              <w:rPr>
                <w:sz w:val="17"/>
                <w:szCs w:val="17"/>
                <w:color w:val="auto"/>
              </w:rPr>
            </w:pPr>
          </w:p>
        </w:tc>
      </w:tr>
      <w:tr>
        <w:trPr>
          <w:trHeight w:val="20"/>
        </w:trPr>
        <w:tc>
          <w:tcPr>
            <w:tcW w:w="1420" w:type="dxa"/>
            <w:vAlign w:val="bottom"/>
            <w:gridSpan w:val="2"/>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10.6(a)</w:t>
            </w:r>
          </w:p>
        </w:tc>
        <w:tc>
          <w:tcPr>
            <w:tcW w:w="9280" w:type="dxa"/>
            <w:vAlign w:val="bottom"/>
            <w:tcBorders>
              <w:bottom w:val="single" w:sz="8" w:color="0000EE"/>
            </w:tcBorders>
            <w:gridSpan w:val="25"/>
          </w:tcPr>
          <w:p>
            <w:pPr>
              <w:spacing w:after="0"/>
              <w:rPr>
                <w:rFonts w:ascii="Arial" w:cs="Arial" w:eastAsia="Arial" w:hAnsi="Arial"/>
                <w:sz w:val="18"/>
                <w:szCs w:val="18"/>
                <w:color w:val="0000EE"/>
                <w:w w:val="90"/>
              </w:rPr>
            </w:pPr>
            <w:hyperlink r:id="rId237">
              <w:r>
                <w:rPr>
                  <w:rFonts w:ascii="Arial" w:cs="Arial" w:eastAsia="Arial" w:hAnsi="Arial"/>
                  <w:sz w:val="18"/>
                  <w:szCs w:val="18"/>
                  <w:color w:val="0000EE"/>
                  <w:w w:val="90"/>
                </w:rPr>
                <w:t>First Amendment to NNN Lease, dated January 21, 2018, by and between Ouster, Inc. and SIC-350 Treat, LLC (incorporated by</w:t>
              </w:r>
            </w:hyperlink>
          </w:p>
        </w:tc>
        <w:tc>
          <w:tcPr>
            <w:tcW w:w="3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w w:val="98"/>
              </w:rPr>
            </w:pPr>
            <w:hyperlink r:id="rId237">
              <w:r>
                <w:rPr>
                  <w:rFonts w:ascii="Arial" w:cs="Arial" w:eastAsia="Arial" w:hAnsi="Arial"/>
                  <w:sz w:val="18"/>
                  <w:szCs w:val="18"/>
                  <w:color w:val="0000EE"/>
                  <w:w w:val="98"/>
                </w:rPr>
                <w:t>reference to Exhibit 10.14(a) to the Registration Statement on Form S-4 (File No. 333-251611) filed on January 27, 2021).</w:t>
              </w:r>
            </w:hyperlink>
          </w:p>
        </w:tc>
      </w:tr>
      <w:tr>
        <w:trPr>
          <w:trHeight w:val="20"/>
        </w:trPr>
        <w:tc>
          <w:tcPr>
            <w:tcW w:w="1420" w:type="dxa"/>
            <w:vAlign w:val="bottom"/>
            <w:gridSpan w:val="2"/>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10.6(b)</w:t>
            </w:r>
          </w:p>
        </w:tc>
        <w:tc>
          <w:tcPr>
            <w:tcW w:w="9600" w:type="dxa"/>
            <w:vAlign w:val="bottom"/>
            <w:gridSpan w:val="30"/>
          </w:tcPr>
          <w:p>
            <w:pPr>
              <w:spacing w:after="0"/>
              <w:rPr>
                <w:rFonts w:ascii="Arial" w:cs="Arial" w:eastAsia="Arial" w:hAnsi="Arial"/>
                <w:sz w:val="18"/>
                <w:szCs w:val="18"/>
                <w:color w:val="0000EE"/>
                <w:w w:val="94"/>
              </w:rPr>
            </w:pPr>
            <w:hyperlink r:id="rId238">
              <w:r>
                <w:rPr>
                  <w:rFonts w:ascii="Arial" w:cs="Arial" w:eastAsia="Arial" w:hAnsi="Arial"/>
                  <w:sz w:val="18"/>
                  <w:szCs w:val="18"/>
                  <w:color w:val="0000EE"/>
                  <w:w w:val="94"/>
                </w:rPr>
                <w:t>Second Amendment NNN Lease, dated March 27, 2018, by and between Ouster, Inc. and SIC-350 Treat, LLC (incorporated by</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reference to Exhibit 10.14(b) to the Registration Statement on Form S-4 (File No. 333-251611) filed on January 27, 2021).</w:t>
              </w:r>
            </w:hyperlink>
          </w:p>
        </w:tc>
        <w:tc>
          <w:tcPr>
            <w:tcW w:w="340" w:type="dxa"/>
            <w:vAlign w:val="bottom"/>
            <w:tcBorders>
              <w:top w:val="single" w:sz="8" w:color="0000EE"/>
            </w:tcBorders>
            <w:gridSpan w:val="6"/>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10.6(c)</w:t>
            </w:r>
          </w:p>
        </w:tc>
        <w:tc>
          <w:tcPr>
            <w:tcW w:w="9540" w:type="dxa"/>
            <w:vAlign w:val="bottom"/>
            <w:tcBorders>
              <w:bottom w:val="single" w:sz="8" w:color="0000EE"/>
            </w:tcBorders>
            <w:gridSpan w:val="28"/>
          </w:tcPr>
          <w:p>
            <w:pPr>
              <w:spacing w:after="0"/>
              <w:rPr>
                <w:rFonts w:ascii="Arial" w:cs="Arial" w:eastAsia="Arial" w:hAnsi="Arial"/>
                <w:sz w:val="18"/>
                <w:szCs w:val="18"/>
                <w:color w:val="0000EE"/>
                <w:w w:val="91"/>
              </w:rPr>
            </w:pPr>
            <w:hyperlink r:id="rId239">
              <w:r>
                <w:rPr>
                  <w:rFonts w:ascii="Arial" w:cs="Arial" w:eastAsia="Arial" w:hAnsi="Arial"/>
                  <w:sz w:val="18"/>
                  <w:szCs w:val="18"/>
                  <w:color w:val="0000EE"/>
                  <w:w w:val="91"/>
                </w:rPr>
                <w:t>Third Amendment to NNN Lease, dated November 15, 2021, by and between Ouster, Inc. and SIC-350 Treat, LLC (incorporated by</w:t>
              </w:r>
            </w:hyperlink>
          </w:p>
        </w:tc>
        <w:tc>
          <w:tcPr>
            <w:tcW w:w="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reference to Exhibit 10.6(c) to the Annual Report on Form 10-K filed on February 28, 2022).</w:t>
              </w:r>
            </w:hyperlink>
          </w:p>
        </w:tc>
        <w:tc>
          <w:tcPr>
            <w:tcW w:w="2880" w:type="dxa"/>
            <w:vAlign w:val="bottom"/>
            <w:gridSpan w:val="21"/>
          </w:tcPr>
          <w:p>
            <w:pPr>
              <w:spacing w:after="0"/>
              <w:rPr>
                <w:sz w:val="17"/>
                <w:szCs w:val="17"/>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40">
              <w:r>
                <w:rPr>
                  <w:rFonts w:ascii="Arial" w:cs="Arial" w:eastAsia="Arial" w:hAnsi="Arial"/>
                  <w:sz w:val="18"/>
                  <w:szCs w:val="18"/>
                  <w:color w:val="0000EE"/>
                  <w:w w:val="90"/>
                </w:rPr>
                <w:t>Amended and Restated Non-Employee Director Compensation Program (incorporated by reference to Exhibit 10.7 to the Annual</w:t>
              </w:r>
            </w:hyperlink>
          </w:p>
        </w:tc>
        <w:tc>
          <w:tcPr>
            <w:tcW w:w="28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Report on Form 10-K filed on February 28, 2022).</w:t>
              </w:r>
            </w:hyperlink>
          </w:p>
        </w:tc>
      </w:tr>
      <w:tr>
        <w:trPr>
          <w:trHeight w:val="20"/>
        </w:trPr>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rFonts w:ascii="Arial" w:cs="Arial" w:eastAsia="Arial" w:hAnsi="Arial"/>
                <w:sz w:val="18"/>
                <w:szCs w:val="18"/>
                <w:color w:val="0000EE"/>
                <w:w w:val="89"/>
              </w:rPr>
            </w:pPr>
            <w:hyperlink r:id="rId241">
              <w:r>
                <w:rPr>
                  <w:rFonts w:ascii="Arial" w:cs="Arial" w:eastAsia="Arial" w:hAnsi="Arial"/>
                  <w:sz w:val="18"/>
                  <w:szCs w:val="18"/>
                  <w:color w:val="0000EE"/>
                  <w:w w:val="89"/>
                </w:rPr>
                <w:t>Agreement and Plan of Merger and Plan of Reorganization, dated as of October 5, 2021, by and among Ouster, Inc., Sparrow</w:t>
              </w:r>
            </w:hyperlink>
          </w:p>
        </w:tc>
        <w:tc>
          <w:tcPr>
            <w:tcW w:w="58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w w:val="95"/>
              </w:rPr>
            </w:pPr>
            <w:hyperlink r:id="rId241">
              <w:r>
                <w:rPr>
                  <w:rFonts w:ascii="Arial" w:cs="Arial" w:eastAsia="Arial" w:hAnsi="Arial"/>
                  <w:sz w:val="18"/>
                  <w:szCs w:val="18"/>
                  <w:color w:val="0000EE"/>
                  <w:w w:val="95"/>
                </w:rPr>
                <w:t>Acquisition Sub., Inc., Sense Photonics, Inc., and Fortis Advisors LLC, solely in its capacity as Holders’ Agent (incorporated by</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reference to Exhibit 2.1 to the Current Report on Form 8-K filed on October 5, 2021).</w:t>
              </w:r>
            </w:hyperlink>
          </w:p>
        </w:tc>
        <w:tc>
          <w:tcPr>
            <w:tcW w:w="340" w:type="dxa"/>
            <w:vAlign w:val="bottom"/>
            <w:gridSpan w:val="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8940" w:type="dxa"/>
            <w:vAlign w:val="bottom"/>
            <w:tcBorders>
              <w:bottom w:val="single" w:sz="8" w:color="0000EE"/>
            </w:tcBorders>
            <w:gridSpan w:val="19"/>
          </w:tcPr>
          <w:p>
            <w:pPr>
              <w:spacing w:after="0"/>
              <w:rPr>
                <w:rFonts w:ascii="Arial" w:cs="Arial" w:eastAsia="Arial" w:hAnsi="Arial"/>
                <w:sz w:val="18"/>
                <w:szCs w:val="18"/>
                <w:color w:val="0000EE"/>
                <w:w w:val="90"/>
              </w:rPr>
            </w:pPr>
            <w:hyperlink r:id="rId242">
              <w:r>
                <w:rPr>
                  <w:rFonts w:ascii="Arial" w:cs="Arial" w:eastAsia="Arial" w:hAnsi="Arial"/>
                  <w:sz w:val="18"/>
                  <w:szCs w:val="18"/>
                  <w:color w:val="0000EE"/>
                  <w:w w:val="90"/>
                </w:rPr>
                <w:t>Sense Photonics, Inc. 2017 Equity Incentive Plan, as amended (incorporated by reference to Exhibit 99.1 to the Registration</w:t>
              </w:r>
            </w:hyperlink>
          </w:p>
        </w:tc>
        <w:tc>
          <w:tcPr>
            <w:tcW w:w="66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gridSpan w:val="30"/>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Statement on Form S-8 filed on October 29, 2021).</w:t>
              </w:r>
            </w:hyperlink>
          </w:p>
        </w:tc>
      </w:tr>
      <w:tr>
        <w:trPr>
          <w:trHeight w:val="20"/>
        </w:trPr>
        <w:tc>
          <w:tcPr>
            <w:tcW w:w="1420" w:type="dxa"/>
            <w:vAlign w:val="bottom"/>
            <w:gridSpan w:val="2"/>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10.9(a)+</w:t>
            </w:r>
          </w:p>
        </w:tc>
        <w:tc>
          <w:tcPr>
            <w:tcW w:w="9600" w:type="dxa"/>
            <w:vAlign w:val="bottom"/>
            <w:gridSpan w:val="30"/>
          </w:tcPr>
          <w:p>
            <w:pPr>
              <w:spacing w:after="0"/>
              <w:rPr>
                <w:rFonts w:ascii="Arial" w:cs="Arial" w:eastAsia="Arial" w:hAnsi="Arial"/>
                <w:sz w:val="18"/>
                <w:szCs w:val="18"/>
                <w:color w:val="0000EE"/>
                <w:w w:val="96"/>
              </w:rPr>
            </w:pPr>
            <w:hyperlink r:id="rId243">
              <w:r>
                <w:rPr>
                  <w:rFonts w:ascii="Arial" w:cs="Arial" w:eastAsia="Arial" w:hAnsi="Arial"/>
                  <w:sz w:val="18"/>
                  <w:szCs w:val="18"/>
                  <w:color w:val="0000EE"/>
                  <w:w w:val="96"/>
                </w:rPr>
                <w:t>Form of Stock Option Agreement under the Sense Photonics, Inc. 2017 Equity Incentive Plan, as amended. (incorporated by</w:t>
              </w:r>
            </w:hyperlink>
          </w:p>
        </w:tc>
      </w:tr>
      <w:tr>
        <w:trPr>
          <w:trHeight w:val="196"/>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reference to Exhibit 10.9(a) to the Annual Report on Form 10-K filed on February 28, 2022).</w:t>
              </w:r>
            </w:hyperlink>
          </w:p>
        </w:tc>
        <w:tc>
          <w:tcPr>
            <w:tcW w:w="640" w:type="dxa"/>
            <w:vAlign w:val="bottom"/>
            <w:gridSpan w:val="10"/>
          </w:tcPr>
          <w:p>
            <w:pPr>
              <w:spacing w:after="0"/>
              <w:rPr>
                <w:sz w:val="17"/>
                <w:szCs w:val="17"/>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6700" w:type="dxa"/>
            <w:vAlign w:val="bottom"/>
            <w:tcBorders>
              <w:top w:val="single" w:sz="8" w:color="0000EE"/>
            </w:tcBorders>
            <w:gridSpan w:val="8"/>
          </w:tcPr>
          <w:p>
            <w:pPr>
              <w:spacing w:after="0"/>
              <w:rPr>
                <w:rFonts w:ascii="Arial" w:cs="Arial" w:eastAsia="Arial" w:hAnsi="Arial"/>
                <w:sz w:val="18"/>
                <w:szCs w:val="18"/>
                <w:color w:val="0000EE"/>
              </w:rPr>
            </w:pPr>
            <w:hyperlink r:id="rId244">
              <w:r>
                <w:rPr>
                  <w:rFonts w:ascii="Arial" w:cs="Arial" w:eastAsia="Arial" w:hAnsi="Arial"/>
                  <w:sz w:val="18"/>
                  <w:szCs w:val="18"/>
                  <w:color w:val="0000EE"/>
                </w:rPr>
                <w:t>Amended and Restated 2015 Stock Plan.</w:t>
              </w:r>
            </w:hyperlink>
          </w:p>
        </w:tc>
        <w:tc>
          <w:tcPr>
            <w:tcW w:w="2900" w:type="dxa"/>
            <w:vAlign w:val="bottom"/>
            <w:gridSpan w:val="22"/>
          </w:tcPr>
          <w:p>
            <w:pPr>
              <w:spacing w:after="0"/>
              <w:rPr>
                <w:sz w:val="24"/>
                <w:szCs w:val="24"/>
                <w:color w:val="auto"/>
              </w:rPr>
            </w:pPr>
          </w:p>
        </w:tc>
      </w:tr>
      <w:tr>
        <w:trPr>
          <w:trHeight w:val="20"/>
        </w:trPr>
        <w:tc>
          <w:tcPr>
            <w:tcW w:w="1420" w:type="dxa"/>
            <w:vAlign w:val="bottom"/>
            <w:gridSpan w:val="2"/>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11"/>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10.10(a)+</w:t>
            </w:r>
          </w:p>
        </w:tc>
        <w:tc>
          <w:tcPr>
            <w:tcW w:w="6180" w:type="dxa"/>
            <w:vAlign w:val="bottom"/>
            <w:tcBorders>
              <w:bottom w:val="single" w:sz="8" w:color="0000EE"/>
            </w:tcBorders>
            <w:gridSpan w:val="7"/>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Form of Stock Option Agreement under the Amended and Restated 2015 Stock Plan.</w:t>
              </w:r>
            </w:hyperlink>
          </w:p>
        </w:tc>
        <w:tc>
          <w:tcPr>
            <w:tcW w:w="3420" w:type="dxa"/>
            <w:vAlign w:val="bottom"/>
            <w:gridSpan w:val="23"/>
          </w:tcPr>
          <w:p>
            <w:pPr>
              <w:spacing w:after="0"/>
              <w:rPr>
                <w:sz w:val="24"/>
                <w:szCs w:val="24"/>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10.10(b)+</w:t>
            </w:r>
          </w:p>
        </w:tc>
        <w:tc>
          <w:tcPr>
            <w:tcW w:w="7240" w:type="dxa"/>
            <w:vAlign w:val="bottom"/>
            <w:tcBorders>
              <w:bottom w:val="single" w:sz="8" w:color="0000EE"/>
            </w:tcBorders>
            <w:gridSpan w:val="12"/>
          </w:tcPr>
          <w:p>
            <w:pPr>
              <w:spacing w:after="0"/>
              <w:rPr>
                <w:rFonts w:ascii="Arial" w:cs="Arial" w:eastAsia="Arial" w:hAnsi="Arial"/>
                <w:sz w:val="18"/>
                <w:szCs w:val="18"/>
                <w:color w:val="0000EE"/>
                <w:w w:val="90"/>
              </w:rPr>
            </w:pPr>
            <w:hyperlink r:id="rId246">
              <w:r>
                <w:rPr>
                  <w:rFonts w:ascii="Arial" w:cs="Arial" w:eastAsia="Arial" w:hAnsi="Arial"/>
                  <w:sz w:val="18"/>
                  <w:szCs w:val="18"/>
                  <w:color w:val="0000EE"/>
                  <w:w w:val="90"/>
                </w:rPr>
                <w:t>Form of Early Exercise Stock Option Agreement under the Amended and Restated 2015 Stock Plan.</w:t>
              </w:r>
            </w:hyperlink>
          </w:p>
        </w:tc>
        <w:tc>
          <w:tcPr>
            <w:tcW w:w="2360" w:type="dxa"/>
            <w:vAlign w:val="bottom"/>
            <w:gridSpan w:val="18"/>
          </w:tcPr>
          <w:p>
            <w:pPr>
              <w:spacing w:after="0"/>
              <w:rPr>
                <w:sz w:val="24"/>
                <w:szCs w:val="24"/>
                <w:color w:val="auto"/>
              </w:rPr>
            </w:pPr>
          </w:p>
        </w:tc>
      </w:tr>
      <w:tr>
        <w:trPr>
          <w:trHeight w:val="304"/>
        </w:trPr>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10.10(c)+</w:t>
            </w:r>
          </w:p>
        </w:tc>
        <w:tc>
          <w:tcPr>
            <w:tcW w:w="6800" w:type="dxa"/>
            <w:vAlign w:val="bottom"/>
            <w:tcBorders>
              <w:bottom w:val="single" w:sz="8" w:color="0000EE"/>
            </w:tcBorders>
            <w:gridSpan w:val="10"/>
          </w:tcPr>
          <w:p>
            <w:pPr>
              <w:spacing w:after="0"/>
              <w:rPr>
                <w:rFonts w:ascii="Arial" w:cs="Arial" w:eastAsia="Arial" w:hAnsi="Arial"/>
                <w:sz w:val="18"/>
                <w:szCs w:val="18"/>
                <w:color w:val="0000EE"/>
                <w:w w:val="90"/>
              </w:rPr>
            </w:pPr>
            <w:hyperlink r:id="rId247">
              <w:r>
                <w:rPr>
                  <w:rFonts w:ascii="Arial" w:cs="Arial" w:eastAsia="Arial" w:hAnsi="Arial"/>
                  <w:sz w:val="18"/>
                  <w:szCs w:val="18"/>
                  <w:color w:val="0000EE"/>
                  <w:w w:val="90"/>
                </w:rPr>
                <w:t>Form of Restricted Stock Unit Agreement under the Amended and Restarted 2015 Stock Plan.</w:t>
              </w:r>
            </w:hyperlink>
          </w:p>
        </w:tc>
        <w:tc>
          <w:tcPr>
            <w:tcW w:w="2800" w:type="dxa"/>
            <w:vAlign w:val="bottom"/>
            <w:gridSpan w:val="20"/>
          </w:tcPr>
          <w:p>
            <w:pPr>
              <w:spacing w:after="0"/>
              <w:rPr>
                <w:sz w:val="24"/>
                <w:szCs w:val="24"/>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9600" w:type="dxa"/>
            <w:vAlign w:val="bottom"/>
            <w:gridSpan w:val="30"/>
          </w:tcPr>
          <w:p>
            <w:pPr>
              <w:spacing w:after="0"/>
              <w:rPr>
                <w:rFonts w:ascii="Arial" w:cs="Arial" w:eastAsia="Arial" w:hAnsi="Arial"/>
                <w:sz w:val="18"/>
                <w:szCs w:val="18"/>
                <w:color w:val="0000EE"/>
                <w:w w:val="96"/>
              </w:rPr>
            </w:pPr>
            <w:hyperlink r:id="rId248">
              <w:r>
                <w:rPr>
                  <w:rFonts w:ascii="Arial" w:cs="Arial" w:eastAsia="Arial" w:hAnsi="Arial"/>
                  <w:sz w:val="18"/>
                  <w:szCs w:val="18"/>
                  <w:color w:val="0000EE"/>
                  <w:w w:val="96"/>
                </w:rPr>
                <w:t>List of Subsidiaries (incorporated by reference to Exhibit 21.1 to the Annual Report on Form 10-K filed on February 28, 2022).</w:t>
              </w:r>
            </w:hyperlink>
          </w:p>
        </w:tc>
      </w:tr>
      <w:tr>
        <w:trPr>
          <w:trHeight w:val="318"/>
        </w:trPr>
        <w:tc>
          <w:tcPr>
            <w:tcW w:w="800" w:type="dxa"/>
            <w:vAlign w:val="bottom"/>
          </w:tcPr>
          <w:p>
            <w:pPr>
              <w:ind w:left="8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82">
              <w:r>
                <w:rPr>
                  <w:rFonts w:ascii="Arial" w:cs="Arial" w:eastAsia="Arial" w:hAnsi="Arial"/>
                  <w:sz w:val="18"/>
                  <w:szCs w:val="18"/>
                  <w:color w:val="0000EE"/>
                  <w:w w:val="89"/>
                </w:rPr>
                <w:t>Consent of PricewaterhouseCoopers LLP.</w:t>
              </w:r>
            </w:hyperlink>
          </w:p>
        </w:tc>
        <w:tc>
          <w:tcPr>
            <w:tcW w:w="6160" w:type="dxa"/>
            <w:vAlign w:val="bottom"/>
            <w:tcBorders>
              <w:top w:val="single" w:sz="8" w:color="0000EE"/>
            </w:tcBorders>
            <w:gridSpan w:val="20"/>
          </w:tcPr>
          <w:p>
            <w:pPr>
              <w:spacing w:after="0"/>
              <w:rPr>
                <w:sz w:val="24"/>
                <w:szCs w:val="24"/>
                <w:color w:val="auto"/>
              </w:rPr>
            </w:pPr>
          </w:p>
        </w:tc>
        <w:tc>
          <w:tcPr>
            <w:tcW w:w="420" w:type="dxa"/>
            <w:vAlign w:val="bottom"/>
            <w:gridSpan w:val="7"/>
          </w:tcPr>
          <w:p>
            <w:pPr>
              <w:spacing w:after="0"/>
              <w:rPr>
                <w:sz w:val="24"/>
                <w:szCs w:val="24"/>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4960" w:type="dxa"/>
            <w:vAlign w:val="bottom"/>
            <w:tcBorders>
              <w:bottom w:val="single" w:sz="8" w:color="0000EE"/>
            </w:tcBorders>
            <w:gridSpan w:val="6"/>
          </w:tcPr>
          <w:p>
            <w:pPr>
              <w:spacing w:after="0"/>
              <w:rPr>
                <w:rFonts w:ascii="Arial" w:cs="Arial" w:eastAsia="Arial" w:hAnsi="Arial"/>
                <w:sz w:val="18"/>
                <w:szCs w:val="18"/>
                <w:color w:val="0000EE"/>
                <w:w w:val="92"/>
              </w:rPr>
            </w:pPr>
            <w:hyperlink r:id="rId220">
              <w:r>
                <w:rPr>
                  <w:rFonts w:ascii="Arial" w:cs="Arial" w:eastAsia="Arial" w:hAnsi="Arial"/>
                  <w:sz w:val="18"/>
                  <w:szCs w:val="18"/>
                  <w:color w:val="0000EE"/>
                  <w:w w:val="92"/>
                </w:rPr>
                <w:t>Consent of Latham &amp; Watkins LLP (included as part of Exhibit 5.1).</w:t>
              </w:r>
            </w:hyperlink>
          </w:p>
        </w:tc>
        <w:tc>
          <w:tcPr>
            <w:tcW w:w="4640" w:type="dxa"/>
            <w:vAlign w:val="bottom"/>
            <w:gridSpan w:val="24"/>
          </w:tcPr>
          <w:p>
            <w:pPr>
              <w:spacing w:after="0"/>
              <w:rPr>
                <w:sz w:val="24"/>
                <w:szCs w:val="24"/>
                <w:color w:val="auto"/>
              </w:rPr>
            </w:pPr>
          </w:p>
        </w:tc>
      </w:tr>
      <w:tr>
        <w:trPr>
          <w:trHeight w:val="304"/>
        </w:trPr>
        <w:tc>
          <w:tcPr>
            <w:tcW w:w="800" w:type="dxa"/>
            <w:vAlign w:val="bottom"/>
          </w:tcPr>
          <w:p>
            <w:pPr>
              <w:ind w:left="80"/>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7040" w:type="dxa"/>
            <w:vAlign w:val="bottom"/>
            <w:tcBorders>
              <w:bottom w:val="single" w:sz="8" w:color="0000EE"/>
            </w:tcBorders>
            <w:gridSpan w:val="11"/>
          </w:tcPr>
          <w:p>
            <w:pPr>
              <w:spacing w:after="0"/>
              <w:rPr>
                <w:rFonts w:ascii="Arial" w:cs="Arial" w:eastAsia="Arial" w:hAnsi="Arial"/>
                <w:sz w:val="18"/>
                <w:szCs w:val="18"/>
                <w:color w:val="0000EE"/>
                <w:w w:val="92"/>
              </w:rPr>
            </w:pPr>
            <w:hyperlink r:id="rId249">
              <w:r>
                <w:rPr>
                  <w:rFonts w:ascii="Arial" w:cs="Arial" w:eastAsia="Arial" w:hAnsi="Arial"/>
                  <w:sz w:val="18"/>
                  <w:szCs w:val="18"/>
                  <w:color w:val="0000EE"/>
                  <w:w w:val="92"/>
                </w:rPr>
                <w:t>Power of Attorney (included on signature page of the initial filing of this Registration Statement).</w:t>
              </w:r>
            </w:hyperlink>
          </w:p>
        </w:tc>
        <w:tc>
          <w:tcPr>
            <w:tcW w:w="2560" w:type="dxa"/>
            <w:vAlign w:val="bottom"/>
            <w:gridSpan w:val="19"/>
          </w:tcPr>
          <w:p>
            <w:pPr>
              <w:spacing w:after="0"/>
              <w:rPr>
                <w:sz w:val="24"/>
                <w:szCs w:val="24"/>
                <w:color w:val="auto"/>
              </w:rPr>
            </w:pPr>
          </w:p>
        </w:tc>
      </w:tr>
      <w:tr>
        <w:trPr>
          <w:trHeight w:val="385"/>
        </w:trPr>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gridSpan w:val="25"/>
          </w:tcPr>
          <w:p>
            <w:pPr>
              <w:ind w:left="2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140"/>
          </w:cols>
          <w:pgMar w:left="320" w:top="486"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No.</w:t>
            </w:r>
          </w:p>
        </w:tc>
        <w:tc>
          <w:tcPr>
            <w:tcW w:w="3360" w:type="dxa"/>
            <w:vAlign w:val="bottom"/>
          </w:tcPr>
          <w:p>
            <w:pPr>
              <w:spacing w:after="0"/>
              <w:rPr>
                <w:sz w:val="16"/>
                <w:szCs w:val="16"/>
                <w:color w:val="auto"/>
              </w:rPr>
            </w:pPr>
          </w:p>
        </w:tc>
        <w:tc>
          <w:tcPr>
            <w:tcW w:w="6340" w:type="dxa"/>
            <w:vAlign w:val="bottom"/>
            <w:gridSpan w:val="2"/>
          </w:tcPr>
          <w:p>
            <w:pPr>
              <w:ind w:left="112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22"/>
                <w:szCs w:val="22"/>
                <w:color w:val="auto"/>
              </w:rPr>
            </w:pPr>
          </w:p>
        </w:tc>
        <w:tc>
          <w:tcPr>
            <w:tcW w:w="9700" w:type="dxa"/>
            <w:vAlign w:val="bottom"/>
            <w:tcBorders>
              <w:top w:val="single" w:sz="8" w:color="auto"/>
            </w:tcBorders>
            <w:gridSpan w:val="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Power of Attorney relating to Karin Rådström.</w:t>
              </w:r>
            </w:hyperlink>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color w:val="0000EE"/>
                <w:w w:val="92"/>
              </w:rPr>
            </w:pPr>
            <w:hyperlink r:id="rId251">
              <w:r>
                <w:rPr>
                  <w:rFonts w:ascii="Arial" w:cs="Arial" w:eastAsia="Arial" w:hAnsi="Arial"/>
                  <w:sz w:val="18"/>
                  <w:szCs w:val="18"/>
                  <w:color w:val="0000EE"/>
                  <w:w w:val="92"/>
                </w:rPr>
                <w:t>Form of Subscription Agreement, dated as of December 21, 2020, by and between the Registrant and the subscribers party thereto.</w:t>
              </w:r>
            </w:hyperlink>
          </w:p>
        </w:tc>
      </w:tr>
      <w:tr>
        <w:trPr>
          <w:trHeight w:val="330"/>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w:t>
            </w:r>
          </w:p>
        </w:tc>
        <w:tc>
          <w:tcPr>
            <w:tcW w:w="30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340" w:right="180" w:hanging="224"/>
        <w:spacing w:after="0" w:line="250"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a management contract or compensatory plan.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Certain portions of this exhibit (indicated by “[***]”) have been omitted pursuant to Regulation S-K, Item 601(b)(10).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0" w:right="20" w:firstLine="436"/>
        <w:spacing w:after="0" w:line="286" w:lineRule="auto"/>
        <w:tabs>
          <w:tab w:leader="none" w:pos="8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(i), (ii) and (iii) do not apply if the registration statement is on Form S-1 and the information required to be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3" w:lineRule="exact"/>
        <w:rPr>
          <w:rFonts w:ascii="Arial" w:cs="Arial" w:eastAsia="Arial" w:hAnsi="Arial"/>
          <w:sz w:val="16"/>
          <w:szCs w:val="16"/>
          <w:color w:val="auto"/>
        </w:rPr>
      </w:pPr>
    </w:p>
    <w:p>
      <w:pPr>
        <w:ind w:left="120" w:right="160" w:firstLine="436"/>
        <w:spacing w:after="0" w:line="263"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700" w:firstLine="436"/>
        <w:spacing w:after="0" w:line="277"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86"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 that, for the purpose of determining liability under the Securities Act to any purchaser: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95" w:lineRule="exact"/>
        <w:rPr>
          <w:sz w:val="20"/>
          <w:szCs w:val="20"/>
          <w:color w:val="auto"/>
        </w:rPr>
      </w:pPr>
    </w:p>
    <w:p>
      <w:pPr>
        <w:ind w:left="120" w:right="240" w:firstLine="436"/>
        <w:spacing w:after="0" w:line="257" w:lineRule="auto"/>
        <w:tabs>
          <w:tab w:leader="none" w:pos="8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1220" w:hanging="241"/>
        <w:spacing w:after="0"/>
        <w:tabs>
          <w:tab w:leader="none" w:pos="12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560" w:right="280" w:firstLine="419"/>
        <w:spacing w:after="0" w:line="277" w:lineRule="auto"/>
        <w:tabs>
          <w:tab w:leader="none" w:pos="12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560" w:right="140" w:firstLine="419"/>
        <w:spacing w:after="0" w:line="277" w:lineRule="auto"/>
        <w:tabs>
          <w:tab w:leader="none" w:pos="12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86"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San Francisco, State of California, on March 24, 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OUSTER,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Anna Brunelle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March 24,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12"/>
        </w:trPr>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8"/>
              </w:rPr>
              <w:t>/s/ Angus Pacala</w:t>
            </w: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2"/>
              </w:rPr>
              <w:t>Director, Co-Founder and Chief Executive Officer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Angus Pacala</w:t>
            </w:r>
          </w:p>
        </w:tc>
        <w:tc>
          <w:tcPr>
            <w:tcW w:w="3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3"/>
              </w:rPr>
              <w:t>/s/ Anna Brunelle</w:t>
            </w: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Anna Brunelle</w:t>
            </w:r>
          </w:p>
        </w:tc>
        <w:tc>
          <w:tcPr>
            <w:tcW w:w="3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4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Jorge del Calvo</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Emmanuel Hernandez</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Susan Heystee</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Sundari Mitra</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Remy Trafelet</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1"/>
              </w:rPr>
              <w:t>/s/ Karin Rådström</w:t>
            </w:r>
          </w:p>
        </w:tc>
        <w:tc>
          <w:tcPr>
            <w:tcW w:w="36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4"/>
        </w:trPr>
        <w:tc>
          <w:tcPr>
            <w:tcW w:w="480" w:type="dxa"/>
            <w:vAlign w:val="bottom"/>
          </w:tcPr>
          <w:p>
            <w:pPr>
              <w:spacing w:after="0"/>
              <w:rPr>
                <w:sz w:val="19"/>
                <w:szCs w:val="19"/>
                <w:color w:val="auto"/>
              </w:rPr>
            </w:pPr>
          </w:p>
        </w:tc>
        <w:tc>
          <w:tcPr>
            <w:tcW w:w="44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Karin Rådström</w:t>
            </w:r>
          </w:p>
        </w:tc>
        <w:tc>
          <w:tcPr>
            <w:tcW w:w="36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458"/>
        </w:trPr>
        <w:tc>
          <w:tcPr>
            <w:tcW w:w="4920" w:type="dxa"/>
            <w:vAlign w:val="bottom"/>
            <w:gridSpan w:val="3"/>
          </w:tcPr>
          <w:p>
            <w:pPr>
              <w:spacing w:after="0"/>
              <w:rPr>
                <w:sz w:val="20"/>
                <w:szCs w:val="20"/>
                <w:color w:val="auto"/>
              </w:rPr>
            </w:pPr>
            <w:r>
              <w:rPr>
                <w:rFonts w:ascii="Arial" w:cs="Arial" w:eastAsia="Arial" w:hAnsi="Arial"/>
                <w:sz w:val="18"/>
                <w:szCs w:val="18"/>
                <w:color w:val="auto"/>
              </w:rPr>
              <w:t>*By:  /s/ Angus Pacala</w:t>
            </w:r>
          </w:p>
        </w:tc>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Angus Pacala</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60" w:type="dxa"/>
            <w:vAlign w:val="bottom"/>
          </w:tcPr>
          <w:p>
            <w:pPr>
              <w:spacing w:after="0"/>
              <w:rPr>
                <w:sz w:val="20"/>
                <w:szCs w:val="20"/>
                <w:color w:val="auto"/>
              </w:rPr>
            </w:pPr>
          </w:p>
        </w:tc>
        <w:tc>
          <w:tcPr>
            <w:tcW w:w="5740" w:type="dxa"/>
            <w:vAlign w:val="bottom"/>
          </w:tcPr>
          <w:p>
            <w:pPr>
              <w:spacing w:after="0"/>
              <w:rPr>
                <w:sz w:val="20"/>
                <w:szCs w:val="20"/>
                <w:color w:val="auto"/>
              </w:rPr>
            </w:pPr>
          </w:p>
        </w:tc>
      </w:tr>
    </w:tbl>
    <w:p>
      <w:pPr>
        <w:sectPr>
          <w:pgSz w:w="11900" w:h="16838" w:orient="portrait"/>
          <w:cols w:equalWidth="0" w:num="1">
            <w:col w:w="11140"/>
          </w:cols>
          <w:pgMar w:left="320" w:top="486"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use in this Post-Effective Amendment No. 1 to the Registration Statement on Form S-1 of Ouster Inc. of our report dated February 28, 2022 relating to the financial statements of Ouster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ectPr>
          <w:pgSz w:w="11900" w:h="16838" w:orient="portrait"/>
          <w:cols w:equalWidth="0" w:num="1">
            <w:col w:w="11020"/>
          </w:cols>
          <w:pgMar w:left="440" w:top="121" w:right="4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I hereby constitute and appoint each of Angus Pacala and Anna Brunelle, acting alone or together with another attorney-in-fact, as my true and lawful attorney-in-fact and agent, with full power of substitution and resubstitution, for me and in my name, place and stead, in any and all capacities, to sign any or all further amendments (including post-effective amendments) to Ouster, Inc.’s Registration Statement on Form S-1 (File No. 333-254987)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attorney-in-fact and agent, or his or her substitute or substitutes, may lawfully do or cause to be done by virtue 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24, 2022.</w:t>
      </w:r>
    </w:p>
    <w:p>
      <w:pPr>
        <w:spacing w:after="0" w:line="252"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Karin Rådström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Karin Rådström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lowerLetter"/>
      <w:start w:val="25"/>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1)"/>
      <w:numFmt w:val="decimal"/>
      <w:start w:val="5"/>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3"/>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4"/>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2"/>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4"/>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6"/>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lowerLetter"/>
      <w:start w:val="3"/>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lowerLetter"/>
      <w:start w:val="2"/>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lowerRoman"/>
      <w:start w:val="2"/>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5" Type="http://schemas.openxmlformats.org/officeDocument/2006/relationships/image" Target="media/image207.png"/><Relationship Id="rId232" Type="http://schemas.openxmlformats.org/officeDocument/2006/relationships/image" Target="media/image208.png"/><Relationship Id="rId250"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14" Type="http://schemas.openxmlformats.org/officeDocument/2006/relationships/hyperlink" Target="http://www.sec.gov/Archives/edgar/data/1816581/000119312521036740/d10549ds4a.htm#rom10549_42" TargetMode="External"/><Relationship Id="rId216" Type="http://schemas.openxmlformats.org/officeDocument/2006/relationships/hyperlink" Target="http://www.sec.gov/Archives/edgar/data/1816581/000119312521076326/d149743dex31.htm" TargetMode="External"/><Relationship Id="rId217" Type="http://schemas.openxmlformats.org/officeDocument/2006/relationships/hyperlink" Target="http://www.sec.gov/Archives/edgar/data/1816581/000119312521076326/d149743dex32.htm" TargetMode="External"/><Relationship Id="rId218" Type="http://schemas.openxmlformats.org/officeDocument/2006/relationships/hyperlink" Target="http://www.sec.gov/Archives/edgar/data/1816581/000119312520229870/d938278dex41.htm" TargetMode="External"/><Relationship Id="rId219" Type="http://schemas.openxmlformats.org/officeDocument/2006/relationships/hyperlink" Target="http://www.sec.gov/Archives/edgar/data/1816581/000119312520209451/d937985dex43.htm" TargetMode="External"/><Relationship Id="rId220" Type="http://schemas.openxmlformats.org/officeDocument/2006/relationships/hyperlink" Target="http://www.sec.gov/Archives/edgar/data/0001816581/000119312521213214/d156556dex51.htm" TargetMode="External"/><Relationship Id="rId221" Type="http://schemas.openxmlformats.org/officeDocument/2006/relationships/hyperlink" Target="http://www.sec.gov/Archives/edgar/data/1816581/000119312521080038/d122652dex101.htm" TargetMode="External"/><Relationship Id="rId222" Type="http://schemas.openxmlformats.org/officeDocument/2006/relationships/hyperlink" Target="http://www.sec.gov/Archives/edgar/data/1816581/000119312521080038/d122652dex102.htm" TargetMode="External"/><Relationship Id="rId223" Type="http://schemas.openxmlformats.org/officeDocument/2006/relationships/hyperlink" Target="http://www.sec.gov/Archives/edgar/data/1816581/000119312521080038/d122652dex103.htm" TargetMode="External"/><Relationship Id="rId224" Type="http://schemas.openxmlformats.org/officeDocument/2006/relationships/hyperlink" Target="http://www.sec.gov/Archives/edgar/data/1816581/000119312520324674/d10549dex105a.htm" TargetMode="External"/><Relationship Id="rId225" Type="http://schemas.openxmlformats.org/officeDocument/2006/relationships/hyperlink" Target="http://www.sec.gov/Archives/edgar/data/1816581/000119312521080038/d122652dex103b.htm" TargetMode="External"/><Relationship Id="rId226" Type="http://schemas.openxmlformats.org/officeDocument/2006/relationships/hyperlink" Target="http://www.sec.gov/Archives/edgar/data/1816581/000119312520324674/d10549dex106.htm" TargetMode="External"/><Relationship Id="rId227" Type="http://schemas.openxmlformats.org/officeDocument/2006/relationships/hyperlink" Target="http://www.sec.gov/Archives/edgar/data/1816581/000119312521019642/d10549dex1013.htm" TargetMode="External"/><Relationship Id="rId228" Type="http://schemas.openxmlformats.org/officeDocument/2006/relationships/hyperlink" Target="http://www.sec.gov/Archives/edgar/data/1816581/000119312521019642/d10549dex1013a.htm" TargetMode="External"/><Relationship Id="rId229" Type="http://schemas.openxmlformats.org/officeDocument/2006/relationships/hyperlink" Target="http://www.sec.gov/Archives/edgar/data/1816581/000119312521019642/d10549dex1013b.htm" TargetMode="External"/><Relationship Id="rId230" Type="http://schemas.openxmlformats.org/officeDocument/2006/relationships/hyperlink" Target="http://www.sec.gov/Archives/edgar/data/1816581/000119312521019642/d10549dex1013c.htm" TargetMode="External"/><Relationship Id="rId231" Type="http://schemas.openxmlformats.org/officeDocument/2006/relationships/hyperlink" Target="http://www.sec.gov/Archives/edgar/data/1816581/000119312521019642/d10549dex1013d.htm" TargetMode="External"/><Relationship Id="rId233" Type="http://schemas.openxmlformats.org/officeDocument/2006/relationships/hyperlink" Target="http://www.sec.gov/Archives/edgar/data/1816581/000119312521019642/d10549dex1013e.htm" TargetMode="External"/><Relationship Id="rId234" Type="http://schemas.openxmlformats.org/officeDocument/2006/relationships/hyperlink" Target="http://www.sec.gov/Archives/edgar/data/1816581/000119312521019642/d10549dex1013f.htm" TargetMode="External"/><Relationship Id="rId235" Type="http://schemas.openxmlformats.org/officeDocument/2006/relationships/hyperlink" Target="http://www.sec.gov/Archives/edgar/data/1816581/000119312521019642/d10549dex1013g.htm" TargetMode="External"/><Relationship Id="rId236" Type="http://schemas.openxmlformats.org/officeDocument/2006/relationships/hyperlink" Target="http://www.sec.gov/Archives/edgar/data/1816581/000119312521019642/d10549dex1014.htm" TargetMode="External"/><Relationship Id="rId237" Type="http://schemas.openxmlformats.org/officeDocument/2006/relationships/hyperlink" Target="http://www.sec.gov/Archives/edgar/data/1816581/000119312521019642/d10549dex1014a.htm" TargetMode="External"/><Relationship Id="rId238" Type="http://schemas.openxmlformats.org/officeDocument/2006/relationships/hyperlink" Target="http://www.sec.gov/Archives/edgar/data/1816581/000119312521019642/d10549dex1014b.htm" TargetMode="External"/><Relationship Id="rId239" Type="http://schemas.openxmlformats.org/officeDocument/2006/relationships/hyperlink" Target="http://www.sec.gov/Archives/edgar/data/1816581/000162828022004256/oust-ex106cfor202110xk.htm" TargetMode="External"/><Relationship Id="rId240" Type="http://schemas.openxmlformats.org/officeDocument/2006/relationships/hyperlink" Target="http://www.sec.gov/Archives/edgar/data/1816581/000162828022004256/oust-ex107afor202110xk.htm" TargetMode="External"/><Relationship Id="rId241" Type="http://schemas.openxmlformats.org/officeDocument/2006/relationships/hyperlink" Target="http://www.sec.gov/Archives/edgar/data/0001816581/000119312521291627/d217527dex21.htm" TargetMode="External"/><Relationship Id="rId242" Type="http://schemas.openxmlformats.org/officeDocument/2006/relationships/hyperlink" Target="http://www.sec.gov/Archives/edgar/data/0001816581/000119312521311897/d245371dex991.htm" TargetMode="External"/><Relationship Id="rId243" Type="http://schemas.openxmlformats.org/officeDocument/2006/relationships/hyperlink" Target="http://www.sec.gov/Archives/edgar/data/1816581/000162828022004256/oust-ex109afor202110xk.htm" TargetMode="External"/><Relationship Id="rId244" Type="http://schemas.openxmlformats.org/officeDocument/2006/relationships/hyperlink" Target="http://www.sec.gov/Archives/edgar/data/1816581/000119312521104385/d156556dex109.htm" TargetMode="External"/><Relationship Id="rId245" Type="http://schemas.openxmlformats.org/officeDocument/2006/relationships/hyperlink" Target="http://www.sec.gov/Archives/edgar/data/1816581/000119312521104385/d156556dex109a.htm" TargetMode="External"/><Relationship Id="rId246" Type="http://schemas.openxmlformats.org/officeDocument/2006/relationships/hyperlink" Target="http://www.sec.gov/Archives/edgar/data/1816581/000119312521104385/d156556dex109b.htm" TargetMode="External"/><Relationship Id="rId247" Type="http://schemas.openxmlformats.org/officeDocument/2006/relationships/hyperlink" Target="http://www.sec.gov/Archives/edgar/data/1816581/000119312521104385/d156556dex109c.htm" TargetMode="External"/><Relationship Id="rId248" Type="http://schemas.openxmlformats.org/officeDocument/2006/relationships/hyperlink" Target="http://www.sec.gov/Archives/edgar/data/1816581/000162828022004256/oust-31dec21xex211.htm" TargetMode="External"/><Relationship Id="rId249" Type="http://schemas.openxmlformats.org/officeDocument/2006/relationships/hyperlink" Target="http://www.sec.gov/Archives/edgar/data/1816581/000119312521104385/d156556ds1.htm#sig" TargetMode="External"/><Relationship Id="rId251" Type="http://schemas.openxmlformats.org/officeDocument/2006/relationships/hyperlink" Target="http://www.sec.gov/Archives/edgar/data/1816581/000119312521104385/d15655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2022-03-25T05:19:32Z</dcterms:created>
  <dcterms:modified xsi:type="dcterms:W3CDTF">2022-03-25T05:19:32Z</dcterms:modified>
</cp:coreProperties>
</file>