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SPENCER DARIEN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TREAT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Ouster,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OUST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970"/>
        <w:gridCol w:w="452"/>
        <w:gridCol w:w="614"/>
        <w:gridCol w:w="1275"/>
        <w:gridCol w:w="994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299,806.5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sold pursuant to a Rule 10b5-1 plan dated November 18,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Megan Chung, as Attorney-in-Fact for Darien Spencer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26378" TargetMode="External"/><Relationship Id="rId5" Type="http://schemas.openxmlformats.org/officeDocument/2006/relationships/hyperlink" Target="http://www.sec.gov/cgi-bin/browse-edgar?action=getcompany&amp;CIK=000181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3148</Characters>
  <CharactersWithSpaces>3660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