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Washington, D.C. 20549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837" w:type="dxa"/>
        <w:jc w:val="center"/>
        <w:tblInd w:w="0" w:type="dxa"/>
        <w:tblLayout w:type="fixed"/>
        <w:tblCellMar>
          <w:top w:w="28" w:type="dxa"/>
          <w:left w:w="28" w:type="dxa"/>
          <w:bottom w:w="28" w:type="dxa"/>
          <w:right w:w="28" w:type="dxa"/>
        </w:tblCellMar>
      </w:tblPr>
      <w:tblGrid>
        <w:gridCol w:w="124"/>
        <w:gridCol w:w="109"/>
        <w:gridCol w:w="109"/>
        <w:gridCol w:w="765"/>
        <w:gridCol w:w="765"/>
        <w:gridCol w:w="765"/>
        <w:gridCol w:w="765"/>
        <w:gridCol w:w="765"/>
        <w:gridCol w:w="765"/>
        <w:gridCol w:w="765"/>
        <w:gridCol w:w="765"/>
        <w:gridCol w:w="765"/>
        <w:gridCol w:w="765"/>
        <w:gridCol w:w="765"/>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before="0" w:after="0"/>
        <w:jc w:val="center"/>
        <w:rPr/>
      </w:pPr>
      <w:r>
        <w:rPr/>
      </w:r>
    </w:p>
    <w:tbl>
      <w:tblPr>
        <w:tblW w:w="9801" w:type="dxa"/>
        <w:jc w:val="center"/>
        <w:tblInd w:w="0" w:type="dxa"/>
        <w:tblLayout w:type="fixed"/>
        <w:tblCellMar>
          <w:top w:w="28" w:type="dxa"/>
          <w:left w:w="28" w:type="dxa"/>
          <w:bottom w:w="28" w:type="dxa"/>
          <w:right w:w="28" w:type="dxa"/>
        </w:tblCellMar>
      </w:tblPr>
      <w:tblGrid>
        <w:gridCol w:w="124"/>
        <w:gridCol w:w="109"/>
        <w:gridCol w:w="109"/>
        <w:gridCol w:w="762"/>
        <w:gridCol w:w="762"/>
        <w:gridCol w:w="762"/>
        <w:gridCol w:w="762"/>
        <w:gridCol w:w="762"/>
        <w:gridCol w:w="762"/>
        <w:gridCol w:w="762"/>
        <w:gridCol w:w="762"/>
        <w:gridCol w:w="762"/>
        <w:gridCol w:w="762"/>
        <w:gridCol w:w="762"/>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5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transition period from                      to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001-39463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88" w:before="160" w:after="283"/>
        <w:jc w:val="center"/>
        <w:rPr>
          <w:rFonts w:ascii="Times New Roman;sans-serif" w:hAnsi="Times New Roman;sans-serif"/>
          <w:b/>
          <w:color w:val="000000"/>
          <w:sz w:val="40"/>
        </w:rPr>
      </w:pPr>
      <w:r>
        <w:rPr>
          <w:rFonts w:ascii="Times New Roman;sans-serif" w:hAnsi="Times New Roman;sans-serif"/>
          <w:b/>
          <w:color w:val="000000"/>
          <w:sz w:val="40"/>
        </w:rPr>
        <w:t xml:space="preserve">Ouster,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5014" w:type="dxa"/>
        <w:jc w:val="center"/>
        <w:tblInd w:w="0" w:type="dxa"/>
        <w:tblLayout w:type="fixed"/>
        <w:tblCellMar>
          <w:top w:w="28" w:type="dxa"/>
          <w:left w:w="28" w:type="dxa"/>
          <w:bottom w:w="28" w:type="dxa"/>
          <w:right w:w="28" w:type="dxa"/>
        </w:tblCellMar>
      </w:tblPr>
      <w:tblGrid>
        <w:gridCol w:w="851"/>
        <w:gridCol w:w="748"/>
        <w:gridCol w:w="755"/>
        <w:gridCol w:w="109"/>
        <w:gridCol w:w="109"/>
        <w:gridCol w:w="109"/>
        <w:gridCol w:w="109"/>
        <w:gridCol w:w="109"/>
        <w:gridCol w:w="109"/>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86-2528989</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350 Treat Avenue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Francisco, California 94110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949-0108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(Former name, former address, and former fiscal year, if changed since last report)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8603" w:type="dxa"/>
        <w:jc w:val="left"/>
        <w:tblInd w:w="0" w:type="dxa"/>
        <w:tblLayout w:type="fixed"/>
        <w:tblCellMar>
          <w:top w:w="28" w:type="dxa"/>
          <w:left w:w="28" w:type="dxa"/>
          <w:bottom w:w="28" w:type="dxa"/>
          <w:right w:w="28" w:type="dxa"/>
        </w:tblCellMar>
      </w:tblPr>
      <w:tblGrid>
        <w:gridCol w:w="1611"/>
        <w:gridCol w:w="1412"/>
        <w:gridCol w:w="1432"/>
        <w:gridCol w:w="109"/>
        <w:gridCol w:w="109"/>
        <w:gridCol w:w="109"/>
        <w:gridCol w:w="369"/>
        <w:gridCol w:w="369"/>
        <w:gridCol w:w="371"/>
        <w:gridCol w:w="109"/>
        <w:gridCol w:w="109"/>
        <w:gridCol w:w="109"/>
        <w:gridCol w:w="698"/>
        <w:gridCol w:w="698"/>
        <w:gridCol w:w="989"/>
      </w:tblGrid>
      <w:tr>
        <w:trPr/>
        <w:tc>
          <w:tcPr>
            <w:tcW w:w="161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OUST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Warrants to purchase common stock expiring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OUST 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NYSE American</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5"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9, 2023, the registrant had 39,501,552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45" w:type="dxa"/>
        <w:jc w:val="left"/>
        <w:tblInd w:w="0" w:type="dxa"/>
        <w:tblLayout w:type="fixed"/>
        <w:tblCellMar>
          <w:top w:w="28" w:type="dxa"/>
          <w:left w:w="28" w:type="dxa"/>
          <w:bottom w:w="28" w:type="dxa"/>
          <w:right w:w="28" w:type="dxa"/>
        </w:tblCellMar>
      </w:tblPr>
      <w:tblGrid>
        <w:gridCol w:w="293"/>
        <w:gridCol w:w="258"/>
        <w:gridCol w:w="259"/>
        <w:gridCol w:w="2453"/>
        <w:gridCol w:w="2453"/>
        <w:gridCol w:w="2458"/>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6c538f316ad46bd8c2ffcc04a929bea_13">
              <w:r>
                <w:rPr>
                  <w:rStyle w:val="InternetLink"/>
                  <w:rFonts w:ascii="Times New Roman;sans-serif" w:hAnsi="Times New Roman;sans-serif"/>
                  <w:b/>
                  <w:strike w:val="false"/>
                  <w:dstrike w:val="false"/>
                  <w:color w:val="000000"/>
                  <w:sz w:val="20"/>
                  <w:u w:val="none"/>
                  <w:effect w:val="non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
              <w:r>
                <w:rPr>
                  <w:rStyle w:val="InternetLink"/>
                  <w:rFonts w:ascii="Times New Roman;sans-serif" w:hAnsi="Times New Roman;sans-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
              <w:r>
                <w:rPr>
                  <w:rStyle w:val="InternetLink"/>
                  <w:rFonts w:ascii="Times New Roman;sans-serif" w:hAnsi="Times New Roman;sans-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6">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9">
              <w:r>
                <w:rPr>
                  <w:rStyle w:val="InternetLink"/>
                  <w:rFonts w:ascii="Times New Roman;sans-serif" w:hAnsi="Times New Roman;sans-serif"/>
                  <w:b w:val="false"/>
                  <w:color w:val="0000FF"/>
                  <w:sz w:val="20"/>
                  <w:u w:val="single"/>
                </w:rPr>
                <w:t>Condensed Consolidated Balance Sheets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9">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22">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22">
              <w:r>
                <w:rPr>
                  <w:rStyle w:val="InternetLink"/>
                  <w:rFonts w:ascii="Times New Roman;sans-serif" w:hAnsi="Times New Roman;sans-serif"/>
                  <w:b w:val="false"/>
                  <w:strike w:val="false"/>
                  <w:dstrike w:val="false"/>
                  <w:color w:val="000000"/>
                  <w:sz w:val="20"/>
                  <w:u w:val="none"/>
                  <w:effect w:val="non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25">
              <w:r>
                <w:rPr>
                  <w:rStyle w:val="InternetLink"/>
                  <w:rFonts w:ascii="Times New Roman;sans-serif" w:hAnsi="Times New Roman;sans-serif"/>
                  <w:b w:val="false"/>
                  <w:color w:val="0000FF"/>
                  <w:sz w:val="20"/>
                  <w:u w:val="single"/>
                </w:rPr>
                <w:t>Condensed Consolidated Statements of Stockholders’ Equity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25">
              <w:r>
                <w:rPr>
                  <w:rStyle w:val="InternetLink"/>
                  <w:rFonts w:ascii="Times New Roman;sans-serif" w:hAnsi="Times New Roman;sans-serif"/>
                  <w:b w:val="false"/>
                  <w:strike w:val="false"/>
                  <w:dstrike w:val="false"/>
                  <w:color w:val="000000"/>
                  <w:sz w:val="20"/>
                  <w:u w:val="none"/>
                  <w:effect w:val="non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28">
              <w:r>
                <w:rPr>
                  <w:rStyle w:val="InternetLink"/>
                  <w:rFonts w:ascii="Times New Roman;sans-serif" w:hAnsi="Times New Roman;sans-serif"/>
                  <w:b w:val="false"/>
                  <w:color w:val="0000FF"/>
                  <w:sz w:val="20"/>
                  <w:u w:val="single"/>
                </w:rPr>
                <w:t>Condensed Consolidated Statements of Cash Flows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28">
              <w:r>
                <w:rPr>
                  <w:rStyle w:val="InternetLink"/>
                  <w:rFonts w:ascii="Times New Roman;sans-serif" w:hAnsi="Times New Roman;sans-serif"/>
                  <w:b w:val="false"/>
                  <w:strike w:val="false"/>
                  <w:dstrike w:val="false"/>
                  <w:color w:val="000000"/>
                  <w:sz w:val="20"/>
                  <w:u w:val="none"/>
                  <w:effect w:val="non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31">
              <w:r>
                <w:rPr>
                  <w:rStyle w:val="InternetLink"/>
                  <w:rFonts w:ascii="Times New Roman;sans-serif" w:hAnsi="Times New Roman;sans-serif"/>
                  <w:b w:val="false"/>
                  <w:color w:val="000080"/>
                  <w:sz w:val="20"/>
                  <w:u w:val="single"/>
                </w:rPr>
                <w:t xml:space="preserve">Notes to </w:t>
              </w:r>
            </w:hyperlink>
            <w:hyperlink w:anchor="i36c538f316ad46bd8c2ffcc04a929bea_31">
              <w:r>
                <w:rPr>
                  <w:rStyle w:val="InternetLink"/>
                  <w:rFonts w:ascii="Times New Roman;sans-serif" w:hAnsi="Times New Roman;sans-serif"/>
                  <w:b w:val="false"/>
                  <w:color w:val="000080"/>
                  <w:sz w:val="20"/>
                  <w:u w:val="single"/>
                </w:rPr>
                <w:t xml:space="preserve">Condensed </w:t>
              </w:r>
            </w:hyperlink>
            <w:hyperlink w:anchor="i36c538f316ad46bd8c2ffcc04a929bea_31">
              <w:r>
                <w:rPr>
                  <w:rStyle w:val="InternetLink"/>
                  <w:rFonts w:ascii="Times New Roman;sans-serif" w:hAnsi="Times New Roman;sans-serif"/>
                  <w:b w:val="false"/>
                  <w:color w:val="000080"/>
                  <w:sz w:val="20"/>
                  <w:u w:val="single"/>
                </w:rPr>
                <w:t>Consolidated Financial Statement</w:t>
              </w:r>
            </w:hyperlink>
            <w:hyperlink w:anchor="i36c538f316ad46bd8c2ffcc04a929bea_31">
              <w:r>
                <w:rPr>
                  <w:rStyle w:val="InternetLink"/>
                  <w:rFonts w:ascii="Times New Roman;sans-serif" w:hAnsi="Times New Roman;sans-serif"/>
                  <w:b w:val="false"/>
                  <w:color w:val="000080"/>
                  <w:sz w:val="20"/>
                  <w:u w:val="single"/>
                </w:rPr>
                <w: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31">
              <w:r>
                <w:rPr>
                  <w:rStyle w:val="InternetLink"/>
                  <w:rFonts w:ascii="Times New Roman;sans-serif" w:hAnsi="Times New Roman;sans-serif"/>
                  <w:b w:val="false"/>
                  <w:strike w:val="false"/>
                  <w:dstrike w:val="false"/>
                  <w:color w:val="000000"/>
                  <w:sz w:val="20"/>
                  <w:u w:val="none"/>
                  <w:effect w:val="none"/>
                </w:rPr>
                <w:t>10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18">
              <w:r>
                <w:rPr>
                  <w:rStyle w:val="InternetLink"/>
                  <w:rFonts w:ascii="Times New Roman;sans-serif" w:hAnsi="Times New Roman;sans-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1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18">
              <w:r>
                <w:rPr>
                  <w:rStyle w:val="InternetLink"/>
                  <w:rFonts w:ascii="Times New Roman;sans-serif" w:hAnsi="Times New Roman;sans-serif"/>
                  <w:b w:val="false"/>
                  <w:strike w:val="false"/>
                  <w:dstrike w:val="false"/>
                  <w:color w:val="000000"/>
                  <w:sz w:val="20"/>
                  <w:u w:val="none"/>
                  <w:effect w:val="none"/>
                </w:rPr>
                <w:t>32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42">
              <w:r>
                <w:rPr>
                  <w:rStyle w:val="InternetLink"/>
                  <w:rFonts w:ascii="Times New Roman;sans-serif" w:hAnsi="Times New Roman;sans-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42">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42">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45">
              <w:r>
                <w:rPr>
                  <w:rStyle w:val="InternetLink"/>
                  <w:rFonts w:ascii="Times New Roman;sans-serif" w:hAnsi="Times New Roman;sans-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45">
              <w:r>
                <w:rPr>
                  <w:rStyle w:val="InternetLink"/>
                  <w:rFonts w:ascii="Times New Roman;sans-serif" w:hAnsi="Times New Roman;sans-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45">
              <w:r>
                <w:rPr>
                  <w:rStyle w:val="InternetLink"/>
                  <w:rFonts w:ascii="Times New Roman;sans-serif" w:hAnsi="Times New Roman;sans-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51">
              <w:r>
                <w:rPr>
                  <w:rStyle w:val="InternetLink"/>
                  <w:rFonts w:ascii="Times New Roman;sans-serif" w:hAnsi="Times New Roman;sans-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51">
              <w:r>
                <w:rPr>
                  <w:rStyle w:val="InternetLink"/>
                  <w:rFonts w:ascii="Times New Roman;sans-serif" w:hAnsi="Times New Roman;sans-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51">
              <w:r>
                <w:rPr>
                  <w:rStyle w:val="InternetLink"/>
                  <w:rFonts w:ascii="Times New Roman;sans-serif" w:hAnsi="Times New Roman;sans-serif"/>
                  <w:b w:val="false"/>
                  <w:strike w:val="false"/>
                  <w:dstrike w:val="false"/>
                  <w:color w:val="000000"/>
                  <w:sz w:val="20"/>
                  <w:u w:val="none"/>
                  <w:effect w:val="none"/>
                </w:rPr>
                <w:t>48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54">
              <w:r>
                <w:rPr>
                  <w:rStyle w:val="InternetLink"/>
                  <w:rFonts w:ascii="Times New Roman;sans-serif" w:hAnsi="Times New Roman;sans-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36c538f316ad46bd8c2ffcc04a929bea_154">
              <w:r>
                <w:rPr>
                  <w:rStyle w:val="InternetLink"/>
                  <w:rFonts w:ascii="Times New Roman;sans-serif" w:hAnsi="Times New Roman;sans-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54">
              <w:r>
                <w:rPr>
                  <w:rStyle w:val="InternetLink"/>
                  <w:rFonts w:ascii="Times New Roman;sans-serif" w:hAnsi="Times New Roman;sans-serif"/>
                  <w:b w:val="false"/>
                  <w:strike w:val="false"/>
                  <w:dstrike w:val="false"/>
                  <w:color w:val="000000"/>
                  <w:sz w:val="20"/>
                  <w:u w:val="none"/>
                  <w:effect w:val="none"/>
                </w:rPr>
                <w:t>48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57">
              <w:r>
                <w:rPr>
                  <w:rStyle w:val="InternetLink"/>
                  <w:rFonts w:ascii="Times New Roman;sans-serif" w:hAnsi="Times New Roman;sans-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57">
              <w:r>
                <w:rPr>
                  <w:rStyle w:val="InternetLink"/>
                  <w:rFonts w:ascii="Times New Roman;sans-serif" w:hAnsi="Times New Roman;sans-serif"/>
                  <w:b w:val="false"/>
                  <w:color w:val="0000FF"/>
                  <w:sz w:val="20"/>
                  <w:u w:val="single"/>
                </w:rPr>
                <w:t>Unregistered Sales of Equity Securities, Use of Proceeds, and Issuer Purchases of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57">
              <w:r>
                <w:rPr>
                  <w:rStyle w:val="InternetLink"/>
                  <w:rFonts w:ascii="Times New Roman;sans-serif" w:hAnsi="Times New Roman;sans-serif"/>
                  <w:b w:val="false"/>
                  <w:strike w:val="false"/>
                  <w:dstrike w:val="false"/>
                  <w:color w:val="000000"/>
                  <w:sz w:val="20"/>
                  <w:u w:val="none"/>
                  <w:effect w:val="none"/>
                </w:rPr>
                <w:t>48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0">
              <w:r>
                <w:rPr>
                  <w:rStyle w:val="InternetLink"/>
                  <w:rFonts w:ascii="Times New Roman;sans-serif" w:hAnsi="Times New Roman;sans-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0">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60">
              <w:r>
                <w:rPr>
                  <w:rStyle w:val="InternetLink"/>
                  <w:rFonts w:ascii="Times New Roman;sans-serif" w:hAnsi="Times New Roman;sans-serif"/>
                  <w:b w:val="false"/>
                  <w:strike w:val="false"/>
                  <w:dstrike w:val="false"/>
                  <w:color w:val="000000"/>
                  <w:sz w:val="20"/>
                  <w:u w:val="none"/>
                  <w:effect w:val="none"/>
                </w:rPr>
                <w:t>48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3">
              <w:r>
                <w:rPr>
                  <w:rStyle w:val="InternetLink"/>
                  <w:rFonts w:ascii="Times New Roman;sans-serif" w:hAnsi="Times New Roman;sans-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3">
              <w:r>
                <w:rPr>
                  <w:rStyle w:val="InternetLink"/>
                  <w:rFonts w:ascii="Times New Roman;sans-serif" w:hAnsi="Times New Roman;sans-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66">
              <w:r>
                <w:rPr>
                  <w:rStyle w:val="InternetLink"/>
                  <w:rFonts w:ascii="Times New Roman;sans-serif" w:hAnsi="Times New Roman;sans-serif"/>
                  <w:b w:val="false"/>
                  <w:strike w:val="false"/>
                  <w:dstrike w:val="false"/>
                  <w:color w:val="000000"/>
                  <w:sz w:val="20"/>
                  <w:u w:val="none"/>
                  <w:effect w:val="none"/>
                </w:rPr>
                <w:t>48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6">
              <w:r>
                <w:rPr>
                  <w:rStyle w:val="InternetLink"/>
                  <w:rFonts w:ascii="Times New Roman;sans-serif" w:hAnsi="Times New Roman;sans-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6">
              <w:r>
                <w:rPr>
                  <w:rStyle w:val="InternetLink"/>
                  <w:rFonts w:ascii="Times New Roman;sans-serif" w:hAnsi="Times New Roman;sans-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66">
              <w:r>
                <w:rPr>
                  <w:rStyle w:val="InternetLink"/>
                  <w:rFonts w:ascii="Times New Roman;sans-serif" w:hAnsi="Times New Roman;sans-serif"/>
                  <w:b w:val="false"/>
                  <w:strike w:val="false"/>
                  <w:dstrike w:val="false"/>
                  <w:color w:val="000000"/>
                  <w:sz w:val="20"/>
                  <w:u w:val="none"/>
                  <w:effect w:val="none"/>
                </w:rPr>
                <w:t>48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9">
              <w:r>
                <w:rPr>
                  <w:rStyle w:val="InternetLink"/>
                  <w:rFonts w:ascii="Times New Roman;sans-serif" w:hAnsi="Times New Roman;sans-serif"/>
                  <w:b w:val="false"/>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69">
              <w:r>
                <w:rPr>
                  <w:rStyle w:val="InternetLink"/>
                  <w:rFonts w:ascii="Times New Roman;sans-serif" w:hAnsi="Times New Roman;sans-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69">
              <w:r>
                <w:rPr>
                  <w:rStyle w:val="InternetLink"/>
                  <w:rFonts w:ascii="Times New Roman;sans-serif" w:hAnsi="Times New Roman;sans-serif"/>
                  <w:b w:val="false"/>
                  <w:strike w:val="false"/>
                  <w:dstrike w:val="false"/>
                  <w:color w:val="000000"/>
                  <w:sz w:val="20"/>
                  <w:u w:val="none"/>
                  <w:effect w:val="none"/>
                </w:rPr>
                <w:t>49</w:t>
              </w:r>
            </w:hyperlink>
          </w:p>
        </w:tc>
      </w:tr>
      <w:tr>
        <w:trPr/>
        <w:tc>
          <w:tcPr>
            <w:tcW w:w="817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6c538f316ad46bd8c2ffcc04a929bea_172">
              <w:r>
                <w:rPr>
                  <w:rStyle w:val="InternetLink"/>
                  <w:rFonts w:ascii="Times New Roman;sans-serif" w:hAnsi="Times New Roman;sans-serif"/>
                  <w:b w:val="false"/>
                  <w:color w:val="0000FF"/>
                  <w:sz w:val="20"/>
                  <w:u w:val="single"/>
                </w:rPr>
                <w:t>Signature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c538f316ad46bd8c2ffcc04a929bea_172">
              <w:r>
                <w:rPr>
                  <w:rStyle w:val="InternetLink"/>
                  <w:rFonts w:ascii="Times New Roman;sans-serif" w:hAnsi="Times New Roman;sans-serif"/>
                  <w:b w:val="false"/>
                  <w:strike w:val="false"/>
                  <w:dstrike w:val="false"/>
                  <w:color w:val="000000"/>
                  <w:sz w:val="20"/>
                  <w:u w:val="none"/>
                  <w:effect w:val="non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SPECIAL NOTE REGARDING FORWARD-LOOKING STATEMENTS</w:t>
      </w:r>
    </w:p>
    <w:p>
      <w:pPr>
        <w:pStyle w:val="TextBody"/>
        <w:bidi w:val="0"/>
        <w:spacing w:before="0" w:after="0"/>
        <w:jc w:val="center"/>
        <w:rPr/>
      </w:pPr>
      <w:r>
        <w:rPr/>
      </w:r>
    </w:p>
    <w:p>
      <w:pPr>
        <w:pStyle w:val="TextBody"/>
        <w:bidi w:val="0"/>
        <w:spacing w:lineRule="auto" w:line="276" w:before="0" w:after="0"/>
        <w:jc w:val="left"/>
        <w:rPr/>
      </w:pPr>
      <w:r>
        <w:rPr>
          <w:rFonts w:ascii="Times New Roman;sans-serif" w:hAnsi="Times New Roman;sans-serif"/>
          <w:b w:val="false"/>
          <w:i/>
          <w:color w:val="000000"/>
          <w:sz w:val="20"/>
        </w:rPr>
        <w:t>This Quarterly Report on Form 10-Q contains forward-looking statements within the meaning of the Private Securities Litigation Reform Act of 1995. Ouster, Inc. (the “Company”, “Ouster,” or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the anticipated benefits of and costs associated with the Velodyne Merger (as defined herein) and related restructuring initiatives; Ouster’s expectations surrounding the Velodyne Merger and its ability to grow the Company’s sales and bolster the Company’s financial position; Ouster’s ability to grow its sales and marketing organization; expected contractual obligations and capital expenditures; the capabilities of and demand for Ouster’s products; Ouster’s anticipated new product launches and developments; Ouster’s future results of operations and financial position; industry and business trends; the remediation of material weaknesses; potential disruptions in Ouster’s supply chain and risks of inventory obsolescence; Ouster’s expectations regarding the Hesai intellectual property patent infringement cases; the impact of market conditions and other macroeconomic factors on Ouster’s business, financial condition and results of operation; Ouster’s future business strategy, plans, distribution partnerships, market growth and its objectives for future operations; and Ouster’s competitive market position within its industry, are forward-looking statements. The words “believe,” “may,” “will,” “estimate,” “continue,” “anticipate,” “intend,” “expect,” “could,” “would,” “project,” “plan,” “potentially,” “preliminary,” “likely,” “aim,” “forecast,” “should,” “can have,” “likely,”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are subject to a number of risks, uncertainties, and assumptions that may cause actual results to differ materially from those that Ouster expected, including, but not limited to</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 xml:space="preserve">Ouster’s limited operating history and history of losses; its ability to successfully integrate its business with Velodyne and achieve the anticipated benefits and synergies of the Velodyne Merger; substantial research and development costs needed to develop and commercialize new products; fluctuations in its operating results; Ouster’s ability to maintain competitive average selling prices or high sales volumes or reduce product costs; conditions in its customers’ industries; the competitive environment in which Ouster operates; the negotiating power and product standards of its customers; the creditworthiness of Ouster’s customers; the ability of its lidar technology roadmap and new software solutions to catalyze growth; the selection of Ouster’s products for inclusion in target markets; risks of product delivery problems or defects; costs associated with product warranties; Ouster’s future capital needs and ability to secure additional capital on favorable terms or at all; inaccurate forecasts of market growth; Ouster’s ability to manage growth; Ouster’s ability to grow its sales and marketing organization; risks related to acquisitions; risks related to international operations and compliance; cancellation or postponement of contracts or unsuccessful implementations; Ouster’s ability to maintain inventory and the risk of inventory write-downs; its ability to use tax attributes; Ouster’s dependence on key third-party suppliers, in particular Benchmark Electronics, Inc. and Fabrinet; supply chain constraints and challenges; Ouster’s ability to recruit and retain key personnel; Ouster’s ability to effectively respond to evolving regulations and standards; Ouster’s ability to adequately protect and enforce its intellectual property rights, including as relates to Hesai; risks related to operating as a public company; and other important factors discussed in the Company’s Annual Report on Form 10-K for the year ended December 31, 2022, that are further updated from time to time in the Company’s other filings with the Securities and Exchange Commission (the “SEC”) that may cause its actual results, performance or achievements to differ materially and adversely from those expressed or implied by the forward-looking statements.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Any forward-looking statements made herein speak only as of the date of this Quarterly Report on Form 10-Q,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on Form 10-Q or to conform these statements to actual results or revised expectations.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Quarterly Report on Form 10-Q to the terms “Ouster,” “the Company,” “we,” “our” and “us” refer to Ouster,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SEC filings, webcasts, press releases and conference calls. Information contained on our website is not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2882"/>
        <w:gridCol w:w="2353"/>
        <w:gridCol w:w="2304"/>
        <w:gridCol w:w="211"/>
        <w:gridCol w:w="826"/>
        <w:gridCol w:w="109"/>
        <w:gridCol w:w="109"/>
        <w:gridCol w:w="109"/>
        <w:gridCol w:w="109"/>
        <w:gridCol w:w="211"/>
        <w:gridCol w:w="826"/>
        <w:gridCol w:w="156"/>
      </w:tblGrid>
      <w:tr>
        <w:trPr/>
        <w:tc>
          <w:tcPr>
            <w:tcW w:w="2882"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 long-term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long-term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Commitments and contingencies</w:t>
            </w:r>
            <w:r>
              <w:rPr>
                <w:color w:val="000000"/>
              </w:rPr>
              <w:t xml:space="preserve"> </w:t>
            </w:r>
            <w:r>
              <w:rPr>
                <w:rFonts w:ascii="Times New Roman;sans-serif" w:hAnsi="Times New Roman;sans-serif"/>
                <w:b w:val="false"/>
                <w:color w:val="000000"/>
                <w:sz w:val="20"/>
              </w:rPr>
              <w:t>(Note 8 )</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at June 30, 2023 and December 31, 2022; 39,320,715 and 18,658,799 issued and outstanding at June 30,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1823"/>
        <w:gridCol w:w="1495"/>
        <w:gridCol w:w="1505"/>
        <w:gridCol w:w="196"/>
        <w:gridCol w:w="802"/>
        <w:gridCol w:w="109"/>
        <w:gridCol w:w="109"/>
        <w:gridCol w:w="109"/>
        <w:gridCol w:w="109"/>
        <w:gridCol w:w="219"/>
        <w:gridCol w:w="742"/>
        <w:gridCol w:w="109"/>
        <w:gridCol w:w="109"/>
        <w:gridCol w:w="109"/>
        <w:gridCol w:w="109"/>
        <w:gridCol w:w="196"/>
        <w:gridCol w:w="802"/>
        <w:gridCol w:w="109"/>
        <w:gridCol w:w="109"/>
        <w:gridCol w:w="109"/>
        <w:gridCol w:w="109"/>
        <w:gridCol w:w="219"/>
        <w:gridCol w:w="742"/>
        <w:gridCol w:w="156"/>
      </w:tblGrid>
      <w:tr>
        <w:trPr/>
        <w:tc>
          <w:tcPr>
            <w:tcW w:w="182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(loss) profit</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charges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unrealized loss on available for sale securities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(60,485)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basic and 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to compute basic and diluted net loss per share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38,448,241 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17,505,736 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17,296,583 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8"/>
        <w:gridCol w:w="591"/>
        <w:gridCol w:w="593"/>
        <w:gridCol w:w="109"/>
        <w:gridCol w:w="109"/>
        <w:gridCol w:w="109"/>
        <w:gridCol w:w="138"/>
        <w:gridCol w:w="138"/>
        <w:gridCol w:w="408"/>
        <w:gridCol w:w="388"/>
        <w:gridCol w:w="139"/>
        <w:gridCol w:w="109"/>
        <w:gridCol w:w="109"/>
        <w:gridCol w:w="109"/>
        <w:gridCol w:w="235"/>
        <w:gridCol w:w="372"/>
        <w:gridCol w:w="144"/>
        <w:gridCol w:w="190"/>
        <w:gridCol w:w="190"/>
        <w:gridCol w:w="191"/>
        <w:gridCol w:w="181"/>
        <w:gridCol w:w="616"/>
        <w:gridCol w:w="109"/>
        <w:gridCol w:w="109"/>
        <w:gridCol w:w="109"/>
        <w:gridCol w:w="109"/>
        <w:gridCol w:w="243"/>
        <w:gridCol w:w="850"/>
        <w:gridCol w:w="149"/>
        <w:gridCol w:w="109"/>
        <w:gridCol w:w="109"/>
        <w:gridCol w:w="109"/>
        <w:gridCol w:w="253"/>
        <w:gridCol w:w="525"/>
        <w:gridCol w:w="153"/>
        <w:gridCol w:w="109"/>
        <w:gridCol w:w="109"/>
        <w:gridCol w:w="109"/>
        <w:gridCol w:w="181"/>
        <w:gridCol w:w="616"/>
        <w:gridCol w:w="159"/>
      </w:tblGrid>
      <w:tr>
        <w:trPr/>
        <w:tc>
          <w:tcPr>
            <w:tcW w:w="8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c>
          <w:tcPr>
            <w:tcW w:w="1283" w:type="dxa"/>
            <w:gridSpan w:val="6"/>
            <w:tcBorders/>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18,658,799 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(441,916)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171,619 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Velodyne Merger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19,483,269 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306,602 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vesting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568,675 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21,780 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(177,280)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(177,280)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38,716,997 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942,072 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(619,196)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322,736 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adjustment reflected as a result of the one-for-10 reverse stock split effectuated on April 6,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85,893 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69,080 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vesting of 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385,865 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to employees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warrants issuable to customer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16,466 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(122,733)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(122,733)</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39,320,715 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959,111 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(741,929)</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216,991 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686"/>
        <w:gridCol w:w="465"/>
        <w:gridCol w:w="467"/>
        <w:gridCol w:w="109"/>
        <w:gridCol w:w="109"/>
        <w:gridCol w:w="109"/>
        <w:gridCol w:w="134"/>
        <w:gridCol w:w="134"/>
        <w:gridCol w:w="408"/>
        <w:gridCol w:w="388"/>
        <w:gridCol w:w="135"/>
        <w:gridCol w:w="109"/>
        <w:gridCol w:w="109"/>
        <w:gridCol w:w="109"/>
        <w:gridCol w:w="235"/>
        <w:gridCol w:w="372"/>
        <w:gridCol w:w="144"/>
        <w:gridCol w:w="190"/>
        <w:gridCol w:w="190"/>
        <w:gridCol w:w="191"/>
        <w:gridCol w:w="181"/>
        <w:gridCol w:w="616"/>
        <w:gridCol w:w="109"/>
        <w:gridCol w:w="195"/>
        <w:gridCol w:w="195"/>
        <w:gridCol w:w="196"/>
        <w:gridCol w:w="227"/>
        <w:gridCol w:w="795"/>
        <w:gridCol w:w="139"/>
        <w:gridCol w:w="109"/>
        <w:gridCol w:w="109"/>
        <w:gridCol w:w="109"/>
        <w:gridCol w:w="285"/>
        <w:gridCol w:w="474"/>
        <w:gridCol w:w="172"/>
        <w:gridCol w:w="109"/>
        <w:gridCol w:w="109"/>
        <w:gridCol w:w="109"/>
        <w:gridCol w:w="181"/>
        <w:gridCol w:w="616"/>
        <w:gridCol w:w="109"/>
        <w:gridCol w:w="109"/>
        <w:gridCol w:w="159"/>
      </w:tblGrid>
      <w:tr>
        <w:trPr/>
        <w:tc>
          <w:tcPr>
            <w:tcW w:w="6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17,220,042 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(303,356)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vesting of restricted stock - net of tax withholding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(32,397)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17,360,250 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(335,753)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at-the-market offering, net of commissions and fees of $451 and issuance costs of $546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674,934 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95,086 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(5,730)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Vesting of early exercised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Sense acquisition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18,142,451 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594,800</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(363,753)</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tbl>
      <w:tblPr>
        <w:tblW w:w="9999" w:type="dxa"/>
        <w:jc w:val="left"/>
        <w:tblInd w:w="0" w:type="dxa"/>
        <w:tblLayout w:type="fixed"/>
        <w:tblCellMar>
          <w:top w:w="28" w:type="dxa"/>
          <w:left w:w="28" w:type="dxa"/>
          <w:bottom w:w="28" w:type="dxa"/>
          <w:right w:w="28" w:type="dxa"/>
        </w:tblCellMar>
      </w:tblPr>
      <w:tblGrid>
        <w:gridCol w:w="2703"/>
        <w:gridCol w:w="2377"/>
        <w:gridCol w:w="2390"/>
        <w:gridCol w:w="196"/>
        <w:gridCol w:w="811"/>
        <w:gridCol w:w="109"/>
        <w:gridCol w:w="109"/>
        <w:gridCol w:w="109"/>
        <w:gridCol w:w="109"/>
        <w:gridCol w:w="196"/>
        <w:gridCol w:w="736"/>
        <w:gridCol w:w="154"/>
      </w:tblGrid>
      <w:tr>
        <w:trPr/>
        <w:tc>
          <w:tcPr>
            <w:tcW w:w="2703"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charges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write-off of construction in progress and right-of-use asset impairment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of revenue related to stock warrant issued to customer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right-of-use asset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debt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or amortization on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write down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from disposal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 effects: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short-term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acquired in the Velodyne Merger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ESPP purchase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net of debt discount and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common stock under at-the-market offering, net of commissions and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At-the-market offering costs for the issuance of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restricted stock units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rates on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23"/>
        <w:gridCol w:w="2570"/>
        <w:gridCol w:w="2571"/>
        <w:gridCol w:w="196"/>
        <w:gridCol w:w="736"/>
        <w:gridCol w:w="109"/>
        <w:gridCol w:w="109"/>
        <w:gridCol w:w="109"/>
        <w:gridCol w:w="109"/>
        <w:gridCol w:w="196"/>
        <w:gridCol w:w="421"/>
        <w:gridCol w:w="156"/>
      </w:tblGrid>
      <w:tr>
        <w:trPr/>
        <w:tc>
          <w:tcPr>
            <w:tcW w:w="2923"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purchases included in accounts payable and accrued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shares issued in the Velodyne Merger</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warrants issued in the Velodyne Merger</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8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liability</w:t>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571 </w:t>
            </w:r>
          </w:p>
        </w:tc>
        <w:tc>
          <w:tcPr>
            <w:tcW w:w="15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OUSTER,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 – Description of Business and Basis of Presentation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Description of Business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Inc. was incorporated in the Cayman Islands on June 4, 2020 as “Colonnade Acquisition Corp.” (“CLA”).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CLA) and its consolidated subsidiaries following the consummation of the Merger.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(the “Merger”) with OTI pursuant to an Agreement and Plan of Merger (the “Merger Agreement”) dated as of December 21, 2020. The Merger was accounted for as a reverse recapitalization, CLA is treated as the “acquired” company for financial reporting purposes.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intangible assets are recorded. Transactions and balances prior to the Merger are those of OTI.</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completed the merger with Velodyne Lidar, Inc., a Delaware corporation (“Velodyne”) pursuant to the terms of the Agreement and Plan of Merger (the “Velodyne Merger Agreement”) with Velodyne, Oban Merger Sub, Inc. (“Merger Sub I”) and Oban Merger Sub II LLC (“Merger Sub II”) (the “Velodyne Merger”) dated as of November 4, 2022, accounted for as a business combination with the Company being an accounting acquiror (Note 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Principles of Consolidation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accounts of the Company and its subsidiaries (all of which are wholly owned) and have been prepared in conformity with U.S. generally accepted accounting principles (“US GAAP”) applicable to interim periods. All intercompany balances and transactions have been eliminated in consolidation. The presentation of certain prior period amounts has been reclassified to conform with current year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2022 and the notes related thereto, included in the Company’s Annual Report on Form 10-K filed with the Securities and Exchange Commission (“SEC”) on March 24, 2023.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applicable rules and regulations. The results of operations for any interim period are not necessarily indicative of the results to be expected for the year ending December 31, 2023 or for any other future years or interim periods.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6, 2023, the Board of Directors approved a one-for-10 reverse stock split and a corresponding reduction in authorized shares of common stock (the “Reverse Stock Split”). On April 20, 2023, the Company filed with the Secretary of State of the State of Delaware a Certificate of Amendment to its Certificate of Incorporation to effect the one-for-10 Reverse Stock Split of the Company’s common stock and a corresponding reduction in authorized shares of common stock. The par value of the Company’s common stock was not adjusted as a result of the Reverse Stock Split. All share and per share amounts and related stockholders’ equity balances presented herein have been retroactively adjusted to reflect the Reverse Stock Split.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Liquidity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liquidity are its cash and cash equivalents and short-term investments funded through the Merger and the Velodyne Merger, cash generated from revenues, sales of common stock under its at-the market equity offering program and the Loan Agreement with Hercules Capital,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Company’s existing sources of liquidity included cash, cash equivalents and short-term investments of $224.4 million. The Company has incurred losses and negative cash flows from operations for several years. If the Company continues to incur losses in the future, it may need to improve liquidity and raise additional capital through the issuance of equity and/or debt. There can be no assurance that the Company would be able to raise such capital. However, management believes that the Company’s existing sources of liquidity are adequate to fund its operations for at least twelve months from the date the condensed consolidated financial statements were available for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there were no significant changes to the Company’s significant accounting policies as disclosed in the Company’s Annual Report on Form 10-K filed with the SEC on March 24, 2023, except for the changes described below. The Company has consistently applied the accounting policies to all periods presented in these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Identify the contract with a customer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contract with a customer exists when the 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judgement in determining the customer’s ability and intent to pay, which is based on a variety of factors, including the customer’s historical payment experience or, in the case of a new customer, credit and financial information pertaining to the customer. Accounts receivable are due under normal trade terms, typically three months or less.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 Identify the performance obligations in the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obligations promised in a contract are identified based on the product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services is separately identifiable from other promises in the contract.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3) Determine the transaction price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price is determined based on the consideration to which the Company expects to be entitled in exchange for transferring product or services to the customer. Royalties from the license of IP are included in the transaction price in the period the sales occur. Other forms of variable consideration are included in the transaction price if the Company judges that it is probable that a significant future reversal of cumulative revenue under the contract will not occur. None of the Company’s contracts contain a significant financing component. All taxes assessed by a governmental authority on a specific revenue-producing transaction collected by the Company from a customer are excluded from the transaction price.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4) Allocate the transaction price to performance obligations in the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the three and six months ended June 30, 2023 and 2022, respectively, the Company did not have a material volume of contracts that required the allocation of transaction price to multiple performance obligations.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5) Recognize revenue when or as the Company satisfies a performance obligation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at the time the related performance obligation is satisfied by transferring the promised product or service to a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comes from product sales of lidar sensors to direct customers and distributors. Revenue is recognized at a point in time when control of the goods is transferred to the customer, generally occurring upon shipment or delivery dependent upon the terms of the underlying contract. Product sales to certain customers may require customer acceptance due to performance acceptance criteria that is considered more than a formality. For these product sales, revenue is recognized upon the expiration of the customer acceptance period. For custom products that require engineering and development based on customer requirements, the Company recognizes revenue over time using an output method based on units of product shipped to date relative to total production units under the contract. Amounts billed to customers for shipping and handling are included in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services revenue consists primarily of product development, validation services and providing maintenance services under our extended warranty contracts. The obligation to provide services is generally satisfied over time, with the customer simultaneously receiving and consuming the benefits as the Company satisfies its performance obligations. For product development and validation service projects, the Company bills and recognizes revenue as the services are performed. For these arrangements, control is transferred over as the Company’s inputs incurred to complete the project; therefore, revenue is recognized over the service period with the measure of progress using the input method based on labor costs incurred to total labor cost (“cost-to-cost”) as the services are provided. The revenue from the sale of extended warranties is recognized over the warranty period on a ratable basis as the Company stands ready to provide services as needed.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licenses rights to its IP to certain customers and collects royalties based on customer’s product sales. IP revenue recognition is dependent on the nature and terms of each agreement. The Company recognizes license revenue upon the later of (a) delivery of the IP or (b) commencement of the license term if there are no substantive future obligations to perform under the arrangement. Revenue for licenses to future technology developed on a when-and-if -available basis is recognized straight-line over the license period as long as customers continue to have access to the future technology. Royalties from the license of IP are recognized at the later of the period the sales occur or the satisfaction of the performance obligation to which some or all of the royalties have been allocated.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standard product warranties for a term of typically one to two years depending on the product to ensure that its products comply with agreed-upon specifications. Standard warranties are considered to be assurance type warranties and are not accounted for as separate performance obligations. The Company also provides service type extended warranties for an additional term ranging up to two additional years. For service type extended warranty contracts, the Company allocates revenue to this performance obligation on a relative standalone selling price basis and recognizes the revenue on a ratable basis over time during the effective period of the services.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to obtain a contract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incremental costs of obtaining a contract when incurred because the amortization period for these costs would be less than one year. These costs primarily relate to sales commissions and are expensed as incurred in sales and marketing expense in the Company’s consolidated statements of operations and comprehensive loss.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are able to terminate for convenience without payment of a substantive penalty under the contract.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investments as available for sale and reports them at fair value, with unrealized gains and losses recorded in accumulated other comprehensive loss. For investments sold prior to maturity, the cost of investments sold is based on the specific identification method. Realized gains and losses on the sale of investments are recorded in other income, net in the condensed consolidated statement of operations.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Amazon Warrant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Amazon Warrant (as defined in Note 7) is accounted for as an equity instrument. To determine the fair value of the Amazon Warrant on its issuance date, the Company used the Black-Scholes option pricing model.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awards granted to a customer, which are not in exchange for distinct goods or services, the fair value of the awards earned based on service or performance conditions is recorded as a reduction of the transaction price. Accordingly, when Amazon purchases goods or services and vesting conditions become probable of being achieved, the Company records a non-cash stock-based reduction to revenue associated with the Amazon Warrant, which is calculated based on the fair value of the Amazon Warrant shares as of the Velodyne Merger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referenced below were assessed and determined to be either not applicable or are not expected to have a material impact on the Company’s condensed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credit risk consist primarily of cash, cash equivalents, restricted cash, short-term investments and accounts receivable. Cash, cash equivalents, restricted cash and short-term investments are deposited with federally insured commercial banks. At times, cash balances in the U.S. may be in excess of federal insurance limits. As of June 30, 2023 and December 31, 2022, the Company had cash, cash equivalents and restricted cash with financial institutions in the U.S. of $89.8 million and $123.5 million, respectively. As of June 30, 2023 and December 31, 2022, the Company also had cash on deposit with financial institutions in countries other than the U.S. of approximately $3.2 million and $0.8 million, respectively, that was not federally insured.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generally does not require collateral or other security deposits for accounts receivable.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from the Company’s major customers representing 10% or more of total accounts receivable was as follows: </w:t>
      </w:r>
    </w:p>
    <w:tbl>
      <w:tblPr>
        <w:tblW w:w="3177" w:type="dxa"/>
        <w:jc w:val="left"/>
        <w:tblInd w:w="0" w:type="dxa"/>
        <w:tblLayout w:type="fixed"/>
        <w:tblCellMar>
          <w:top w:w="28" w:type="dxa"/>
          <w:left w:w="28" w:type="dxa"/>
          <w:bottom w:w="28" w:type="dxa"/>
          <w:right w:w="28" w:type="dxa"/>
        </w:tblCellMar>
      </w:tblPr>
      <w:tblGrid>
        <w:gridCol w:w="359"/>
        <w:gridCol w:w="315"/>
        <w:gridCol w:w="316"/>
        <w:gridCol w:w="165"/>
        <w:gridCol w:w="166"/>
        <w:gridCol w:w="389"/>
        <w:gridCol w:w="109"/>
        <w:gridCol w:w="109"/>
        <w:gridCol w:w="109"/>
        <w:gridCol w:w="334"/>
        <w:gridCol w:w="334"/>
        <w:gridCol w:w="472"/>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accounted for less than 10% of total accounts receivable in the period.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customer accounted for more than 10% of the total revenue in the three and six month ended June 30,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Concentrations of Supplier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from the Company’s major suppliers representing 10% or more of total purchases were as follows: </w:t>
      </w:r>
    </w:p>
    <w:p>
      <w:pPr>
        <w:pStyle w:val="TextBody"/>
        <w:bidi w:val="0"/>
        <w:spacing w:before="0" w:after="0"/>
        <w:jc w:val="left"/>
        <w:rPr/>
      </w:pPr>
      <w:r>
        <w:rPr/>
      </w:r>
    </w:p>
    <w:tbl>
      <w:tblPr>
        <w:tblW w:w="5731" w:type="dxa"/>
        <w:jc w:val="left"/>
        <w:tblInd w:w="0" w:type="dxa"/>
        <w:tblLayout w:type="fixed"/>
        <w:tblCellMar>
          <w:top w:w="28" w:type="dxa"/>
          <w:left w:w="28" w:type="dxa"/>
          <w:bottom w:w="28" w:type="dxa"/>
          <w:right w:w="28" w:type="dxa"/>
        </w:tblCellMar>
      </w:tblPr>
      <w:tblGrid>
        <w:gridCol w:w="359"/>
        <w:gridCol w:w="315"/>
        <w:gridCol w:w="316"/>
        <w:gridCol w:w="189"/>
        <w:gridCol w:w="189"/>
        <w:gridCol w:w="470"/>
        <w:gridCol w:w="189"/>
        <w:gridCol w:w="189"/>
        <w:gridCol w:w="189"/>
        <w:gridCol w:w="189"/>
        <w:gridCol w:w="189"/>
        <w:gridCol w:w="470"/>
        <w:gridCol w:w="109"/>
        <w:gridCol w:w="109"/>
        <w:gridCol w:w="109"/>
        <w:gridCol w:w="180"/>
        <w:gridCol w:w="181"/>
        <w:gridCol w:w="424"/>
        <w:gridCol w:w="170"/>
        <w:gridCol w:w="170"/>
        <w:gridCol w:w="170"/>
        <w:gridCol w:w="180"/>
        <w:gridCol w:w="181"/>
        <w:gridCol w:w="49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A</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B</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*Accounted for less than 10% of total purchases.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to the Company’s major suppliers and professional services vendors representing 10% or more of total accounts payable were as follows:</w:t>
      </w:r>
    </w:p>
    <w:tbl>
      <w:tblPr>
        <w:tblW w:w="6087" w:type="dxa"/>
        <w:jc w:val="left"/>
        <w:tblInd w:w="0" w:type="dxa"/>
        <w:tblLayout w:type="fixed"/>
        <w:tblCellMar>
          <w:top w:w="28" w:type="dxa"/>
          <w:left w:w="28" w:type="dxa"/>
          <w:bottom w:w="28" w:type="dxa"/>
          <w:right w:w="28" w:type="dxa"/>
        </w:tblCellMar>
      </w:tblPr>
      <w:tblGrid>
        <w:gridCol w:w="961"/>
        <w:gridCol w:w="843"/>
        <w:gridCol w:w="851"/>
        <w:gridCol w:w="250"/>
        <w:gridCol w:w="250"/>
        <w:gridCol w:w="624"/>
        <w:gridCol w:w="109"/>
        <w:gridCol w:w="109"/>
        <w:gridCol w:w="109"/>
        <w:gridCol w:w="334"/>
        <w:gridCol w:w="334"/>
        <w:gridCol w:w="832"/>
        <w:gridCol w:w="109"/>
        <w:gridCol w:w="109"/>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A</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B</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Vendor A</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*Accounted for less than 10% of total accounts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Business Combination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completed the Velodyne Merger. Velodyne shares ceased trading on the Nasdaq Stock Market LLC after market close on February 10, 2023, and each Velodyne share was exchanged for 0.8204 shares of the Company’s common stock. Velodyne is treated as the acquired company for financial reporting purposes. This determination is primarily based on the Company’s senior management prior to Velodyne Merger comprising a majority of the senior management of the Company following Velodyne Merger, the Company being the initiator of acquiring Velodyne and the Company being the party issuing shares in the Velodyne Merger. The acquisition price for the Velodyne Merger was $306.6 million, primarily consisting of fair value of the Company’s common stock issued in exchange for Velodyne shares and fair value of the Amazon Warrant (Note 7) of $8.6 million. Through June 30, 2023, transaction costs incurred by the Company in connection with the Velodyne Merger, including professional fees, were $13.0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acquisition method of accounting in accordance with ASC 805, the total purchase price was allocated to identifiable tangible and intangible assets acquired and liabilities assumed based on their respective estimated fair values using management’s best estimates and assumptions to assign fair value as of the acquisition date. The following table provides the assets acquired and liabilities assumed as of the date of acquisition (in thousands):</w:t>
      </w:r>
    </w:p>
    <w:tbl>
      <w:tblPr>
        <w:tblW w:w="6284" w:type="dxa"/>
        <w:jc w:val="left"/>
        <w:tblInd w:w="0" w:type="dxa"/>
        <w:tblLayout w:type="fixed"/>
        <w:tblCellMar>
          <w:top w:w="28" w:type="dxa"/>
          <w:left w:w="28" w:type="dxa"/>
          <w:bottom w:w="28" w:type="dxa"/>
          <w:right w:w="28" w:type="dxa"/>
        </w:tblCellMar>
      </w:tblPr>
      <w:tblGrid>
        <w:gridCol w:w="1665"/>
        <w:gridCol w:w="1458"/>
        <w:gridCol w:w="1466"/>
        <w:gridCol w:w="306"/>
        <w:gridCol w:w="1149"/>
        <w:gridCol w:w="240"/>
      </w:tblGrid>
      <w:tr>
        <w:trPr/>
        <w:tc>
          <w:tcPr>
            <w:tcW w:w="166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consideration</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306,602 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Preliminary amounts of identifiable assets and liabilities assumed</w:t>
            </w:r>
          </w:p>
        </w:tc>
        <w:tc>
          <w:tcPr>
            <w:tcW w:w="16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32,137 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155,031 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Unbilled receivable, long-term portion</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(32,821)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liability, current portion</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liability, long-term portion</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 liabilities, long-term portion</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identifiable net assets</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191,079 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115,523 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306,602 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acquisition method of accounting in accordance with ASC 805, the total purchase price was allocated to identifiable tangible and intangible assets acquired and liabilities assumed based on their estimated fair values using management’s best estimates and assumptions to assign fair value as of the acquisition date. The initial purchase accounting, including the identification and allocation of consideration to assets acquired, is not complete and the preliminary purchase price allocation is subject to further adjustment as additional information becomes available and as additional analyses and final valuations are completed.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Identified intangible assets acquired and their estimated useful lives as of February 10, 2023, were (in thousands, except years):</w:t>
      </w:r>
    </w:p>
    <w:tbl>
      <w:tblPr>
        <w:tblW w:w="7106" w:type="dxa"/>
        <w:jc w:val="left"/>
        <w:tblInd w:w="0" w:type="dxa"/>
        <w:tblLayout w:type="fixed"/>
        <w:tblCellMar>
          <w:top w:w="28" w:type="dxa"/>
          <w:left w:w="28" w:type="dxa"/>
          <w:bottom w:w="28" w:type="dxa"/>
          <w:right w:w="28" w:type="dxa"/>
        </w:tblCellMar>
      </w:tblPr>
      <w:tblGrid>
        <w:gridCol w:w="1049"/>
        <w:gridCol w:w="920"/>
        <w:gridCol w:w="925"/>
        <w:gridCol w:w="640"/>
        <w:gridCol w:w="640"/>
        <w:gridCol w:w="641"/>
        <w:gridCol w:w="109"/>
        <w:gridCol w:w="109"/>
        <w:gridCol w:w="109"/>
        <w:gridCol w:w="381"/>
        <w:gridCol w:w="1305"/>
        <w:gridCol w:w="278"/>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 Hardware</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 Software</w:t>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relates to Velodyne’s lidar sensors and BlueCity AI software used to monitor traffic networks and public spaces. The Company valued the hardware developed technology using the relief-from-royalty method under the income approach. Software developed technology was valued using the excess earnings method. The economic useful life was determined based on the technology cycle related to each developed technology, as well as the cash flows over the forecasted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customer relationships was determined using the distributor method with the estimated useful life of 8 years that approximates the pattern in which the economic benefits are expected to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inventory was determined using the comparative sales method, which estimated the expected sales price of the product, reduced by all costs expected to be incurred to complete or dispose of the inventory, as well as a profit on the sale.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property and equipment utilized a replacement cost method incorporating the age, quality and condition of the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consideration and the fair value of identifiable assets acquired and liabilities assumed at the acquisition date over the fair value of net tangible and identified intangible assets acquired was recorded as goodwill, which is not deductible for tax purposes. Goodwill is primarily attributable to the assembled workforce and the anticipated operational synergies at the time of the Velodyne Merger.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 of operations as of June 30, 2023, includes Velodyne revenue of $13.4 million for the period from the acquisition date of February 10, 2023 to June 30, 2023. Due to the continued integration of the combined businesses, it was impractical to determine the earnings.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information below presents the combined historical results of operations of the Company and Velodyne as if the Velodyne Merger had been completed as of January 1, 2022 (in thousands):</w:t>
      </w:r>
    </w:p>
    <w:p>
      <w:pPr>
        <w:pStyle w:val="TextBody"/>
        <w:bidi w:val="0"/>
        <w:spacing w:before="0" w:after="0"/>
        <w:jc w:val="left"/>
        <w:rPr/>
      </w:pPr>
      <w:r>
        <w:rPr/>
      </w:r>
    </w:p>
    <w:tbl>
      <w:tblPr>
        <w:tblW w:w="6241" w:type="dxa"/>
        <w:jc w:val="left"/>
        <w:tblInd w:w="0" w:type="dxa"/>
        <w:tblLayout w:type="fixed"/>
        <w:tblCellMar>
          <w:top w:w="28" w:type="dxa"/>
          <w:left w:w="28" w:type="dxa"/>
          <w:bottom w:w="28" w:type="dxa"/>
          <w:right w:w="28" w:type="dxa"/>
        </w:tblCellMar>
      </w:tblPr>
      <w:tblGrid>
        <w:gridCol w:w="304"/>
        <w:gridCol w:w="268"/>
        <w:gridCol w:w="269"/>
        <w:gridCol w:w="196"/>
        <w:gridCol w:w="811"/>
        <w:gridCol w:w="109"/>
        <w:gridCol w:w="109"/>
        <w:gridCol w:w="109"/>
        <w:gridCol w:w="109"/>
        <w:gridCol w:w="196"/>
        <w:gridCol w:w="721"/>
        <w:gridCol w:w="109"/>
        <w:gridCol w:w="109"/>
        <w:gridCol w:w="109"/>
        <w:gridCol w:w="109"/>
        <w:gridCol w:w="196"/>
        <w:gridCol w:w="811"/>
        <w:gridCol w:w="109"/>
        <w:gridCol w:w="109"/>
        <w:gridCol w:w="109"/>
        <w:gridCol w:w="109"/>
        <w:gridCol w:w="196"/>
        <w:gridCol w:w="81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information above includes the following adjustments to net loss in the appropriate pro forma periods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71"/>
        <w:gridCol w:w="1762"/>
        <w:gridCol w:w="1773"/>
        <w:gridCol w:w="221"/>
        <w:gridCol w:w="459"/>
        <w:gridCol w:w="122"/>
        <w:gridCol w:w="122"/>
        <w:gridCol w:w="122"/>
        <w:gridCol w:w="122"/>
        <w:gridCol w:w="221"/>
        <w:gridCol w:w="524"/>
        <w:gridCol w:w="122"/>
        <w:gridCol w:w="109"/>
        <w:gridCol w:w="109"/>
        <w:gridCol w:w="109"/>
        <w:gridCol w:w="196"/>
        <w:gridCol w:w="648"/>
        <w:gridCol w:w="109"/>
        <w:gridCol w:w="109"/>
        <w:gridCol w:w="109"/>
        <w:gridCol w:w="109"/>
        <w:gridCol w:w="196"/>
        <w:gridCol w:w="597"/>
        <w:gridCol w:w="164"/>
      </w:tblGrid>
      <w:tr>
        <w:trPr/>
        <w:tc>
          <w:tcPr>
            <w:tcW w:w="2071"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 increase in amortization expense related to the fair value of acquired identifiable intangible assets, net of the amortization expense already reflected in actual historical results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 decrease (increase) in expenses related to the transaction expenses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 net increase in revenue related to the impact of the acceleration of the Amazon Warrant vesting recognized by Velodyne at the close of the Velodyne Merger transaction</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 decrease in expenses related to the impact of the acceleration of the Amazon Warrant vesting recognized by Velodyne at the close of the Velodyne Merger transaction</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decrease (increase) in additional stock-based compensation expense related to Ouster employee terminations due to change in control.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a decrease (increase) in severance expense in connection with the Velodyne Merger transaction</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information has been presented for illustrative purposes only and is not necessarily indicative of results of operations that would have been achieved had the Velodyne Merger taken place on the date indicated, or of the Company’s future consolidated results of operations. The supplemental pro forma information presented above has been derived from the Company’s historical consolidated financial statements and from historical consolidated financial statements and the historical accounting records of Velodyne.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Fair Value of Financial Instruments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by level for the Company’s assets and liabilities that were measured at fair value on a recurring basis (in thousands): </w:t>
      </w:r>
    </w:p>
    <w:tbl>
      <w:tblPr>
        <w:tblW w:w="9600" w:type="dxa"/>
        <w:jc w:val="left"/>
        <w:tblInd w:w="0" w:type="dxa"/>
        <w:tblLayout w:type="fixed"/>
        <w:tblCellMar>
          <w:top w:w="28" w:type="dxa"/>
          <w:left w:w="28" w:type="dxa"/>
          <w:bottom w:w="28" w:type="dxa"/>
          <w:right w:w="28" w:type="dxa"/>
        </w:tblCellMar>
      </w:tblPr>
      <w:tblGrid>
        <w:gridCol w:w="1631"/>
        <w:gridCol w:w="1435"/>
        <w:gridCol w:w="144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and U.S. government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74" w:type="dxa"/>
        <w:jc w:val="left"/>
        <w:tblInd w:w="0" w:type="dxa"/>
        <w:tblLayout w:type="fixed"/>
        <w:tblCellMar>
          <w:top w:w="28" w:type="dxa"/>
          <w:left w:w="28" w:type="dxa"/>
          <w:bottom w:w="28" w:type="dxa"/>
          <w:right w:w="28" w:type="dxa"/>
        </w:tblCellMar>
      </w:tblPr>
      <w:tblGrid>
        <w:gridCol w:w="775"/>
        <w:gridCol w:w="680"/>
        <w:gridCol w:w="68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are included within Level 1 of the fair value hierarchy because they are valued using quoted market prices.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corporate debt and U.S. government agency securities are included within Level 2 of the fair value hierarchy because they are valued using inputs other than quoted prices that are directly or indirectly observable in the market, including readily available pricing sources for the identical underlying security which may not be actively traded.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warrant liabilities from the private placement warrants issued by CLA (“Private Placement warrants”)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summary of the changes in the fair value of the Company’s Level 3 financial instruments (in thousands): </w:t>
      </w:r>
    </w:p>
    <w:tbl>
      <w:tblPr>
        <w:tblW w:w="7057" w:type="dxa"/>
        <w:jc w:val="left"/>
        <w:tblInd w:w="0" w:type="dxa"/>
        <w:tblLayout w:type="fixed"/>
        <w:tblCellMar>
          <w:top w:w="28" w:type="dxa"/>
          <w:left w:w="28" w:type="dxa"/>
          <w:bottom w:w="28" w:type="dxa"/>
          <w:right w:w="28" w:type="dxa"/>
        </w:tblCellMar>
      </w:tblPr>
      <w:tblGrid>
        <w:gridCol w:w="1629"/>
        <w:gridCol w:w="1431"/>
        <w:gridCol w:w="1440"/>
        <w:gridCol w:w="109"/>
        <w:gridCol w:w="109"/>
        <w:gridCol w:w="503"/>
        <w:gridCol w:w="1469"/>
        <w:gridCol w:w="367"/>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Private Placement Warrant Liability</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included in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the fair value included in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 Measurements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assets, including goodwill and other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Disclosure of Fair Values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are not re-measured at fair value include accounts receivable, accounts payable, accrued and other current liabilities and debt. The carrying values of these financial instruments approximate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 Balance Sheet Components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Cash Equivalents and Short-Term Investments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consist of the following (in thousands): </w:t>
      </w:r>
    </w:p>
    <w:tbl>
      <w:tblPr>
        <w:tblW w:w="5259" w:type="dxa"/>
        <w:jc w:val="left"/>
        <w:tblInd w:w="0" w:type="dxa"/>
        <w:tblLayout w:type="fixed"/>
        <w:tblCellMar>
          <w:top w:w="28" w:type="dxa"/>
          <w:left w:w="28" w:type="dxa"/>
          <w:bottom w:w="28" w:type="dxa"/>
          <w:right w:w="28" w:type="dxa"/>
        </w:tblCellMar>
      </w:tblPr>
      <w:tblGrid>
        <w:gridCol w:w="976"/>
        <w:gridCol w:w="855"/>
        <w:gridCol w:w="869"/>
        <w:gridCol w:w="211"/>
        <w:gridCol w:w="721"/>
        <w:gridCol w:w="109"/>
        <w:gridCol w:w="109"/>
        <w:gridCol w:w="109"/>
        <w:gridCol w:w="109"/>
        <w:gridCol w:w="211"/>
        <w:gridCol w:w="826"/>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 Company maintains a cash sweep account, which is included in money market funds as of June 30, 2023 and December 31, 2022. Cash is invested in short-term money market funds that earn interest. </w:t>
      </w:r>
    </w:p>
    <w:p>
      <w:pPr>
        <w:pStyle w:val="TextBody"/>
        <w:bidi w:val="0"/>
        <w:spacing w:lineRule="auto" w:line="288" w:before="120" w:after="283"/>
        <w:jc w:val="left"/>
        <w:rPr/>
      </w:pPr>
      <w:r>
        <w:rPr>
          <w:rFonts w:ascii="Times New Roman;sans-serif" w:hAnsi="Times New Roman;sans-serif"/>
          <w:b w:val="false"/>
          <w:color w:val="000000"/>
          <w:sz w:val="20"/>
        </w:rPr>
        <w:t>The Company acquired short-term investments consisting of commercial paper, corporate debt and U.S. government agency securities as a result of the merger with Velodyne that closed on February 10, 2023 (see</w:t>
      </w:r>
      <w:r>
        <w:rPr>
          <w:color w:val="000000"/>
        </w:rPr>
        <w:t xml:space="preserve"> </w:t>
      </w:r>
      <w:r>
        <w:rPr>
          <w:rFonts w:ascii="Times New Roman;sans-serif" w:hAnsi="Times New Roman;sans-serif"/>
          <w:b w:val="false"/>
          <w:color w:val="000000"/>
          <w:sz w:val="20"/>
        </w:rPr>
        <w:t>Note 3). Short-term investments were $133.2 million as of June 30, 2023. Unrealized gains and losses on the Company’s short-term investments were not significant as of June 30, 2023 and therefore, the amortized cost of the Company’s short-term investments approximated their fair value.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collateral to merchant credit card and certificates of deposit held by a bank as security for outstanding letters of credit. The Company had a restricted cash balance of $1.6 million and $1.3 million as of June 30, 2023 and December 31, 2022, respectively, which has been excluded from the Company’s cash and cash equivalents balances. The Company presented $0.5 million and $0.3 million of the total amount of restricted cash within current assets on the condensed consolidated balance sheets as of June 30, 2023 and December 31, 2022, respectively. The remaining restricted cash balance of $1.1 million and $1.1 million is included in non-current assets on the condensed consolidated balance sheets as of June 30, 2023 and December 31, 2022,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in the condensed consolidated balance sheets to the amounts reported in the condensed consolidated statements of cash flows (in thousands):</w:t>
      </w:r>
    </w:p>
    <w:tbl>
      <w:tblPr>
        <w:tblW w:w="6504" w:type="dxa"/>
        <w:jc w:val="left"/>
        <w:tblInd w:w="0" w:type="dxa"/>
        <w:tblLayout w:type="fixed"/>
        <w:tblCellMar>
          <w:top w:w="28" w:type="dxa"/>
          <w:left w:w="28" w:type="dxa"/>
          <w:bottom w:w="28" w:type="dxa"/>
          <w:right w:w="28" w:type="dxa"/>
        </w:tblCellMar>
      </w:tblPr>
      <w:tblGrid>
        <w:gridCol w:w="1429"/>
        <w:gridCol w:w="1254"/>
        <w:gridCol w:w="1262"/>
        <w:gridCol w:w="211"/>
        <w:gridCol w:w="721"/>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consisting of material, direct and indirect labor, and manufacturing overhead, consists of the following (in thousands): </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inventory balance as of June 30, 2023 includes remaining inventory balance acquired as part of Velodyne Merger at its fair value as of February 10, 2023.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Current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w:t>
      </w:r>
    </w:p>
    <w:tbl>
      <w:tblPr>
        <w:tblW w:w="5778" w:type="dxa"/>
        <w:jc w:val="left"/>
        <w:tblInd w:w="0" w:type="dxa"/>
        <w:tblLayout w:type="fixed"/>
        <w:tblCellMar>
          <w:top w:w="28" w:type="dxa"/>
          <w:left w:w="28" w:type="dxa"/>
          <w:bottom w:w="28" w:type="dxa"/>
          <w:right w:w="28" w:type="dxa"/>
        </w:tblCellMar>
      </w:tblPr>
      <w:tblGrid>
        <w:gridCol w:w="1185"/>
        <w:gridCol w:w="1038"/>
        <w:gridCol w:w="1047"/>
        <w:gridCol w:w="211"/>
        <w:gridCol w:w="721"/>
        <w:gridCol w:w="109"/>
        <w:gridCol w:w="109"/>
        <w:gridCol w:w="109"/>
        <w:gridCol w:w="109"/>
        <w:gridCol w:w="245"/>
        <w:gridCol w:w="716"/>
        <w:gridCol w:w="179"/>
      </w:tblGrid>
      <w:tr>
        <w:trPr/>
        <w:tc>
          <w:tcPr>
            <w:tcW w:w="118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 from contract manufacturer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prepaid expenses included a $2.0 million prepayment made by the Company to a contract manufacturer for the purchase of inventories which the Company expects to be converted to finished goods.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consists of the following (in thousands): </w:t>
      </w:r>
    </w:p>
    <w:tbl>
      <w:tblPr>
        <w:tblW w:w="8520" w:type="dxa"/>
        <w:jc w:val="left"/>
        <w:tblInd w:w="0" w:type="dxa"/>
        <w:tblLayout w:type="fixed"/>
        <w:tblCellMar>
          <w:top w:w="28" w:type="dxa"/>
          <w:left w:w="28" w:type="dxa"/>
          <w:bottom w:w="28" w:type="dxa"/>
          <w:right w:w="28" w:type="dxa"/>
        </w:tblCellMar>
      </w:tblPr>
      <w:tblGrid>
        <w:gridCol w:w="1036"/>
        <w:gridCol w:w="911"/>
        <w:gridCol w:w="917"/>
        <w:gridCol w:w="939"/>
        <w:gridCol w:w="939"/>
        <w:gridCol w:w="943"/>
        <w:gridCol w:w="109"/>
        <w:gridCol w:w="109"/>
        <w:gridCol w:w="109"/>
        <w:gridCol w:w="211"/>
        <w:gridCol w:w="721"/>
        <w:gridCol w:w="109"/>
        <w:gridCol w:w="109"/>
        <w:gridCol w:w="109"/>
        <w:gridCol w:w="109"/>
        <w:gridCol w:w="245"/>
        <w:gridCol w:w="716"/>
        <w:gridCol w:w="179"/>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and vehicle hardware</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associated with property and equipment was $6.3 million and $2.5 million during the six months ended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aggregate purchase price over the fair value of net identifiable assets acquired in a business combinations. The following table displays the changes in the carrying amount of goodwill (in thousands):</w:t>
      </w:r>
    </w:p>
    <w:tbl>
      <w:tblPr>
        <w:tblW w:w="4985" w:type="dxa"/>
        <w:jc w:val="left"/>
        <w:tblInd w:w="0" w:type="dxa"/>
        <w:tblLayout w:type="fixed"/>
        <w:tblCellMar>
          <w:top w:w="28" w:type="dxa"/>
          <w:left w:w="28" w:type="dxa"/>
          <w:bottom w:w="28" w:type="dxa"/>
          <w:right w:w="28" w:type="dxa"/>
        </w:tblCellMar>
      </w:tblPr>
      <w:tblGrid>
        <w:gridCol w:w="1412"/>
        <w:gridCol w:w="1242"/>
        <w:gridCol w:w="1245"/>
        <w:gridCol w:w="211"/>
        <w:gridCol w:w="72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Goodwill</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addition related to Velodyne Merger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 June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not amortized and is tested for impairment on an annual basis or whenever events or changes in circumstances indicate that the carrying value may not be recoverable. Since February 10, 2023, the date of the Velodyne Merger, the Company experienced a significant decline in its stock price. This decline resulted in the total market value of its shares of stock outstanding (“market capitalization”) being less than the carrying value of its reporting unit as of March 31, 2023 and June 30, 2023. The Company also considered the impact of current macroeconomic conditions in the lidar sensor industry that potentially impact the fair value of the Company’s reporting unit. The macroeconomic conditions considered include deterioration in the equity markets evidenced by sustained declines in the Company’s stock price, those of its peers, along with an increase in the weighted-average cost of capital primarily driven by an increase in interest rates. After considering all available evidence in the evaluation of goodwill impairment indicators, the Company determined it was appropriate to perform an interim quantitative assessment of its goodwill as of March 31, 2023 and June 30, 2023. In connection with the Company’s interim goodwill impairment assessments the Company recorded goodwill impairment charges of approximately $99.4 million in the three months ended March 31, 2023 and $67.3 million in the three months ended June 30, 2023. The Company’s goodwill impairment analysis included a comparison of the aggregate estimated fair value of our reporting unit to our total market capitalization.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remaining goodwill balance was nil. No goodwill impairment charges were recognized during the year ended December 31, 2022.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present acquired intangible assets, net as of June 30, 2023 and December 31, 2022 (in thousands):</w:t>
      </w:r>
    </w:p>
    <w:tbl>
      <w:tblPr>
        <w:tblW w:w="9831" w:type="dxa"/>
        <w:jc w:val="left"/>
        <w:tblInd w:w="0" w:type="dxa"/>
        <w:tblLayout w:type="fixed"/>
        <w:tblCellMar>
          <w:top w:w="28" w:type="dxa"/>
          <w:left w:w="28" w:type="dxa"/>
          <w:bottom w:w="28" w:type="dxa"/>
          <w:right w:w="28" w:type="dxa"/>
        </w:tblCellMar>
      </w:tblPr>
      <w:tblGrid>
        <w:gridCol w:w="723"/>
        <w:gridCol w:w="634"/>
        <w:gridCol w:w="638"/>
        <w:gridCol w:w="550"/>
        <w:gridCol w:w="550"/>
        <w:gridCol w:w="551"/>
        <w:gridCol w:w="109"/>
        <w:gridCol w:w="109"/>
        <w:gridCol w:w="109"/>
        <w:gridCol w:w="374"/>
        <w:gridCol w:w="1278"/>
        <w:gridCol w:w="193"/>
        <w:gridCol w:w="109"/>
        <w:gridCol w:w="109"/>
        <w:gridCol w:w="109"/>
        <w:gridCol w:w="457"/>
        <w:gridCol w:w="1373"/>
        <w:gridCol w:w="239"/>
        <w:gridCol w:w="109"/>
        <w:gridCol w:w="109"/>
        <w:gridCol w:w="109"/>
        <w:gridCol w:w="250"/>
        <w:gridCol w:w="857"/>
        <w:gridCol w:w="18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relationship</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31" w:type="dxa"/>
        <w:jc w:val="left"/>
        <w:tblInd w:w="0" w:type="dxa"/>
        <w:tblLayout w:type="fixed"/>
        <w:tblCellMar>
          <w:top w:w="28" w:type="dxa"/>
          <w:left w:w="28" w:type="dxa"/>
          <w:bottom w:w="28" w:type="dxa"/>
          <w:right w:w="28" w:type="dxa"/>
        </w:tblCellMar>
      </w:tblPr>
      <w:tblGrid>
        <w:gridCol w:w="723"/>
        <w:gridCol w:w="634"/>
        <w:gridCol w:w="638"/>
        <w:gridCol w:w="550"/>
        <w:gridCol w:w="550"/>
        <w:gridCol w:w="551"/>
        <w:gridCol w:w="109"/>
        <w:gridCol w:w="109"/>
        <w:gridCol w:w="109"/>
        <w:gridCol w:w="374"/>
        <w:gridCol w:w="1278"/>
        <w:gridCol w:w="193"/>
        <w:gridCol w:w="109"/>
        <w:gridCol w:w="109"/>
        <w:gridCol w:w="109"/>
        <w:gridCol w:w="457"/>
        <w:gridCol w:w="1373"/>
        <w:gridCol w:w="239"/>
        <w:gridCol w:w="109"/>
        <w:gridCol w:w="109"/>
        <w:gridCol w:w="109"/>
        <w:gridCol w:w="250"/>
        <w:gridCol w:w="857"/>
        <w:gridCol w:w="18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relationship</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$3.2 million and $2.2 million during the six months ended June 30, 2023 and 2022,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estimated future amortization expense of finite-lived intangible assets-net (in thousands):</w:t>
      </w:r>
    </w:p>
    <w:p>
      <w:pPr>
        <w:pStyle w:val="TextBody"/>
        <w:bidi w:val="0"/>
        <w:spacing w:before="0" w:after="0"/>
        <w:jc w:val="left"/>
        <w:rPr/>
      </w:pPr>
      <w:r>
        <w:rPr/>
      </w:r>
    </w:p>
    <w:tbl>
      <w:tblPr>
        <w:tblW w:w="3576" w:type="dxa"/>
        <w:jc w:val="left"/>
        <w:tblInd w:w="0" w:type="dxa"/>
        <w:tblLayout w:type="fixed"/>
        <w:tblCellMar>
          <w:top w:w="28" w:type="dxa"/>
          <w:left w:w="28" w:type="dxa"/>
          <w:bottom w:w="28" w:type="dxa"/>
          <w:right w:w="28" w:type="dxa"/>
        </w:tblCellMar>
      </w:tblPr>
      <w:tblGrid>
        <w:gridCol w:w="901"/>
        <w:gridCol w:w="789"/>
        <w:gridCol w:w="800"/>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(the 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and Other Current Liabilities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and other current liabilities consist of the following (in thousands): </w:t>
      </w:r>
    </w:p>
    <w:tbl>
      <w:tblPr>
        <w:tblW w:w="5987" w:type="dxa"/>
        <w:jc w:val="left"/>
        <w:tblInd w:w="0" w:type="dxa"/>
        <w:tblLayout w:type="fixed"/>
        <w:tblCellMar>
          <w:top w:w="28" w:type="dxa"/>
          <w:left w:w="28" w:type="dxa"/>
          <w:bottom w:w="28" w:type="dxa"/>
          <w:right w:w="28" w:type="dxa"/>
        </w:tblCellMar>
      </w:tblPr>
      <w:tblGrid>
        <w:gridCol w:w="1261"/>
        <w:gridCol w:w="1106"/>
        <w:gridCol w:w="1113"/>
        <w:gridCol w:w="211"/>
        <w:gridCol w:w="721"/>
        <w:gridCol w:w="109"/>
        <w:gridCol w:w="109"/>
        <w:gridCol w:w="109"/>
        <w:gridCol w:w="109"/>
        <w:gridCol w:w="221"/>
        <w:gridCol w:w="757"/>
        <w:gridCol w:w="161"/>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Uninvoiced receipts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6. Debt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Loan and Security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entered into the Loan Agreement with Hercules Capital, Inc. (“Hercules”). The Loan Agreement provides the Company with a term loan facility of up to $50.0 million, subject to certain terms and conditions. The Company borrowed the initial tranche of $20.0 million on April 29, 2022. On October 17, 2022, the Company borrowed an additional $20.0 million. As of June 30, 2023, the Company did not achieve certain conditions relating to trailing twelve month revenue and profit milestones under the Loan Agreement therefore an additional $10.0 million is no longer available to the Company.</w:t>
      </w:r>
    </w:p>
    <w:p>
      <w:pPr>
        <w:pStyle w:val="TextBody"/>
        <w:bidi w:val="0"/>
        <w:spacing w:lineRule="auto" w:line="288" w:before="120" w:after="283"/>
        <w:jc w:val="left"/>
        <w:rPr/>
      </w:pPr>
      <w:r>
        <w:rPr>
          <w:rFonts w:ascii="Times New Roman;sans-serif" w:hAnsi="Times New Roman;sans-serif"/>
          <w:b w:val="false"/>
          <w:color w:val="000000"/>
          <w:sz w:val="20"/>
        </w:rPr>
        <w:t xml:space="preserve">As amended, the Loan Agreement includes a minimum liquidity financial covenant whereby the Company must maintain at least </w:t>
      </w:r>
      <w:r>
        <w:rPr>
          <w:rFonts w:ascii="Times New Roman;sans-serif" w:hAnsi="Times New Roman;sans-serif"/>
          <w:b w:val="false"/>
          <w:color w:val="000000"/>
          <w:sz w:val="20"/>
          <w:shd w:fill="FFFFFF" w:val="clear"/>
        </w:rPr>
        <w:t>$60.0 million</w:t>
      </w:r>
      <w:r>
        <w:rPr>
          <w:color w:val="000000"/>
        </w:rPr>
        <w:t xml:space="preserve"> </w:t>
      </w:r>
      <w:r>
        <w:rPr>
          <w:rFonts w:ascii="Times New Roman;sans-serif" w:hAnsi="Times New Roman;sans-serif"/>
          <w:b w:val="false"/>
          <w:color w:val="000000"/>
          <w:sz w:val="20"/>
        </w:rPr>
        <w:t xml:space="preserve">of cash in deposit accounts that are subject to an account control agreement in favor of Hercules.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the Company entered into the Third Amendment, which amends the Loan Agreement to (i) increase the existing debt baskets for (a) purchase money debt and capital leases and (b) letter of credit obligations, (ii) provide for increased flexibility to maintain cash in non-US accounts, and (iii) provide for increased flexibility to relocate certain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under the Loan Agreement bear interest at the rate of interest equal to greater of either (i) (x) the prime rate as reported in The Wall Street Journal plus (y) 6.15%, and (ii) 9.40%, subject to compliance with financial covenants and other conditions. The Loan Agreement includes covenants, limitations, and events of default customary for similar facilities. The Loan Agreement matures on May 1, 2026.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is 17.9% after giving effect to the debt discount, debt issuance costs and the end of term charge. Amortization expense included in the interest expense related to debt discount and debt issuance costs of the Loan Agreement was not material for the three and six months ended June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amounts borrowed under the Loan Agreement is payable on a monthly basis until June 1, 2025 (the “Amortization Date”). On and as of the Amortization Date, payments consist of equal monthly installments of principal and interest payable until the secured obligations are repaid in full. However, if the Company achieves certain equity proceeds, revenue or profit targets for the twelve-month period ending December 31, 2023, then the Amortization Date will be extended to the Maturity Date. The entire principal balance and all accrued but unpaid interest shall be due and payable on the Maturity Date. On the earliest to occur of May 1, 2026, the date on which the obligations under the Loan Agreement are paid and the date on which such obligations become due and payable, the Company is also required to pay Hercules an end of term fee in an amount equal to 7.45% of the aggregated amount of all Advances made under the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prepay the principal of any advance made pursuant to the terms of the Term Loan Facility at any time subject to a prepayment charge equal to: 2.50%, if such advance is prepaid in any of the first 12 months following the Closing Date, 1.50%, if such advance is prepaid after 12 months but prior to 24 months following the Closing Date, and 1.0%, if such advance is prepaid anytime thereafter.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is in compliance with all financial covenants under the Loan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outstanding is summarized below (in thousands):</w:t>
      </w:r>
    </w:p>
    <w:tbl>
      <w:tblPr>
        <w:tblW w:w="3846" w:type="dxa"/>
        <w:jc w:val="left"/>
        <w:tblInd w:w="0" w:type="dxa"/>
        <w:tblLayout w:type="fixed"/>
        <w:tblCellMar>
          <w:top w:w="28" w:type="dxa"/>
          <w:left w:w="28" w:type="dxa"/>
          <w:bottom w:w="28" w:type="dxa"/>
          <w:right w:w="28" w:type="dxa"/>
        </w:tblCellMar>
      </w:tblPr>
      <w:tblGrid>
        <w:gridCol w:w="998"/>
        <w:gridCol w:w="880"/>
        <w:gridCol w:w="882"/>
        <w:gridCol w:w="211"/>
        <w:gridCol w:w="72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term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debt issuance costs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7. Warrants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Company’s initial public offering (the “IPO”) in August 2020, the sponsor of CLA, Colonnade Sponsor LLC, purchased an aggregate of 600,000 Private Placement warrants at a price of $10.00 per warrant, for an aggregate purchase price of $6,000,000. The Private Placement warrants became exercisable 12 months following the closing of the Company’s IPO, and will expire 5 years from the completion of the Merger, or earlier upon redemption or liquidation. On March 11, 2021, as adjusted to reflect the Reverse Stock Split, each outstanding Private Placement warrant automatically converted into a warrant to purchase one-tenth of a share of Ouster common stock pursuant to the Warrant Agreement. Each 10 Private Placement warrants is exercisable for one share of Ouster common stock at an exercise price of $115.00 per share, with no fractional shares being issuable upon exercise of a warrant.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 liability was remeasured to fair value as of June 30, 2023 and 2022, resulting in a gain of $0.1 million and $7.1 million for the six months ended June 30, 2023 and 2022, respectively, classified within other income, net in the condensed consolidated statements of operations and comprehensive loss. </w:t>
      </w:r>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Private Placement warrants were valued using the following assumptions under the Black-Scholes option-pricing model: </w:t>
      </w:r>
    </w:p>
    <w:tbl>
      <w:tblPr>
        <w:tblW w:w="8389" w:type="dxa"/>
        <w:jc w:val="left"/>
        <w:tblInd w:w="0" w:type="dxa"/>
        <w:tblLayout w:type="fixed"/>
        <w:tblCellMar>
          <w:top w:w="28" w:type="dxa"/>
          <w:left w:w="28" w:type="dxa"/>
          <w:bottom w:w="28" w:type="dxa"/>
          <w:right w:w="28" w:type="dxa"/>
        </w:tblCellMar>
      </w:tblPr>
      <w:tblGrid>
        <w:gridCol w:w="765"/>
        <w:gridCol w:w="671"/>
        <w:gridCol w:w="679"/>
        <w:gridCol w:w="288"/>
        <w:gridCol w:w="842"/>
        <w:gridCol w:w="370"/>
        <w:gridCol w:w="109"/>
        <w:gridCol w:w="109"/>
        <w:gridCol w:w="109"/>
        <w:gridCol w:w="216"/>
        <w:gridCol w:w="631"/>
        <w:gridCol w:w="277"/>
        <w:gridCol w:w="109"/>
        <w:gridCol w:w="109"/>
        <w:gridCol w:w="109"/>
        <w:gridCol w:w="288"/>
        <w:gridCol w:w="842"/>
        <w:gridCol w:w="370"/>
        <w:gridCol w:w="109"/>
        <w:gridCol w:w="109"/>
        <w:gridCol w:w="109"/>
        <w:gridCol w:w="264"/>
        <w:gridCol w:w="509"/>
        <w:gridCol w:w="396"/>
      </w:tblGrid>
      <w:tr>
        <w:trPr/>
        <w:tc>
          <w:tcPr>
            <w:tcW w:w="76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 of warrant</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 in its IPO in August 2020, issued 2,000,000 units that each consisted of one Class A ordinary share and one-half warrant to purchase a Class A ordinary share (the “Public warrants”). The warrants became exercisable 12 months following the closing of the Company’s IPO, and will expire five years from the completion of the Merger, or earlier upon redemption or liquidation. As adjusted for the Reverse Stock Split, each 10 Public warrants is exercisable for one share of Ouster common stock at an exercise price of $115.00 per share, with no fractional shares issuable upon exercise of a warrant. The Public warrants were recognized as equity upon the Merger in the amount of $17.9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their expiration, the Company may redeem the Public warrants at a price of $0.10 per warrant, provided that the closing price of the Company’s common stock equals or exceeds $180.00 per share for any 20 trading days within a 30 trading-day period ending on the third trading day prior to the date on which the Company gives proper notice of such redemption to the warrants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acquired 5,973,170 outstanding public warrants upon closing the Velodyne Merger to purchase shares of the Company’s common stock (the “Velodyne Public warrants”). Each warrant entitles the holder to purchase 0.06153 shares of the Company’s common stock. Each 10 Velodyne Public warrants is exercisable for 0.6153 shares of the Company’s common stock at an exercise price of $140.20 per 0.6153 share of common stock, with no fractional shares being issuable upon exercise of a warrant. The warrants are exercisable at any time and expire in September 2025. The Company may redeem the outstanding warrants in whole and not in part at a price of $0.10 per warrant at any time after they become exercisable, provided that the last sale price of the Company’s common stock equals or exceeds $219.41 per share, subject to adjustments, for any 20-trading days within a 30-trading day period ending three business days prior to the date on which the Company sends the notice of redemption to the warrant holders.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Amazon Warrant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as part of Velodyne Merger, the Company assumed a warrant agreement and a transaction agreement, pursuant to which Velodyne agreed to issue to Amazon.com NV Investment Holdings LLC, a wholly-owned subsidiary of Amazon Inc. (“Amazon”), a warrant to acquire, following customary antidilution adjustments, up to an aggregate of 3,263,898 shares of the Company’s common stock at an exercise price of $50.71 per share (the “Amazon Warrant”).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The Amazon Warrant is subject to vesting; 50% of the unvested Amazon Warrant vested as a result of the Velodyne Merger and the remainder will vest over time based on payments by Amazon or its affiliates to us in connection with Amazon’s purchase of goods and services from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Amazon Warrant shares vest in multiple tranches over time based on payments of up to $100.0 million by Amazon or its affiliates (directly or indirectly through third parties) to the Company in connection with Amazon’s purchase of goods and services. The vested Amazon Warrant portion, representing 1,848,694 shares of Ouster common stock with a fair value of $8.6 million, was included in the Velodyne Merger purchase price consideration on February 10, 2023. The fair value of the unvested Amazon Warrant, representing 1,415,204 unvested Ouster common stock shares with a fair value of $6.5 million, will be recognized as a non-cash stock-based reduction to revenue when Amazon makes payments and vesting conditions become probable of being achieved.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 The Company estimated expected volatility by using historical volatility of the Company’s publicly trading stock for the period commencing on the date of the Merger and ending February 10, 2023 and historical volatility of a group of publicly traded peer companies for the period commencing February 16, 2016 and ending on the date of the Merger.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right to exercise the Amazon Warrant and receive the warrant shares that have vested expires February 4, 2030.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additional Amazon Warrant shares vested during the three months ended June 30, 2023. As of June 30, 2023, there were 1,848,694 Amazon Warrant shares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Letters of Credit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certain office leasehold interests in real property located in San Francisco (350 Treat Ave and, 2741 16th Street) and in Paris,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June 30, 2023 and December 31, 2022. The outstanding amount of the letters of credit was $1.4 million and $1.3 million as of June 30, 2023 and December 31, 2022,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Non-Cancelable Purchase Commitments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non-cancelable purchase commitments to third-party contract manufacturers for approximately $25.3 million and other vendors for approximately $4.8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arising in the ordinary course of business. The Company accrues a liability when a loss is considered probable and the amount can be reasonably estimated. Legal fees are expensed as incurred. The Company has identified certain claims as a result of which a loss may be incurred, but in the aggregate any loss is expected to be immaterial. This assessment is based on our current understanding of relevant facts and circumstances. As such, our view of these matters is subject to inherent uncertainties and may change in the future. Significant judgment is required in both the determination of probability and the determination as to whether an exposure is reasonably estimable. Actual outcomes of these legal and regulatory proceedings may materially differ from our current estimates.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immaterial accruals with respect to the following because a loss is not considered probable or cannot be reasonably estimated:</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Velodyne Legacy Litigation</w:t>
      </w:r>
    </w:p>
    <w:p>
      <w:pPr>
        <w:pStyle w:val="TextBody"/>
        <w:bidi w:val="0"/>
        <w:spacing w:lineRule="auto" w:line="288" w:before="120" w:after="283"/>
        <w:jc w:val="left"/>
        <w:rPr/>
      </w:pPr>
      <w:r>
        <w:rPr>
          <w:rFonts w:ascii="Times New Roman;sans-serif" w:hAnsi="Times New Roman;sans-serif"/>
          <w:b w:val="false"/>
          <w:color w:val="000000"/>
          <w:sz w:val="20"/>
        </w:rPr>
        <w:t xml:space="preserve">On March 3, 2021, a purported shareholder of Velodyne filed a complaint for a putative class action against Velodyne, Anand Gopalan and Andrew Hamer in the United States District Court, Northern District of California, entitled </w:t>
      </w:r>
      <w:r>
        <w:rPr>
          <w:rFonts w:ascii="Times New Roman;sans-serif" w:hAnsi="Times New Roman;sans-serif"/>
          <w:b w:val="false"/>
          <w:i/>
          <w:color w:val="000000"/>
          <w:sz w:val="20"/>
        </w:rPr>
        <w:t>Moradpour v. Velodyne Lidar, Inc., et al.</w:t>
      </w:r>
      <w:r>
        <w:rPr>
          <w:rFonts w:ascii="Times New Roman;sans-serif" w:hAnsi="Times New Roman;sans-serif"/>
          <w:b w:val="false"/>
          <w:color w:val="000000"/>
          <w:sz w:val="20"/>
        </w:rPr>
        <w:t xml:space="preserve">, No. 3:21-cv01486-SI. The complaint alleged purported violations of the federal securities laws and that, among other things, the defendants made materially false and/or misleading statements and failed to disclose material facts about the Company’s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 On March 12, 2021, a putative class action entitled </w:t>
      </w:r>
      <w:r>
        <w:rPr>
          <w:rFonts w:ascii="Times New Roman;sans-serif" w:hAnsi="Times New Roman;sans-serif"/>
          <w:b w:val="false"/>
          <w:i/>
          <w:color w:val="000000"/>
          <w:sz w:val="20"/>
        </w:rPr>
        <w:t>Reese v. Velodyne Lidar, Inc., et al.</w:t>
      </w:r>
      <w:r>
        <w:rPr>
          <w:rFonts w:ascii="Times New Roman;sans-serif" w:hAnsi="Times New Roman;sans-serif"/>
          <w:b w:val="false"/>
          <w:color w:val="000000"/>
          <w:sz w:val="20"/>
        </w:rPr>
        <w:t xml:space="preserve">,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w:t>
      </w:r>
      <w:r>
        <w:rPr>
          <w:rFonts w:ascii="Times New Roman;sans-serif" w:hAnsi="Times New Roman;sans-serif"/>
          <w:b w:val="false"/>
          <w:i/>
          <w:color w:val="000000"/>
          <w:sz w:val="20"/>
        </w:rPr>
        <w:t>Nick v. Velodyne Lidar, Inc., et al.</w:t>
      </w:r>
      <w:r>
        <w:rPr>
          <w:rFonts w:ascii="Times New Roman;sans-serif" w:hAnsi="Times New Roman;sans-serif"/>
          <w:b w:val="false"/>
          <w:color w:val="000000"/>
          <w:sz w:val="20"/>
        </w:rPr>
        <w:t>, No. 4:21-cv-01950-JST, was filed in the United States District Court for the Northern District of California, against Velodyne, Mr. Gopalan, Mr. Hamer, two current or former directors, and three other 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 The class actions have been consolidated, lead plaintiffs have been appointed and an amended consolidated complaint was filed on September 1, 2021, based on allegations similar to those in the earlier class actions. Velodyne filed a motion to dismiss the amended and consolidated complaint on November 1, 2021. The plaintiffs filed a first amended complaint on February 11, 2022. Velodyne filed a motion to dismiss on March 4, 2022. On July 1, 2022, the court denied the motion to dismiss as it relates to the claims related to David Hall’s role with Velodyne, but granted the motion to dismiss as to all other claims. The case is proceeding with discovery with trial set for August 4, 2025. The Company does not believe the claims are meritorious and intends to defend the actions vigorously.</w:t>
      </w:r>
    </w:p>
    <w:p>
      <w:pPr>
        <w:pStyle w:val="TextBody"/>
        <w:bidi w:val="0"/>
        <w:spacing w:lineRule="auto" w:line="288" w:before="120" w:after="283"/>
        <w:jc w:val="left"/>
        <w:rPr/>
      </w:pPr>
      <w:r>
        <w:rPr>
          <w:rFonts w:ascii="Times New Roman;sans-serif" w:hAnsi="Times New Roman;sans-serif"/>
          <w:b w:val="false"/>
          <w:color w:val="000000"/>
          <w:sz w:val="20"/>
        </w:rPr>
        <w:t xml:space="preserve">On March 12, 2021, a putative shareholder derivative lawsuit entitled </w:t>
      </w:r>
      <w:r>
        <w:rPr>
          <w:rFonts w:ascii="Times New Roman;sans-serif" w:hAnsi="Times New Roman;sans-serif"/>
          <w:b w:val="false"/>
          <w:i/>
          <w:color w:val="000000"/>
          <w:sz w:val="20"/>
        </w:rPr>
        <w:t>D’Arcy v. Gopalan, et al.</w:t>
      </w:r>
      <w:r>
        <w:rPr>
          <w:rFonts w:ascii="Times New Roman;sans-serif" w:hAnsi="Times New Roman;sans-serif"/>
          <w:b w:val="false"/>
          <w:color w:val="000000"/>
          <w:sz w:val="20"/>
        </w:rPr>
        <w:t xml:space="preserve">, No. 1:21-cv-00369-MN, was filed in the United States District Court for the District of Delaware against current and former directors and/or officers Anand Gopalan, Andrew Hamer, David S. Hall, Marta Thoma Hall, Joseph B. Culkin, Michael E. Dee, James A. Graf, Barbara Samardzich, and Christopher A. Thomas, and names Velodyne as a nominal defendant. The complaint asserted claims for breach of fiduciary duty, unjust enrichment, abuse of control, gross mismanagement, and waste of corporate assets against all of the individual defendants, and asserted a contribution claim under the federal securities laws against Mr. Gopalan and Mr. Hamer. On March 16, 2021, a second shareholder derivative lawsuit entitled </w:t>
      </w:r>
      <w:r>
        <w:rPr>
          <w:rFonts w:ascii="Times New Roman;sans-serif" w:hAnsi="Times New Roman;sans-serif"/>
          <w:b w:val="false"/>
          <w:i/>
          <w:color w:val="000000"/>
          <w:sz w:val="20"/>
        </w:rPr>
        <w:t>Kondner, et al. v. Culkin, et al.</w:t>
      </w:r>
      <w:r>
        <w:rPr>
          <w:rFonts w:ascii="Times New Roman;sans-serif" w:hAnsi="Times New Roman;sans-serif"/>
          <w:b w:val="false"/>
          <w:color w:val="000000"/>
          <w:sz w:val="20"/>
        </w:rPr>
        <w:t xml:space="preserve">, No. 1:21cv-00391-MN, was filed in the United States District Court for the District of Delaware against most of the same defendants named in the earlier derivative complaint, and asserted claims against the individual defendants for alleged breaches of fiduciary duty and waste of corporate assets. Both derivative actions are based on allegations similar to those in the class actions discussed above, and have now been consolidated. On January 3, 2022, the plaintiffs filed an amended complaint. The case is stayed pending the outcome of the </w:t>
      </w:r>
      <w:r>
        <w:rPr>
          <w:rFonts w:ascii="Times New Roman;sans-serif" w:hAnsi="Times New Roman;sans-serif"/>
          <w:b w:val="false"/>
          <w:i/>
          <w:color w:val="000000"/>
          <w:sz w:val="20"/>
        </w:rPr>
        <w:t>Moradpour</w:t>
      </w:r>
      <w:r>
        <w:rPr>
          <w:color w:val="000000"/>
        </w:rPr>
        <w:t xml:space="preserve"> </w:t>
      </w:r>
      <w:r>
        <w:rPr>
          <w:rFonts w:ascii="Times New Roman;sans-serif" w:hAnsi="Times New Roman;sans-serif"/>
          <w:b w:val="false"/>
          <w:color w:val="000000"/>
          <w:sz w:val="20"/>
        </w:rPr>
        <w:t>lawsuit. The Company does not believe the claims are meritorious and intends to defend the actions vigorously.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2022, David and Marta Hall filed a lawsuit in the Superior Court of California, County of Alameda, against current and former officers and directors of Velodyne, as well as Jeff Vetter, Velodyne’s outside counsel. The Halls are seeking to recover damages for financial and other injuries they allegedly sustained as a result of the merger between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the out of state defendants. On October 3, 2022, the court granted the motion to compel Mr. Hall to arbitrate his claims, and stayed proceedings on Ms. Hall’s claims pending arbitration of Mr. Hall’s claims. On October 20, 2022, David and Marta voluntarily dismissed the action without prejudice. On January 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the Halls filed an arbitration demand with the same allegations as the prior lawsuit. The arbitrator has not yet set a schedule. The Company does not believe the claims are meritorious and intends to defend the action vigorously.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8, 2021, Velodyne received a subpoena for documents related to Wei Weng’s trading in stock of Graf Acquisition Corp. (Velodyne’s predecessor) stock during 2020, prior to the announcement that Velodyne was planning to merge into Graf Acquisition Corp. Velodyne has complied with the SEC’s requests to date; however, the SEC may request additional documents or information. No such follow up requests have been received to date.</w:t>
      </w:r>
    </w:p>
    <w:p>
      <w:pPr>
        <w:pStyle w:val="TextBody"/>
        <w:bidi w:val="0"/>
        <w:spacing w:lineRule="auto" w:line="288" w:before="120" w:after="283"/>
        <w:jc w:val="left"/>
        <w:rPr/>
      </w:pPr>
      <w:r>
        <w:rPr>
          <w:rFonts w:ascii="Times New Roman;sans-serif" w:hAnsi="Times New Roman;sans-serif"/>
          <w:b w:val="false"/>
          <w:color w:val="000000"/>
          <w:sz w:val="20"/>
        </w:rPr>
        <w:t>On December 1, 2022 and December 20, 2022, purported stockholders of Velodyne filed the following lawsuits against Velodyne and certain of its directors in the Southern District of New York for violations of Sections 14(a) and 20(a) of the Securities Exchange Act of 1934 and U.S. Securities and Exchange Commission ("SEC") Rule 14a-9</w:t>
      </w:r>
      <w:r>
        <w:rPr>
          <w:rFonts w:ascii="Times New Roman;sans-serif" w:hAnsi="Times New Roman;sans-serif"/>
          <w:b w:val="false"/>
          <w:i/>
          <w:color w:val="000000"/>
          <w:sz w:val="20"/>
        </w:rPr>
        <w:t>: O’Dell v. Velodyne Lidar, Inc., et al.</w:t>
      </w:r>
      <w:r>
        <w:rPr>
          <w:rFonts w:ascii="Times New Roman;sans-serif" w:hAnsi="Times New Roman;sans-serif"/>
          <w:b w:val="false"/>
          <w:color w:val="000000"/>
          <w:sz w:val="20"/>
        </w:rPr>
        <w:t xml:space="preserve">, Civil Action No. 22-cv-10211, </w:t>
      </w:r>
      <w:r>
        <w:rPr>
          <w:rFonts w:ascii="Times New Roman;sans-serif" w:hAnsi="Times New Roman;sans-serif"/>
          <w:b w:val="false"/>
          <w:i/>
          <w:color w:val="000000"/>
          <w:sz w:val="20"/>
        </w:rPr>
        <w:t>Carlisle v. Velodyne Lidar, Inc., et al</w:t>
      </w:r>
      <w:r>
        <w:rPr>
          <w:rFonts w:ascii="Times New Roman;sans-serif" w:hAnsi="Times New Roman;sans-serif"/>
          <w:b w:val="false"/>
          <w:color w:val="000000"/>
          <w:sz w:val="20"/>
        </w:rPr>
        <w:t xml:space="preserve">., Civil Action No. 22-cv-10720. On December 29, 2022, a complaint alleging generally the same claims was filed in the United States District Court for the District of Delaware, captioned </w:t>
      </w:r>
      <w:r>
        <w:rPr>
          <w:rFonts w:ascii="Times New Roman;sans-serif" w:hAnsi="Times New Roman;sans-serif"/>
          <w:b w:val="false"/>
          <w:i/>
          <w:color w:val="000000"/>
          <w:sz w:val="20"/>
        </w:rPr>
        <w:t>Wheeler v. Velodyne Lidar, Inc., et al</w:t>
      </w:r>
      <w:r>
        <w:rPr>
          <w:rFonts w:ascii="Times New Roman;sans-serif" w:hAnsi="Times New Roman;sans-serif"/>
          <w:b w:val="false"/>
          <w:color w:val="000000"/>
          <w:sz w:val="20"/>
        </w:rPr>
        <w:t xml:space="preserve">., Civil Action No. 22-cv-01641-UNA. All of the lawsuits were voluntarily dismissed by the respective Plaintiffs. They have agreed to settle in principle the mootness fees and the Company has recorded a related immaterial accrual.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Ouster Litigation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10, 2021, the Company received a letter from the SEC notifying us of an investigation and document subpoena. The subpoena seeks documents regarding projected financial information in CLA’s Form S-4 registration statement filed on December 22, 2020. The Company has complied with the SEC’s requests to date; however, the SEC may request additional documents or information. No such follow up requests have been received to 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11, 2023, the Company filed a complaint with the United States International Trade Commission (the “Commission”) pursuant to 19 U.S.C. § 1337 (“Section 337”). The complaint requests that the Commission institute an investigation relating to the unlawful importation, sale for importation, and/or sale after importation into the United States by Hesai Group, Hesai Technology Co., Ltd., and Hesai Inc. (collectively “Hesai”) of certain LiDAR (Light Detection and Ranging) systems and/or components thereof. The complaint alleges that Hesai’s LiDAR products infringe certain claims of the Company’s U.S. Patent Nos. 11,175,405, 11,178,381, 11,190,750, 11,287,515 and/or 11,422,236. The complaint seeks the issuance of a permanent exclusion order and cease and desist order. On May 11, 2023, the Commission decided to institute an investigation based on the Company’s complaint as In the Matter of Certain LiDAR (Light Detection and Ranging) Systems and Components Thereof, 337-TA-1363. On May 25, 2023, the Administrative Law Judge issued a procedural schedule whereby the evidentiary hearing is set to begin on January 4, 2024, with a target date for completion of the Investigation by the Commission on October 17, 2024. On June 7, 2023, Hesai responded to the complaint and denied all allegations. On June 22, 2023, Hesai filed a motion to terminate or alternatively stay the Investigation in light of the settlement agreement signed in 2020 by Velodyne Lidar Inc. and Hesai. Ouster filed its opposition, including disputing any obligations to arbitrate as non-signatory to the 2020 agreement. This motion is pending.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11, 2023, the Company also filed a complaint in the District of Delaware alleging patent infringement of the same patents as in the aforestated Section 337 proceeding against Hesai Group and Hesai Technology Co., Ltd. The complaint seeks monetary damages as well as the issuance of a permanent injunction. On May 30, 2023, the Court granted stay the case pending the resolution of In the Matter of Certain LiDAR (Light Detection and Ranging) Systems and Components Thereof, 337-TA-1363.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17, 2023, Hesai Photonics Technology Co. Ltd. and Hesai Group (collectively “Hesai Photonics”) filed a request for arbitration with JAMS against Ouster, Inc. (“Ouster”), Velodyne Lidar, Inc., Velodyne, LLC, and Oban Merger Sub II LLC (collectively “Velodyne”). Hesai Photonics alleges that Ouster is bound by the terms and conditions, including an obligation to arbitrate disputes, of a Settlement Agreement signed in 2020 between Hesai Photonics and Velodyne as a result of Ouster’s 2023 merger with Velodyne. On June 13, 2023, Ouster and Velodyne denied all allegations and intends to defend the action vigorously. Arbitration has not set a schedule.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than as set forth above, as of June 30, 2023 and December 31, 2022 there were no material litigation matters.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Indemnification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settle claims related to these indemnification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The unaudited condensed consolidated financial statements do not include a liability for any potential obligations under the indemnification agreements at June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its headquarters located in San Francisco, California, where we lease properties as follows: (i) 26,125 square feet of office space pursuant to a lease that is scheduled to expire in August 2027 and (ii) 20,032 square feet of office space in a building adjacent to our corporate headquarters, which term is scheduled to expire in August 2027. Prior to 2023, the Company has executed or assumed as lessee other five operating leases for rental of office space. The terms of those leases range from 1 to 3 years.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February 10, 2023, the Company also assumed long-term non-cancellable lease agreements stemming from the Velodyne Merger: (i) approximately 204,000 square feet of office and manufacturing space in San Jose, California and (ii) additional space pursuant to the assumed leases for offices located in Alameda, California; and Bengaluru, India.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tbl>
      <w:tblPr>
        <w:tblW w:w="6922" w:type="dxa"/>
        <w:jc w:val="left"/>
        <w:tblInd w:w="0" w:type="dxa"/>
        <w:tblLayout w:type="fixed"/>
        <w:tblCellMar>
          <w:top w:w="28" w:type="dxa"/>
          <w:left w:w="28" w:type="dxa"/>
          <w:bottom w:w="28" w:type="dxa"/>
          <w:right w:w="28" w:type="dxa"/>
        </w:tblCellMar>
      </w:tblPr>
      <w:tblGrid>
        <w:gridCol w:w="1419"/>
        <w:gridCol w:w="1246"/>
        <w:gridCol w:w="1250"/>
        <w:gridCol w:w="255"/>
        <w:gridCol w:w="256"/>
        <w:gridCol w:w="624"/>
        <w:gridCol w:w="109"/>
        <w:gridCol w:w="109"/>
        <w:gridCol w:w="109"/>
        <w:gridCol w:w="314"/>
        <w:gridCol w:w="314"/>
        <w:gridCol w:w="91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total lease costs in its condensed consolidated statements of operations of $4.3 million and $2.0 million for the six months ended June 30, 2023 and 2022,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determined that the lease office facility located in Bengalaru, India assumed in the Velodyne Merger was not needed to support the future growth of its business. The Company fully vacated the facilities in March 2023 and remains contractually obligated to the lessor for the underlying lease. The Company recorded $0.8 million for right-of-use asset impairment in connection with these leased office facilities in the three months ended March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carrying amount of the acquired lease liability stemming from the Velodyne Merger on the condensed consolidated balance sheet was approximately $14.6 million.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maturities of lease liabilities under non-cancelable operating leases were as follows (in thousands): </w:t>
      </w:r>
    </w:p>
    <w:p>
      <w:pPr>
        <w:pStyle w:val="TextBody"/>
        <w:bidi w:val="0"/>
        <w:spacing w:before="0" w:after="0"/>
        <w:jc w:val="left"/>
        <w:rPr/>
      </w:pPr>
      <w:r>
        <w:rPr/>
      </w:r>
    </w:p>
    <w:tbl>
      <w:tblPr>
        <w:tblW w:w="4070" w:type="dxa"/>
        <w:jc w:val="left"/>
        <w:tblInd w:w="0" w:type="dxa"/>
        <w:tblLayout w:type="fixed"/>
        <w:tblCellMar>
          <w:top w:w="28" w:type="dxa"/>
          <w:left w:w="28" w:type="dxa"/>
          <w:bottom w:w="28" w:type="dxa"/>
          <w:right w:w="28" w:type="dxa"/>
        </w:tblCellMar>
      </w:tblPr>
      <w:tblGrid>
        <w:gridCol w:w="1080"/>
        <w:gridCol w:w="950"/>
        <w:gridCol w:w="954"/>
        <w:gridCol w:w="211"/>
        <w:gridCol w:w="721"/>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10. Stock-based Compensation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has five equity incentive plans: its Amended and Restated 2015 Stock Plan (the “2015 Plan”), the Sense Photonics, Inc. 2017 Equity Incentive Plan (the “Sense Plan”), the Velodyne Lidar, Inc. 2020 Equity Incentive Plan (the “Velodyne Plan”), its 2021 Incentive Award Plan (the “2021 Plan”) and its 2022 Employee Stock Purchase Plan (the “2022 ESPP” and, collectively with the 2015 Plan, the Sense Plan, the Velodyne Plan and the 2021 Plan, the “Plans”).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 for the grant of performance bonus awards. New equity awards may only be granted under the Velodyne Plan and the 2021 Plan. Awards under the Velodyne Plan may be granted to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pPr>
      <w:r>
        <w:rPr>
          <w:rFonts w:ascii="Times New Roman;sans-serif" w:hAnsi="Times New Roman;sans-serif"/>
          <w:b w:val="false"/>
          <w:color w:val="000000"/>
          <w:sz w:val="20"/>
        </w:rPr>
        <w:t>including officers, and other service providers who were not previously employed by or who did not previously provide services to the Company or a subsidiary of the Company, in each case, prior to February 10, 2023, within the limits provided in the Velodyne Plan.</w:t>
      </w:r>
      <w:r>
        <w:rPr>
          <w:color w:val="000000"/>
        </w:rPr>
        <w:t xml:space="preserve"> </w:t>
      </w:r>
      <w:r>
        <w:rPr>
          <w:rFonts w:ascii="Times New Roman;sans-serif" w:hAnsi="Times New Roman;sans-serif"/>
          <w:b w:val="false"/>
          <w:color w:val="000000"/>
          <w:sz w:val="20"/>
        </w:rPr>
        <w:t xml:space="preserve">Awards under the 2021 Plan can also be granted to employees, including officers, directors and consultants of the Company and its subsidiaries, in each case, within the limits provided in the 2021 Plan.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2022 ESPP has been offered to all eligible employees since August 2022 and generally permits certain employees to purchase shares of our common stock through payroll deductions of up to 15% of their compensation of each offering period, subject to certain limitations.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ESPP provides offering periods that have a duration of 24 months in length and are comprised of purchase periods of six months in length. The offering periods are scheduled to start on the first trading day on or after May 16 and November 16 of each year. Under the 2022 ESPP, the purchase price of a share under the ESPP equals 85% of the lesser of the fair market value of a share of common stock on either the first or last day of the applicable offering period or the last day of the applicable purchase period.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the Company increased the share purchase limit under the 2022 ESPP to 3,000 shares of Company common stock per offering period and added Velodyne Lidar, Inc. as a participating employer in the 2022 ESPP.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0.4 million shares of the Company’s common stock were pending issuance under the 2022 ESPP. The stock-based compensation expense is calculated as of the beginning of the offering period as the fair value of the 2022 ESPP shares utilizing the Black-Scholes option valuation model and is recognized over the offering period. The first offering period under the 2022 ESPP commenced on September 6,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condensed consolidated balance sheets.</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activity for the six months ended June 30, 2023 is as follows: </w:t>
      </w:r>
    </w:p>
    <w:tbl>
      <w:tblPr>
        <w:tblW w:w="9589" w:type="dxa"/>
        <w:jc w:val="left"/>
        <w:tblInd w:w="0" w:type="dxa"/>
        <w:tblLayout w:type="fixed"/>
        <w:tblCellMar>
          <w:top w:w="28" w:type="dxa"/>
          <w:left w:w="28" w:type="dxa"/>
          <w:bottom w:w="28" w:type="dxa"/>
          <w:right w:w="28" w:type="dxa"/>
        </w:tblCellMar>
      </w:tblPr>
      <w:tblGrid>
        <w:gridCol w:w="1346"/>
        <w:gridCol w:w="1185"/>
        <w:gridCol w:w="1189"/>
        <w:gridCol w:w="488"/>
        <w:gridCol w:w="488"/>
        <w:gridCol w:w="336"/>
        <w:gridCol w:w="109"/>
        <w:gridCol w:w="109"/>
        <w:gridCol w:w="109"/>
        <w:gridCol w:w="307"/>
        <w:gridCol w:w="898"/>
        <w:gridCol w:w="161"/>
        <w:gridCol w:w="109"/>
        <w:gridCol w:w="109"/>
        <w:gridCol w:w="109"/>
        <w:gridCol w:w="409"/>
        <w:gridCol w:w="409"/>
        <w:gridCol w:w="411"/>
        <w:gridCol w:w="109"/>
        <w:gridCol w:w="109"/>
        <w:gridCol w:w="109"/>
        <w:gridCol w:w="211"/>
        <w:gridCol w:w="616"/>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br/>
              <w:t>Underlying</w:t>
              <w:br/>
              <w:t>Outstanding</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2,101,536 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Outstanding—June 30,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2,012,196 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vest—June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2,012,196 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Exercisable—June 30,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1,409,152 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information about stock options outstanding and exercisable at June 30, 2023. </w:t>
      </w:r>
    </w:p>
    <w:tbl>
      <w:tblPr>
        <w:tblW w:w="5929" w:type="dxa"/>
        <w:jc w:val="left"/>
        <w:tblInd w:w="0" w:type="dxa"/>
        <w:tblLayout w:type="fixed"/>
        <w:tblCellMar>
          <w:top w:w="28" w:type="dxa"/>
          <w:left w:w="28" w:type="dxa"/>
          <w:bottom w:w="28" w:type="dxa"/>
          <w:right w:w="28" w:type="dxa"/>
        </w:tblCellMar>
      </w:tblPr>
      <w:tblGrid>
        <w:gridCol w:w="226"/>
        <w:gridCol w:w="721"/>
        <w:gridCol w:w="109"/>
        <w:gridCol w:w="109"/>
        <w:gridCol w:w="109"/>
        <w:gridCol w:w="109"/>
        <w:gridCol w:w="488"/>
        <w:gridCol w:w="488"/>
        <w:gridCol w:w="336"/>
        <w:gridCol w:w="178"/>
        <w:gridCol w:w="178"/>
        <w:gridCol w:w="178"/>
        <w:gridCol w:w="323"/>
        <w:gridCol w:w="323"/>
        <w:gridCol w:w="345"/>
        <w:gridCol w:w="109"/>
        <w:gridCol w:w="109"/>
        <w:gridCol w:w="109"/>
        <w:gridCol w:w="488"/>
        <w:gridCol w:w="488"/>
        <w:gridCol w:w="406"/>
      </w:tblGrid>
      <w:tr>
        <w:trPr/>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Exercisable</w:t>
            </w:r>
          </w:p>
        </w:tc>
      </w:tr>
      <w:tr>
        <w:trPr/>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Outstanding</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310,650 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264,003 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863,744 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590,565 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752,408 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501,602 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2,012,196 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1,409,152 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approximately $9.4 million of unamortized stock-based compensation expense related to unvested stock options that is expected to be recognized over a weighted average period of 1.2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is as follows:</w:t>
      </w:r>
    </w:p>
    <w:tbl>
      <w:tblPr>
        <w:tblW w:w="5755" w:type="dxa"/>
        <w:jc w:val="left"/>
        <w:tblInd w:w="0" w:type="dxa"/>
        <w:tblLayout w:type="fixed"/>
        <w:tblCellMar>
          <w:top w:w="28" w:type="dxa"/>
          <w:left w:w="28" w:type="dxa"/>
          <w:bottom w:w="28" w:type="dxa"/>
          <w:right w:w="28" w:type="dxa"/>
        </w:tblCellMar>
      </w:tblPr>
      <w:tblGrid>
        <w:gridCol w:w="960"/>
        <w:gridCol w:w="845"/>
        <w:gridCol w:w="850"/>
        <w:gridCol w:w="488"/>
        <w:gridCol w:w="488"/>
        <w:gridCol w:w="296"/>
        <w:gridCol w:w="109"/>
        <w:gridCol w:w="109"/>
        <w:gridCol w:w="109"/>
        <w:gridCol w:w="322"/>
        <w:gridCol w:w="942"/>
        <w:gridCol w:w="237"/>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 (per share)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1,650,815 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2,492,986 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(954,540)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(497,768)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Unvested—June 30,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2,691,493 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is recognized on a straight-line basis over the vesting period of each award of RSUs. As of June 30, 2023, total compensation expense related to unvested RSUs granted to employees, but not yet recognized, was $53.8 million, with a weighted-average remaining vesting period of 2.4 years. RSUs settle into shares of common stock upon vesting.</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RSA activity is as follows:</w:t>
      </w:r>
    </w:p>
    <w:tbl>
      <w:tblPr>
        <w:tblW w:w="5679" w:type="dxa"/>
        <w:jc w:val="left"/>
        <w:tblInd w:w="0" w:type="dxa"/>
        <w:tblLayout w:type="fixed"/>
        <w:tblCellMar>
          <w:top w:w="28" w:type="dxa"/>
          <w:left w:w="28" w:type="dxa"/>
          <w:bottom w:w="28" w:type="dxa"/>
          <w:right w:w="28" w:type="dxa"/>
        </w:tblCellMar>
      </w:tblPr>
      <w:tblGrid>
        <w:gridCol w:w="960"/>
        <w:gridCol w:w="845"/>
        <w:gridCol w:w="850"/>
        <w:gridCol w:w="449"/>
        <w:gridCol w:w="451"/>
        <w:gridCol w:w="296"/>
        <w:gridCol w:w="109"/>
        <w:gridCol w:w="109"/>
        <w:gridCol w:w="109"/>
        <w:gridCol w:w="322"/>
        <w:gridCol w:w="942"/>
        <w:gridCol w:w="237"/>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 (per share)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(349,623)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Unvested—June 30, 2023</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382,487 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is recognized on a straight-line basis over the vesting period of each award of RSAs. As of June 30, 2023, total compensation expense related to unvested RSAs granted to employees, but not yet recognized, was $4.2 million, with a weighted-average remaining vesting period of 2.2 years. The common stock comprising RSAs is issued at grant but, generally, is subject to a risk of forfeiture if the holder terminates service with the Company and its subsidiaries prior to vesting.</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stock-based compensation expense for all share-based awards in the condensed consolidated statements of operations and comprehensive loss as follows (in thousands): </w:t>
      </w:r>
    </w:p>
    <w:tbl>
      <w:tblPr>
        <w:tblW w:w="5529" w:type="dxa"/>
        <w:jc w:val="left"/>
        <w:tblInd w:w="0" w:type="dxa"/>
        <w:tblLayout w:type="fixed"/>
        <w:tblCellMar>
          <w:top w:w="28" w:type="dxa"/>
          <w:left w:w="28" w:type="dxa"/>
          <w:bottom w:w="28" w:type="dxa"/>
          <w:right w:w="28" w:type="dxa"/>
        </w:tblCellMar>
      </w:tblPr>
      <w:tblGrid>
        <w:gridCol w:w="992"/>
        <w:gridCol w:w="874"/>
        <w:gridCol w:w="878"/>
        <w:gridCol w:w="211"/>
        <w:gridCol w:w="721"/>
        <w:gridCol w:w="109"/>
        <w:gridCol w:w="109"/>
        <w:gridCol w:w="109"/>
        <w:gridCol w:w="109"/>
        <w:gridCol w:w="211"/>
        <w:gridCol w:w="616"/>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by award type (in thousands):</w:t>
      </w:r>
    </w:p>
    <w:tbl>
      <w:tblPr>
        <w:tblW w:w="5529" w:type="dxa"/>
        <w:jc w:val="left"/>
        <w:tblInd w:w="0" w:type="dxa"/>
        <w:tblLayout w:type="fixed"/>
        <w:tblCellMar>
          <w:top w:w="28" w:type="dxa"/>
          <w:left w:w="28" w:type="dxa"/>
          <w:bottom w:w="28" w:type="dxa"/>
          <w:right w:w="28" w:type="dxa"/>
        </w:tblCellMar>
      </w:tblPr>
      <w:tblGrid>
        <w:gridCol w:w="992"/>
        <w:gridCol w:w="868"/>
        <w:gridCol w:w="884"/>
        <w:gridCol w:w="211"/>
        <w:gridCol w:w="721"/>
        <w:gridCol w:w="109"/>
        <w:gridCol w:w="109"/>
        <w:gridCol w:w="109"/>
        <w:gridCol w:w="109"/>
        <w:gridCol w:w="211"/>
        <w:gridCol w:w="616"/>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based compensation recognized upon completion of the Velodyne Merger</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six months ended June 30, 2023, the Company recognized $6.1 million of stock-based compensation expense related to accelerated vesting of certain RSUs upon completion of the Velodyne Merger and termination of employment of some of its executives and members of the board, who had accelerated vesting provisions in the event of a change in control. Additionally, the Company recognized $2.4 million of stock-based compensation expense related to accelerated vesting of certain Velodyne restricted stock units, restricted stock awards and performance-based awards upon completion of the Velodyne Merger and termination of employment of some of Velodyne executives.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11. Net Loss Per Common Share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basic and diluted net loss per common share attributable to common stockholders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424"/>
        <w:gridCol w:w="1256"/>
        <w:gridCol w:w="1268"/>
        <w:gridCol w:w="211"/>
        <w:gridCol w:w="886"/>
        <w:gridCol w:w="109"/>
        <w:gridCol w:w="109"/>
        <w:gridCol w:w="109"/>
        <w:gridCol w:w="109"/>
        <w:gridCol w:w="240"/>
        <w:gridCol w:w="841"/>
        <w:gridCol w:w="109"/>
        <w:gridCol w:w="109"/>
        <w:gridCol w:w="109"/>
        <w:gridCol w:w="109"/>
        <w:gridCol w:w="211"/>
        <w:gridCol w:w="886"/>
        <w:gridCol w:w="109"/>
        <w:gridCol w:w="109"/>
        <w:gridCol w:w="109"/>
        <w:gridCol w:w="109"/>
        <w:gridCol w:w="240"/>
        <w:gridCol w:w="841"/>
        <w:gridCol w:w="109"/>
        <w:gridCol w:w="109"/>
        <w:gridCol w:w="109"/>
        <w:gridCol w:w="109"/>
        <w:gridCol w:w="157"/>
      </w:tblGrid>
      <w:tr>
        <w:trPr/>
        <w:tc>
          <w:tcPr>
            <w:tcW w:w="142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and diluted net loss per share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38,448,241 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17,505,736 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number of shares used to compute basic and diluted net loss per share excludes unvested early exercised common stock options subject to repurchase.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outstanding shares of potentially dilutive securities were excluded from the computation of diluted net loss per share attributable to common stockholders for the periods presented because including them would have been antidilutive: </w:t>
      </w:r>
    </w:p>
    <w:tbl>
      <w:tblPr>
        <w:tblW w:w="6787" w:type="dxa"/>
        <w:jc w:val="left"/>
        <w:tblInd w:w="0" w:type="dxa"/>
        <w:tblLayout w:type="fixed"/>
        <w:tblCellMar>
          <w:top w:w="28" w:type="dxa"/>
          <w:left w:w="28" w:type="dxa"/>
          <w:bottom w:w="28" w:type="dxa"/>
          <w:right w:w="28" w:type="dxa"/>
        </w:tblCellMar>
      </w:tblPr>
      <w:tblGrid>
        <w:gridCol w:w="1458"/>
        <w:gridCol w:w="1286"/>
        <w:gridCol w:w="1290"/>
        <w:gridCol w:w="540"/>
        <w:gridCol w:w="541"/>
        <w:gridCol w:w="156"/>
        <w:gridCol w:w="109"/>
        <w:gridCol w:w="109"/>
        <w:gridCol w:w="109"/>
        <w:gridCol w:w="488"/>
        <w:gridCol w:w="488"/>
        <w:gridCol w:w="213"/>
      </w:tblGrid>
      <w:tr>
        <w:trPr/>
        <w:tc>
          <w:tcPr>
            <w:tcW w:w="14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2,248,628 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early exercised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shares pending issuance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10,726,185 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5,217,758 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12. Income Taxes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six months ended June 30, 2023 and 2022, respectively, was not material to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13. Revenue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 is recognized at a point in time when the customer obtains control of the respective lidar sensor kits. Revenue from the sale of licenses and services was not material for any period presented and, therefore, is not presented separately.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total revenues by geographic area based on the location products were shipped to and services provided (in thousands): </w:t>
      </w:r>
    </w:p>
    <w:tbl>
      <w:tblPr>
        <w:tblW w:w="7859" w:type="dxa"/>
        <w:jc w:val="left"/>
        <w:tblInd w:w="0" w:type="dxa"/>
        <w:tblLayout w:type="fixed"/>
        <w:tblCellMar>
          <w:top w:w="28" w:type="dxa"/>
          <w:left w:w="28" w:type="dxa"/>
          <w:bottom w:w="28" w:type="dxa"/>
          <w:right w:w="28" w:type="dxa"/>
        </w:tblCellMar>
      </w:tblPr>
      <w:tblGrid>
        <w:gridCol w:w="965"/>
        <w:gridCol w:w="849"/>
        <w:gridCol w:w="85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and Pacific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 contract balances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are generated when contractual billing schedules differ from revenue recognition timing.</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Unbilled receivables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receivable for multi-year licensing services is generally recorded upon invoicing. A receivable for multi-year license contracts is recorded upon delivery, whether or not invoiced, to the extent the Company has an unconditional right to receive payment in the future related to those licenses. The current portion of these unbilled receivables in the amount of $2.9 million, primarily consisting of unbilled receivables from multi-year license contracts, is included in “Accounts receivable, net” on the condensed consolidated balance sheet.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primarily relate to the Company’s rights to consideration under license arrangements when the licenses have been transferred to the customers, but payment is contingent upon a future event, other than the passage of time (i.e. type of unbilled receivable) and for which the Company does not have an unconditional right at the reporting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 also arises when the timing of billing differs from the timing of revenue recognized, such as when revenue is recognized on guaranteed minimum payments at the inception of the contract when there is not yet a right to invoice in accordance with contract terms and payment is contingent upon future event.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deferred revenue, customer advanced payments and customer deposits.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and is included in other non-current liabilities in the Company’s condensed consolidated balance sheets.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and liabilities are presented net at the individual contract level in the condensed consolidated balance sheet and are classified as current or noncurrent based on the nature of the underlying contractual rights and obligations.</w:t>
      </w:r>
    </w:p>
    <w:tbl>
      <w:tblPr>
        <w:tblW w:w="6640" w:type="dxa"/>
        <w:jc w:val="left"/>
        <w:tblInd w:w="0" w:type="dxa"/>
        <w:tblLayout w:type="fixed"/>
        <w:tblCellMar>
          <w:top w:w="28" w:type="dxa"/>
          <w:left w:w="28" w:type="dxa"/>
          <w:bottom w:w="28" w:type="dxa"/>
          <w:right w:w="28" w:type="dxa"/>
        </w:tblCellMar>
      </w:tblPr>
      <w:tblGrid>
        <w:gridCol w:w="1415"/>
        <w:gridCol w:w="1246"/>
        <w:gridCol w:w="1254"/>
        <w:gridCol w:w="211"/>
        <w:gridCol w:w="721"/>
        <w:gridCol w:w="109"/>
        <w:gridCol w:w="109"/>
        <w:gridCol w:w="109"/>
        <w:gridCol w:w="109"/>
        <w:gridCol w:w="293"/>
        <w:gridCol w:w="648"/>
        <w:gridCol w:w="153"/>
        <w:gridCol w:w="109"/>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from licensing arrangements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 portion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from licensing arrangements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the Company entered into a multiyear contract with a customer to sell its products. The $6.6 million cash payment received prior to the entering into the contract was accounted for as a deposit liability in accrued and other current liabilities, because it did not meet the requirements of ASC 606 to be considered a contract with a customer. Entering into a contract satisfied ASC 606 criteria concerning enforceable rights and obligations criteria, therefore deposit liability was reclassified as deferred revenues in other contract liabilities. During the three months ended June 30, 2023, there was no satisfaction of the related performance obligation and the full $6.6 million remained deferred as of June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Restructuring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Velodyne Merger, in the three months ended March 31, 2023, the Company undertook actions to reduce operating expenses, which included a reduction in force and the closure of its India facility (see Note 9) and in the three months ended June 30, 2023, the Company undertook additional actions to further reduce operating expenses, which primarily included a reduction in force (collectively, the “Restructuring Initiatives”).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amount incurred and the liability, which is recorded in accrued expenses in the condensed consolidated balance sheets, for Restructuring Initiatives related to one-time employee termination and associated benefits as of June 30, 2023 (in thousands):</w:t>
      </w:r>
    </w:p>
    <w:tbl>
      <w:tblPr>
        <w:tblW w:w="10205" w:type="dxa"/>
        <w:jc w:val="left"/>
        <w:tblInd w:w="0" w:type="dxa"/>
        <w:tblLayout w:type="fixed"/>
        <w:tblCellMar>
          <w:top w:w="28" w:type="dxa"/>
          <w:left w:w="28" w:type="dxa"/>
          <w:bottom w:w="28" w:type="dxa"/>
          <w:right w:w="28" w:type="dxa"/>
        </w:tblCellMar>
      </w:tblPr>
      <w:tblGrid>
        <w:gridCol w:w="2607"/>
        <w:gridCol w:w="2249"/>
        <w:gridCol w:w="2258"/>
        <w:gridCol w:w="662"/>
        <w:gridCol w:w="1938"/>
        <w:gridCol w:w="491"/>
      </w:tblGrid>
      <w:tr>
        <w:trPr/>
        <w:tc>
          <w:tcPr>
            <w:tcW w:w="2607"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termination and associated benefits</w:t>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10, 2023</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Initiative expenses related to one-time employee termination and associated benefits</w:t>
            </w:r>
          </w:p>
        </w:tc>
        <w:tc>
          <w:tcPr>
            <w:tcW w:w="2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paid during the period</w:t>
            </w:r>
          </w:p>
        </w:tc>
        <w:tc>
          <w:tcPr>
            <w:tcW w:w="2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Restructuring Initiatives expenses related to one-time employee termination and associated benefits during the three and six months ended June 30, 2023 (in thousands):</w:t>
      </w:r>
    </w:p>
    <w:tbl>
      <w:tblPr>
        <w:tblW w:w="7016" w:type="dxa"/>
        <w:jc w:val="left"/>
        <w:tblInd w:w="0" w:type="dxa"/>
        <w:tblLayout w:type="fixed"/>
        <w:tblCellMar>
          <w:top w:w="28" w:type="dxa"/>
          <w:left w:w="28" w:type="dxa"/>
          <w:bottom w:w="28" w:type="dxa"/>
          <w:right w:w="28" w:type="dxa"/>
        </w:tblCellMar>
      </w:tblPr>
      <w:tblGrid>
        <w:gridCol w:w="835"/>
        <w:gridCol w:w="736"/>
        <w:gridCol w:w="739"/>
        <w:gridCol w:w="510"/>
        <w:gridCol w:w="1491"/>
        <w:gridCol w:w="263"/>
        <w:gridCol w:w="109"/>
        <w:gridCol w:w="109"/>
        <w:gridCol w:w="109"/>
        <w:gridCol w:w="411"/>
        <w:gridCol w:w="1404"/>
        <w:gridCol w:w="300"/>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3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15,172 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total stock-based compensation expense associated with these Restructuring Initiatives during the three and six months ended June 30, 2023 (in thousands):</w:t>
      </w:r>
    </w:p>
    <w:tbl>
      <w:tblPr>
        <w:tblW w:w="7016" w:type="dxa"/>
        <w:jc w:val="left"/>
        <w:tblInd w:w="0" w:type="dxa"/>
        <w:tblLayout w:type="fixed"/>
        <w:tblCellMar>
          <w:top w:w="28" w:type="dxa"/>
          <w:left w:w="28" w:type="dxa"/>
          <w:bottom w:w="28" w:type="dxa"/>
          <w:right w:w="28" w:type="dxa"/>
        </w:tblCellMar>
      </w:tblPr>
      <w:tblGrid>
        <w:gridCol w:w="835"/>
        <w:gridCol w:w="736"/>
        <w:gridCol w:w="739"/>
        <w:gridCol w:w="510"/>
        <w:gridCol w:w="1491"/>
        <w:gridCol w:w="263"/>
        <w:gridCol w:w="109"/>
        <w:gridCol w:w="109"/>
        <w:gridCol w:w="109"/>
        <w:gridCol w:w="455"/>
        <w:gridCol w:w="1328"/>
        <w:gridCol w:w="332"/>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the results of operations and financial condition of Ouster, Inc. (“we,” “us,” “our,” the “Company,” “Ouster”) should be read in conjunction with the information set forth in our condensed consolidated financial statements and the notes thereto included elsewhere in this Form 10-Q, as well as our audited consolidated financial statements and the “Management’s Discussion and Analysis of Financial Condition and Results of Operations” included in Ouster’s Annual Report on Form 10-K (the “2022 Form 10-K”) filed with the Securities and Exchange Commission (“SEC”) on March 24, 2023. This discussion contains forward-looking statements which are based upon current plans, expectations and beliefs. Such forward-looking statements involve risks and uncertainties. Ouster’s actual results may differ materially from those anticipated in these forward-looking statements as a result of various factors, including those set forth in the section titled “Risk Factors” in the 2022 Form 10-K, as may be updated from time to time in the Company’s other filings with the SEC.</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On April 20, 2023, Ouster filed with the Secretary of State of the State of Delaware a Certificate of Amendment to its Certificate of Incorporation to effect a one-for-10 reverse stock split of Ouster’s common stock and a corresponding reduction in Ouster’s authorized shares of common stock (the “Reverse Stock Split”). The historical share and per share information included herein have been adjusted to reflect the Reverse Stock Split.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subsection to “we”, “our”, “Ouster” and “the Company” refer to the business and operations of Ouster,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founded Ouster in 2015 with the invention of our high-performance digital lidar. To continue to grow our business in the coming years, we have expanded and plan to continue to expand our sales and marketing efforts and our software development capabilities, and to accelerate sensor development efforts. We are headquartered in San Francisco, CA.</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high-resolution digital lidar sensors that offer advanced 3D vision to machinery, vehicles, robots, and fixed infrastructure assets, which allows each to understand and visualize the surrounding world and ultimately enables safe operation and autonomy. We design and manufacture digital lidar sensors that we believe are the highest-performing, lowest-cost lidar solutions available today across each of our four target markets: industrial automation; smart infrastructure; robotics; and automotive.</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offering today includes four models of sensors in our OS product line: the hemispherical view OSDome, the ultra-wide field of view OS0, the mid-range OS1, and the long-range OS2. Within our OS sensor models, we offer numerous customization options, all enabled by embedded software. For each of our three models in the OS product line, we offer resolution options of 128 lines vertically (“channels”), 64 channels, or 32 channels, as well as many beam spacing options. We are currently developing our solid-state DF product line, which is a suite of short, mid, and long-range solid-state digital lidar sensors that provide uniform precision imaging without motion blur across an entire field of view. In October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new REV7 sensors offer performance upgrades that we believe will enhance Ouster’s market opportunity, driven by new opportunities for longer-range and mapping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announced Ouster Gemini, a software platform for our sensors that provides privacy-safe object detection and tracking capabilities. The Ouster Gemini platform is designed for the smart infrastructure vertical, providing alerts and analytics on the movement of people and vehicles for the intelligent transportation systems (ITS), security, and retail analytics industries.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Velodyne Merger, we added three additional sensor products and a software solution to our portfolio. The VLP-16, VLP32, and VLS-128 lidar sensors expand the price and performance range of our offering, and have a sizeable existing install base. We intend to continue to sell these products when they present a fit for key customer requirements. Blue City is a software-based solution that includes lidar sensors, computing hardware and tailored software for the ITS market. The solution complements our Gemini platform and adds additional software capabilities, such as signal control and traffic analytics for our ITS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successfully expanding our manufacturing capacity by outsourcing certain product lines to our manufacturing partners, Benchmark Electronics, Inc. and Fabrinet. Both partners are manufacturing products at their facilities in Thailand, which we expect will reduce our product costs and allow us to rapidly scale production to meet our anticipated product demand.</w:t>
      </w:r>
    </w:p>
    <w:p>
      <w:pPr>
        <w:pStyle w:val="TextBody"/>
        <w:bidi w:val="0"/>
        <w:spacing w:lineRule="auto" w:line="288" w:before="18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Merger with Velodyne Lidar, Inc.</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10, 2023, we completed our merger of equals with Velodyne Lidar, Inc. pursuant to the terms of the Agreement and Plan of Merger with Velodyne, Merger Sub I and Merger Sub II (the “Velodyne Merger”). The Velodyne Merger was accounted for as a business combination with Ouster being an accounting acquiror. We believe that the combined company will enhance our suite of product offerings, grow our diverse customer base, increase operational efficiencies, improve our path to profitability, and strengthen our future financial position.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regarding the terms of the Velodyne Merger, see Note 3, to our unaudited condensed consolidated financial statements included in this Quarterly Report on Form 10-Q. </w:t>
      </w:r>
    </w:p>
    <w:p>
      <w:pPr>
        <w:pStyle w:val="TextBody"/>
        <w:bidi w:val="0"/>
        <w:spacing w:lineRule="auto" w:line="288" w:before="180" w:after="283"/>
        <w:jc w:val="left"/>
        <w:rPr/>
      </w:pPr>
      <w:r>
        <w:rPr>
          <w:rFonts w:ascii="Times New Roman;sans-serif" w:hAnsi="Times New Roman;sans-serif"/>
          <w:b/>
          <w:color w:val="000000"/>
          <w:sz w:val="20"/>
          <w:shd w:fill="FFFFFF" w:val="clear"/>
        </w:rPr>
        <w:t xml:space="preserve">Amazon </w:t>
      </w:r>
      <w:r>
        <w:rPr>
          <w:rFonts w:ascii="Times New Roman;sans-serif" w:hAnsi="Times New Roman;sans-serif"/>
          <w:b/>
          <w:color w:val="000000"/>
          <w:sz w:val="20"/>
        </w:rPr>
        <w:t>Warrant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Amazon.com NV Investment Holdings LLC, a wholly-owned subsidiary of Amazon.com, Inc. (“Amazon”), holds a warrant (“Amazon Warrant”) to acquire, following customary antidilution adjustments, up to an aggregate of 3,263,898 shares of our common stock at an exercise price of $50.71 per share. We assumed the Amazon Warrant as part of the Velodyne Merger. The fair value of the Amazon Warrant shares was estimated on February 10, 2023, the date of completion of the Velodyne Merger.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The Amazon Warrant is subject to vesting; 50% of the unvested Amazon Warrant vested as a result of the Velodyne Merger and the remainder will vest over time based on payments by Amazon or its affiliates to us in connection with Amazon’s purchase of goods and services from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Factors Affecting Our Performance </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Supply Chain Continuity.</w:t>
      </w:r>
      <w:r>
        <w:rPr>
          <w:color w:val="000000"/>
        </w:rPr>
        <w:t xml:space="preserve"> </w:t>
      </w:r>
      <w:r>
        <w:rPr>
          <w:rFonts w:ascii="Times New Roman;sans-serif" w:hAnsi="Times New Roman;sans-serif"/>
          <w:b w:val="false"/>
          <w:color w:val="000000"/>
          <w:sz w:val="20"/>
        </w:rPr>
        <w:t>Beginning in 2021, a surge in demand for electronics containing semiconductor chips and stockpiling of chips by certain companies created disruptions in the supply chain, which continue to persist and have resulted in a global chip shortage impacting our industry. Some chip manufacturers continue to estimate that this supply shortage may continue through the end of 2023. These chip manufacturers are working to increase capacity in the future, and we are managing our inventory and working closely with our regular suppliers and customers to minimize the potential impacts of any supply shortages including by securing additional inventory. While we do not expect the shortage to have a material near-term impact on our ability to meet existing demand for our current products, in the past we have experienced disruptions to parts of our supply chain and we cannot predict the impact to us of any future supply chain disruptions or any mitigation efforts we may take going forward. In the future we may also continue to purchase components further in advance, which in return can result in less capital being allocated to other activities and business needs.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Commercialization of Lidar Applications. </w:t>
      </w:r>
      <w:r>
        <w:rPr>
          <w:rFonts w:ascii="Times New Roman;sans-serif" w:hAnsi="Times New Roman;sans-serif"/>
          <w:b w:val="false"/>
          <w:color w:val="000000"/>
          <w:sz w:val="20"/>
        </w:rPr>
        <w:t>We believe that lidar is approaching its inflection point of adoption across our target end market 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continue to fluctuate on a quarterly and annual basis for the foreseeable future. As the market for lidar solutions matures and more customers reach a commercialization phase with solutions that rely on our technology, the fluctuations in our operating results may become less pronounced. In May 2023, the Company announced that it had been awarded a serial production agreement with Motional, a global leader in driverless technology, to be Motional’s exclusive supplier of long-range lidar using the VLS-128 lidar sensor through 2026, and we intend to seek to establish similar relationships with other customers. Nonetheless, our revenue may not grow as we expect unless and until more customers commercialize their products and lidar technology becomes more prevalent across our target end markets.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Number of Customers in Production. </w:t>
      </w:r>
      <w:r>
        <w:rPr>
          <w:rFonts w:ascii="Times New Roman;sans-serif" w:hAnsi="Times New Roman;sans-serif"/>
          <w:b w:val="false"/>
          <w:color w:val="000000"/>
          <w:sz w:val="20"/>
        </w:rPr>
        <w:t xml:space="preserve">For certain strategic customers and markets, our products must be integrated into a broader platform, which then must be tested, validated, and achieve system-level performance and reliability thresholds that enable commercial production and sales. The time necessary for these customers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vary significantly and the revenue generated by each customer in connection with commercial production and sales is unpredictable, it is difficult for us to reliably predict our financial performance.</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Customers’ Sales Volumes.</w:t>
      </w:r>
      <w:r>
        <w:rPr>
          <w:color w:val="000000"/>
        </w:rPr>
        <w:t xml:space="preserve"> </w:t>
      </w:r>
      <w:r>
        <w:rPr>
          <w:rFonts w:ascii="Times New Roman;sans-serif" w:hAnsi="Times New Roman;sans-serif"/>
          <w:b w:val="false"/>
          <w:color w:val="000000"/>
          <w:sz w:val="20"/>
        </w:rPr>
        <w:t>Our customer base is diversified and we will continue to penetrate into diverse end markets to increase our sales volumes. 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Average Selling Prices (“ASPs”), Product Costs and Margins. </w:t>
      </w:r>
      <w:r>
        <w:rPr>
          <w:rFonts w:ascii="Times New Roman;sans-serif" w:hAnsi="Times New Roman;sans-serif"/>
          <w:b w:val="false"/>
          <w:color w:val="000000"/>
          <w:sz w:val="20"/>
        </w:rPr>
        <w:t>Our product costs and gross margins depend largely on the volumes of sensors sold and the number and variety of solutions we provide to our customers. We expect that our selling prices will vary by target end market and application due to market-specific supply and demand dynamics. We expect to continue to experience some downward pressure on margins from the impact of the Velodyne Merger and related integration activities including the transition of manufacturing of our products to Thailand and excess and obsolete charges. We expect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decrease.</w:t>
      </w:r>
    </w:p>
    <w:p>
      <w:pPr>
        <w:pStyle w:val="TextBody"/>
        <w:bidi w:val="0"/>
        <w:spacing w:lineRule="auto" w:line="268" w:before="180" w:after="283"/>
        <w:ind w:left="0" w:right="0" w:firstLine="450"/>
        <w:jc w:val="left"/>
        <w:rPr/>
      </w:pPr>
      <w:r>
        <w:rPr>
          <w:rFonts w:ascii="Times New Roman;sans-serif" w:hAnsi="Times New Roman;sans-serif"/>
          <w:b w:val="false"/>
          <w:i/>
          <w:color w:val="000000"/>
          <w:sz w:val="20"/>
        </w:rPr>
        <w:t xml:space="preserve">Competition. </w:t>
      </w:r>
      <w:r>
        <w:rPr>
          <w:rFonts w:ascii="Times New Roman;sans-serif" w:hAnsi="Times New Roman;sans-serif"/>
          <w:b w:val="false"/>
          <w:color w:val="000000"/>
          <w:sz w:val="20"/>
        </w:rPr>
        <w:t>Lidar is an emerging market, and there are many competitors for the growing market. This has created downward pressure on our ASPs, particularly in the Asia and Pacific region. We expect this pressure to continue to push our ASPs lower in the coming years. However, we believe that because of our complementary metal-oxide-semiconductor (“CMOS”) digital lidar technology, we are well-positioned to scale more rapidly than our competitors and leverage our scale to deliver positive gross margins.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Continued Investment and Innovation.</w:t>
      </w:r>
      <w:r>
        <w:rPr>
          <w:color w:val="000000"/>
        </w:rPr>
        <w:t xml:space="preserve"> </w:t>
      </w:r>
      <w:r>
        <w:rPr>
          <w:rFonts w:ascii="Times New Roman;sans-serif" w:hAnsi="Times New Roman;sans-serif"/>
          <w:b w:val="false"/>
          <w:color w:val="000000"/>
          <w:sz w:val="20"/>
        </w:rPr>
        <w:t xml:space="preserve">We believe that we are a leading digital lidar provider. Our financial performance is significantly dependent on 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 </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Market Trends and Uncertainties. </w:t>
      </w:r>
      <w:r>
        <w:rPr>
          <w:rFonts w:ascii="Times New Roman;sans-serif" w:hAnsi="Times New Roman;sans-serif"/>
          <w:b w:val="false"/>
          <w:color w:val="000000"/>
          <w:sz w:val="20"/>
        </w:rPr>
        <w:t>We anticipate increasing demand for our digital lidar solution. We estimate a multibillion-dollar total addressable 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well-positioned in our market as a leading provider of high-resolution digital lidar sensors.</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International Expansion. </w:t>
      </w:r>
      <w:r>
        <w:rPr>
          <w:rFonts w:ascii="Times New Roman;sans-serif" w:hAnsi="Times New Roman;sans-serif"/>
          <w:b w:val="false"/>
          <w:color w:val="000000"/>
          <w:sz w:val="20"/>
        </w:rPr>
        <w:t>We view international expansion as an important element of our strategy to increase revenue and achieve profitability. We continue to position ourselves in geographic markets that we expect to serve as important sources of future growth. We have an existing presence in three regions: Americas;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comes from the sale of our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validation, maintenance under our extended warranty contracts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lidar adoption curve, and some customers are still learning their growth and demand rates which can impact the timing of purchase orders quarter to quarter. As we grow our business, we expect to improve our own understanding of our customers’ needs and timelines, and expect the timing of orders will have a less notable impact on our quarterly results.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of the manufacturing cost of our digital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IT costs, warranty expenses, excess and obsolete inventory and shipping costs.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and Gross Margin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gross profit equals total revenues less our total cost of revenues, and our gross margin is our gross profit expressed as a percentage of total revenue. Subject to quarterly fluctuations and volatility, we expect unit costs to decline as we manufacture higher unit volumes of sensors and a greater portion of our sensors are produced by our contract manufacturers in Thailand.</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Expenses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activities are primarily conducted at our San Francisco based headquarters and our additional R&amp;D facilities in Scotland, Canada and San Jose and consist of the following activities: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Design, prototyping, and testing of proprietary electrical, optical, and mechanical subsystems for our digital lidar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Robust testing for industrial and autonomous vehicle safety certifications;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 of new products and enhancements to existing products in response to customer requirements including firmware development and software development of lidar integration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Custom system-on-a-chip (“SoC”) design for Ouster’s digital lidar products;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 of custom manufacturing equipment.</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allocation of shared overhead costs including facilities, utilities and IT-related costs that support R&amp;D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R&amp;D costs are expensed as they are incurred. Our investment in R&amp;D will continue to grow as we invest in new lidar technology and related software. Our absolute amount of R&amp;D expenses will grow over time; however, we expect R&amp;D as a percentage of revenue to decrease over time as our business grows.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and Marketing Expenses </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associated with the acquisitions. We have experienced additional sales and marketing expenses as a result of our global expansion, and expect sales and marketing spend as a percentage of revenue to decrease over time as our business grows.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personnel-related expenses, including salaries, benefits, and stock-based compensation, of our executives and members of the board of directors, finance, human resources, an allocation of shared overhead costs including facilities, utilities and IT-related costs that support general and administrative activities, as well as amortization of intangible assets, fees related to legal fees, patent prosecution, accounting, finance and professional services, as well as insurance and bank fees. Our absolute amount of general and administrative expenses will grow over time; however, we expect the general and administrative spend as a percentage of revenue to decrease over time as our business grows. We have experienced and may in the near-term experience additional increases in general and administrative expenses related to legal, accounting, finance and professional services costs associated with the Velodyne Merger, litigation activities, hiring more personnel and consultants to support our growing international expansion and compliance with the applicable provisions of the Sarbanes-Oxley Act (“SOX”) and other SEC rules and regulations as a result of being a public company.</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Charges</w:t>
      </w:r>
    </w:p>
    <w:p>
      <w:pPr>
        <w:pStyle w:val="TextBody"/>
        <w:bidi w:val="0"/>
        <w:spacing w:lineRule="auto" w:line="26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interim goodwill impairment assessment during the three and six months ended June 30, 2023, we recorded goodwill impairment charges of approximately $67.3 million and $166.7 million, respectively. These charges were primarily driven by the decrease in the Company’s market capitalization during the period. Our goodwill impairment analysis includes a comparison of the aggregate estimated fair value of our reporting unit to our total market capitalization. If our stock trades below our book value, a significant and sustained decline in our stock price and market capitalization could result in additional material goodwill impairment charges in the future. During times of financial market volatility, significant judgment is used to determine the underlying cause of the decline and whether stock price declines are short-term in nature or indicative of an event or change in circumstances. As of June 30, 2023, our remaining goodwill balance was nil. No goodwill impairment charges were recognized during the year ended December 31,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Interest Expense, and Other Income (Expense), Net </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income earned on our cash and cash equivalents. These amounts will vary based on our cash and cash equivalents balances in interest bearing deposit accounts and market rates. Interest expense consists primarily of interest on our debt and amortization of debt issuance costs and discounts. Other income (expense), net consists primarily of realized and unrealized gains and losses on foreign currency transactions and balances, realized gains and losses related to sales of our available-for-sale investments, the change in fair value of the private placement warrant liability.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excluding specific balances due to the Velodyne Merger, against our net deferred tax assets. Income tax provision for the three and six months ended June 30, 2023 and 2022, respectively, was not material to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presented below should be reviewed in conjunction with the condensed consolidated financial statements and notes included elsewhere in this Quarterly Report on Form 10-Q. The following table sets forth our condensed consolidated results of operations data for the periods presented: </w:t>
      </w:r>
    </w:p>
    <w:tbl>
      <w:tblPr>
        <w:tblW w:w="8519" w:type="dxa"/>
        <w:jc w:val="left"/>
        <w:tblInd w:w="0" w:type="dxa"/>
        <w:tblLayout w:type="fixed"/>
        <w:tblCellMar>
          <w:top w:w="28" w:type="dxa"/>
          <w:left w:w="28" w:type="dxa"/>
          <w:bottom w:w="28" w:type="dxa"/>
          <w:right w:w="28" w:type="dxa"/>
        </w:tblCellMar>
      </w:tblPr>
      <w:tblGrid>
        <w:gridCol w:w="1019"/>
        <w:gridCol w:w="898"/>
        <w:gridCol w:w="902"/>
        <w:gridCol w:w="211"/>
        <w:gridCol w:w="901"/>
        <w:gridCol w:w="109"/>
        <w:gridCol w:w="109"/>
        <w:gridCol w:w="109"/>
        <w:gridCol w:w="109"/>
        <w:gridCol w:w="211"/>
        <w:gridCol w:w="796"/>
        <w:gridCol w:w="109"/>
        <w:gridCol w:w="109"/>
        <w:gridCol w:w="109"/>
        <w:gridCol w:w="109"/>
        <w:gridCol w:w="211"/>
        <w:gridCol w:w="901"/>
        <w:gridCol w:w="109"/>
        <w:gridCol w:w="109"/>
        <w:gridCol w:w="109"/>
        <w:gridCol w:w="109"/>
        <w:gridCol w:w="211"/>
        <w:gridCol w:w="796"/>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condensed consolidated statements of operations and comprehensive loss data as a percentage of revenue for the periods presented: </w:t>
      </w:r>
    </w:p>
    <w:tbl>
      <w:tblPr>
        <w:tblW w:w="8243" w:type="dxa"/>
        <w:jc w:val="left"/>
        <w:tblInd w:w="0" w:type="dxa"/>
        <w:tblLayout w:type="fixed"/>
        <w:tblCellMar>
          <w:top w:w="28" w:type="dxa"/>
          <w:left w:w="28" w:type="dxa"/>
          <w:bottom w:w="28" w:type="dxa"/>
          <w:right w:w="28" w:type="dxa"/>
        </w:tblCellMar>
      </w:tblPr>
      <w:tblGrid>
        <w:gridCol w:w="1019"/>
        <w:gridCol w:w="899"/>
        <w:gridCol w:w="902"/>
        <w:gridCol w:w="269"/>
        <w:gridCol w:w="271"/>
        <w:gridCol w:w="470"/>
        <w:gridCol w:w="189"/>
        <w:gridCol w:w="189"/>
        <w:gridCol w:w="189"/>
        <w:gridCol w:w="269"/>
        <w:gridCol w:w="271"/>
        <w:gridCol w:w="470"/>
        <w:gridCol w:w="109"/>
        <w:gridCol w:w="109"/>
        <w:gridCol w:w="109"/>
        <w:gridCol w:w="269"/>
        <w:gridCol w:w="271"/>
        <w:gridCol w:w="424"/>
        <w:gridCol w:w="170"/>
        <w:gridCol w:w="170"/>
        <w:gridCol w:w="170"/>
        <w:gridCol w:w="269"/>
        <w:gridCol w:w="271"/>
        <w:gridCol w:w="495"/>
      </w:tblGrid>
      <w:tr>
        <w:trPr/>
        <w:tc>
          <w:tcPr>
            <w:tcW w:w="101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revenue)</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0"/>
              </w:rPr>
              <w:t>(1)</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 xml:space="preserve">Operating expenses </w:t>
            </w:r>
            <w:r>
              <w:rPr>
                <w:rFonts w:ascii="Times New Roman;sans-serif" w:hAnsi="Times New Roman;sans-serif"/>
                <w:b w:val="false"/>
                <w:color w:val="000000"/>
                <w:sz w:val="10"/>
              </w:rPr>
              <w:t>(1)</w:t>
            </w:r>
            <w:r>
              <w:rPr>
                <w:rFonts w:ascii="Times New Roman;sans-serif" w:hAnsi="Times New Roman;sans-serif"/>
                <w:b w:val="false"/>
                <w:color w:val="000000"/>
                <w:sz w:val="20"/>
              </w:rPr>
              <w:t>:</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Includes stock-based compensation expense as follows: </w:t>
      </w:r>
    </w:p>
    <w:tbl>
      <w:tblPr>
        <w:tblW w:w="7829" w:type="dxa"/>
        <w:jc w:val="left"/>
        <w:tblInd w:w="0" w:type="dxa"/>
        <w:tblLayout w:type="fixed"/>
        <w:tblCellMar>
          <w:top w:w="28" w:type="dxa"/>
          <w:left w:w="28" w:type="dxa"/>
          <w:bottom w:w="28" w:type="dxa"/>
          <w:right w:w="28" w:type="dxa"/>
        </w:tblCellMar>
      </w:tblPr>
      <w:tblGrid>
        <w:gridCol w:w="992"/>
        <w:gridCol w:w="874"/>
        <w:gridCol w:w="878"/>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June 30, 2023 and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7718" w:type="dxa"/>
        <w:jc w:val="left"/>
        <w:tblInd w:w="0" w:type="dxa"/>
        <w:tblLayout w:type="fixed"/>
        <w:tblCellMar>
          <w:top w:w="28" w:type="dxa"/>
          <w:left w:w="28" w:type="dxa"/>
          <w:bottom w:w="28" w:type="dxa"/>
          <w:right w:w="28" w:type="dxa"/>
        </w:tblCellMar>
      </w:tblPr>
      <w:tblGrid>
        <w:gridCol w:w="1026"/>
        <w:gridCol w:w="903"/>
        <w:gridCol w:w="90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33"/>
        <w:gridCol w:w="233"/>
        <w:gridCol w:w="418"/>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location: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and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$9.1 million, or 88%, to $19.4 million for the three months ended June 30, 2023 from $10.3 million for the comparable period in the prior year. The increase in revenue was primarily driven by the increase in volume that was due to the Velodyne Merger. In addition, the Company launched the REV7 sensors and realized higher OS sensor revenues in 2023.</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Geographic Locations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across the geographic regions of Americas; Asia and Pacific; and Europe, Middle East and Africa as compared to the comparable period in the prior year. The revenue increases in those geographic regions were primarily attributable to the Velodyne Merger, our continued focus and investment in our global sales team and an expansion in the demand for our sensors during the three months ended June 30, 2023.</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6277" w:type="dxa"/>
        <w:jc w:val="left"/>
        <w:tblInd w:w="0" w:type="dxa"/>
        <w:tblLayout w:type="fixed"/>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33"/>
        <w:gridCol w:w="233"/>
        <w:gridCol w:w="418"/>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$11.7 million, or 155%, to $19.2 million for the three months ended June 30, 2023 from $7.5 million for the comparable period in the prior year. The increase in cost of revenue was primarily attributable to the Velodyne Merger, which increased revenues and costs, and higher costs related to the transition to the REV7 sensors.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tbl>
      <w:tblPr>
        <w:tblW w:w="7612" w:type="dxa"/>
        <w:jc w:val="left"/>
        <w:tblInd w:w="0" w:type="dxa"/>
        <w:tblLayout w:type="fixed"/>
        <w:tblCellMar>
          <w:top w:w="28" w:type="dxa"/>
          <w:left w:w="28" w:type="dxa"/>
          <w:bottom w:w="28" w:type="dxa"/>
          <w:right w:w="28" w:type="dxa"/>
        </w:tblCellMar>
      </w:tblPr>
      <w:tblGrid>
        <w:gridCol w:w="912"/>
        <w:gridCol w:w="802"/>
        <w:gridCol w:w="805"/>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418"/>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meaningful.</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$10.6 million, or 66%, to $26.4 million for the three months ended June 30, 2023 from $15.9 million for the comparable period in the prior year. The increase was primarily attributable to the Velodyne Merger, which increased headcount related expenses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and Marketing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$4.1 million, or 54%, to $11.7 million for the three months ended June 30, 2023 from $7.6 million for the comparable period in the prior year. The increase was primarily attributable to the Velodyne Merger, which increased headcount related expenses and other costs.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$5.3 million, or 43%, to $17.8 million for the three months ended June 30, 2023 from $12.5 million for the comparable period in the prior year. The increase was primarily attributable to the Velodyne Merger, which increased headcount related expenses and other costs.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Charges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 were $67.3 million for the three months ended June 30, 2023 for the reasons described above under “Goodwill impairment charges.” There were no goodwill impairment charges during the three months ended June 30,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Interest Expense and Other Income (Expense), Net </w:t>
      </w:r>
    </w:p>
    <w:tbl>
      <w:tblPr>
        <w:tblW w:w="7195" w:type="dxa"/>
        <w:jc w:val="left"/>
        <w:tblInd w:w="0" w:type="dxa"/>
        <w:tblLayout w:type="fixed"/>
        <w:tblCellMar>
          <w:top w:w="28" w:type="dxa"/>
          <w:left w:w="28" w:type="dxa"/>
          <w:bottom w:w="28" w:type="dxa"/>
          <w:right w:w="28" w:type="dxa"/>
        </w:tblCellMar>
      </w:tblPr>
      <w:tblGrid>
        <w:gridCol w:w="864"/>
        <w:gridCol w:w="757"/>
        <w:gridCol w:w="764"/>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69"/>
        <w:gridCol w:w="271"/>
        <w:gridCol w:w="418"/>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meaningful</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was primarily attributable to a higher average cash and cash equivalent balances driven by additions through the Velodyne Merger transaction.</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$1.7 million and $0.4 million for the three months ended June 30, 2023 and 2022, respectively, related to higher interest on term loan borrowings and amortization of debt issuance costs and discount under our Loan Agreement (as defined below).</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$(0.2) million for the three months ended June 30, 2023 compared to $5.3 million for the comparable period in the prior year. During the three months ended June 30, 2022, we recorded a gain of $5.4 million for the fair value change of the private placement warrant liability.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were subject to income taxes in the United States and miscellaneous foreign jurisdictions for the three months ended June 30, 2023 and 2022. Our income tax expense for three months ended June 30, 2023 and 2022 was not material to our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Six Months Ended June 30, 2023 and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7822" w:type="dxa"/>
        <w:jc w:val="left"/>
        <w:tblInd w:w="0" w:type="dxa"/>
        <w:tblLayout w:type="fixed"/>
        <w:tblCellMar>
          <w:top w:w="28" w:type="dxa"/>
          <w:left w:w="28" w:type="dxa"/>
          <w:bottom w:w="28" w:type="dxa"/>
          <w:right w:w="28" w:type="dxa"/>
        </w:tblCellMar>
      </w:tblPr>
      <w:tblGrid>
        <w:gridCol w:w="1023"/>
        <w:gridCol w:w="903"/>
        <w:gridCol w:w="9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418"/>
      </w:tblGrid>
      <w:tr>
        <w:trPr/>
        <w:tc>
          <w:tcPr>
            <w:tcW w:w="102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location: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and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$17.7 million, or 94%, to $36.6 million for the six months ended June 30, 2023 from $18.9 million for the comparable period in the prior year. The increase in revenue was driven by the increase in volume that was largely due to the Velodyne Merger. In addition, the Company launched the REV7 sensors and realized higher OS sensor revenues in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Geographic Locations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across the geographic regions of Americas; Asia and Pacific; and Europe, Middle East and Africa as compared to the comparable period in the prior year. The revenue increases in those geographic regions were primarily attributable to the Velodyne Merger, our continued focus and investment in our global sales team and increased demand for our sensors during the six months ended June 30, 2023.</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6382" w:type="dxa"/>
        <w:jc w:val="left"/>
        <w:tblInd w:w="0" w:type="dxa"/>
        <w:tblLayout w:type="fixed"/>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418"/>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$23.3 million, or 172%, to $36.8 million for the six months ended June 30, 2023 from $13.5 million for the comparable period in the prior year. The increase in cost of revenue was primarily attributable to the Velodyne Merger, which increased revenues and costs, and higher costs related to the transition to the REV7 sensors.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tbl>
      <w:tblPr>
        <w:tblW w:w="7717" w:type="dxa"/>
        <w:jc w:val="left"/>
        <w:tblInd w:w="0" w:type="dxa"/>
        <w:tblLayout w:type="fixed"/>
        <w:tblCellMar>
          <w:top w:w="28" w:type="dxa"/>
          <w:left w:w="28" w:type="dxa"/>
          <w:bottom w:w="28" w:type="dxa"/>
          <w:right w:w="28" w:type="dxa"/>
        </w:tblCellMar>
      </w:tblPr>
      <w:tblGrid>
        <w:gridCol w:w="912"/>
        <w:gridCol w:w="802"/>
        <w:gridCol w:w="80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32"/>
        <w:gridCol w:w="234"/>
        <w:gridCol w:w="418"/>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4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$27.1 million, or 85%, to $58.9 million for the six months ended June 30, 2023 from $31.8 million for the comparable period in the prior year. The increase was primarily attributable to the Velodyne Merger, which increased headcount related expenses and other costs.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and Marketing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$10.5 million, or 72%, to $25.2 million for the six months ended June 30, 2023 from $14.7 million for the comparable period in the prior year. The increase was primarily attributable to the Velodyne Merger, which increased headcount related expenses and other costs.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$22.9 million, or 87%, to $49.2 million for the six months ended June 30, 2023 from $26.3 million for the comparable period in the prior year. The increase was primarily attributable to the Velodyne Merger, which increased headcount related expenses and other costs.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 Charges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charges were $166.7 million for the six months ended June 30, 2023 for the reasons described above under “Goodwill impairment charges.” There were no goodwill impairment charges during the six months ended June 30,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Interest Expense and Other Income (Expense), Net </w:t>
      </w:r>
    </w:p>
    <w:tbl>
      <w:tblPr>
        <w:tblW w:w="7002" w:type="dxa"/>
        <w:jc w:val="left"/>
        <w:tblInd w:w="0" w:type="dxa"/>
        <w:tblLayout w:type="fixed"/>
        <w:tblCellMar>
          <w:top w:w="28" w:type="dxa"/>
          <w:left w:w="28" w:type="dxa"/>
          <w:bottom w:w="28" w:type="dxa"/>
          <w:right w:w="28" w:type="dxa"/>
        </w:tblCellMar>
      </w:tblPr>
      <w:tblGrid>
        <w:gridCol w:w="864"/>
        <w:gridCol w:w="757"/>
        <w:gridCol w:w="764"/>
        <w:gridCol w:w="213"/>
        <w:gridCol w:w="622"/>
        <w:gridCol w:w="110"/>
        <w:gridCol w:w="110"/>
        <w:gridCol w:w="110"/>
        <w:gridCol w:w="110"/>
        <w:gridCol w:w="213"/>
        <w:gridCol w:w="471"/>
        <w:gridCol w:w="110"/>
        <w:gridCol w:w="109"/>
        <w:gridCol w:w="109"/>
        <w:gridCol w:w="109"/>
        <w:gridCol w:w="211"/>
        <w:gridCol w:w="616"/>
        <w:gridCol w:w="109"/>
        <w:gridCol w:w="109"/>
        <w:gridCol w:w="109"/>
        <w:gridCol w:w="109"/>
        <w:gridCol w:w="269"/>
        <w:gridCol w:w="271"/>
        <w:gridCol w:w="418"/>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was primarily attributable to a higher average cash and cash equivalent balances driven by additions through the Velodyne Merger transaction.</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$3.4 million for the six months ended June 30, 2023 and related to term loan borrowings and amortization of debt issuance costs and discount under our Loan Agreement (as defined below). Interest expense recorded for the six months ended June 30, 2022 primarily consisted of interest and amortization of debt issuance cost under our Loan Agreement which commenced on April 29, 2022.</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$(0.2) million for the six months ended June 30, 2023 compared to $7.0 million for the comparable period in the prior year. During the six months ended June 30, 2022, we recorded a gain of $7.1 million for the change in fair value of private placement warrant liability.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were subject to income taxes in the United States and miscellaneous foreign jurisdictions for the six months ended June 30, 2023 and 2022. Our income tax expense for the six months ended June 30, 2023 and 2022 was not material to the Company’s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our cash and cash equivalents and short-term investments funded through the Velodyne Merger, cash generated from revenues, sales of common stock under our at-the market equity offering program and proceeds from our Loan Agreement with Hercules Capital, Inc.</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“at-the-market” equity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funding. During the three and six months ended June 30, 2023, we did not sell any stock under the ATM Agreement. The remaining availability under the ATM Agreement as of June 30, 2023 is approximately $133.2 million. We previously suspended the ATM Agreement; however, as stated in our Quarterly Report on Form 10-Q for the quarter ended March 31, 2023, we no longer consider the program to be suspended. We may elect to make sales under the ATM Agreement, and if so, we intend to use the net proceeds from the sale of shares pursuant to the ATM Agreement for working capital and general corporate purposes.</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Loan Agreement with Hercules Capital, Inc., see Note 6, Debt to our unaudited condensed consolidated financial statements included in this Quarterly Report.</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requirements for liquidity and capital are working capital, inventory management, capital expenditures, public company costs and general corporate needs. We expect these needs to continue as we develop and grow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June 30, 2023,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8, Commitments and Contingencies and Part II, Item 7 of our Annual Report on Form 10-K as filed with the SEC on March 24,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Company’s existing sources of liquidity included cash, cash equivalents and short-term investments of $224.4 million. The Company has incurred losses and negative cash flows from operations for several years. If the Company continues to incur losses in the future, it may need to improve liquidity and raise additional capital through the issuance of equity, including under the ATM Agreement, and/or debt. This is subject, to a certain extent, to general economic, financial, competitive, regulatory, and other factors that are beyond our control and there can be no assurance that the Company would be able to raise such capital. Nevertheless, management believes that the Company’s existing sources of liquidity will be adequate to fund its operations for at least twelve months from the date the unaudited condensed consolidated financial statements in this Quarterly Report were available for issuance.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Flow Summary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from continuing operations for the periods presented:</w:t>
      </w:r>
    </w:p>
    <w:tbl>
      <w:tblPr>
        <w:tblW w:w="4778" w:type="dxa"/>
        <w:jc w:val="left"/>
        <w:tblInd w:w="0" w:type="dxa"/>
        <w:tblLayout w:type="fixed"/>
        <w:tblCellMar>
          <w:top w:w="28" w:type="dxa"/>
          <w:left w:w="28" w:type="dxa"/>
          <w:bottom w:w="28" w:type="dxa"/>
          <w:right w:w="28" w:type="dxa"/>
        </w:tblCellMar>
      </w:tblPr>
      <w:tblGrid>
        <w:gridCol w:w="853"/>
        <w:gridCol w:w="749"/>
        <w:gridCol w:w="752"/>
        <w:gridCol w:w="196"/>
        <w:gridCol w:w="721"/>
        <w:gridCol w:w="109"/>
        <w:gridCol w:w="109"/>
        <w:gridCol w:w="109"/>
        <w:gridCol w:w="109"/>
        <w:gridCol w:w="196"/>
        <w:gridCol w:w="72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thousands)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operating activities used $86.5 million in cash. The primary factors affecting our operating cash flows during this period were our net loss of $300.0 million, impacted by our non-cash charges of $223.2 million, primarily consisting of goodwill impairment charges of $166.7 million, depreciation and amortization of $10.6 million, loss on write-off of construction in progress and right-of-use asset impairment of $1.4 million, stock-based compensation of $38.2 million, a change in right-of-use asset of $2.0 million and inventory write down of $5.1 million. The changes in our operating assets and liabilities of $9.6 million were primarily due to an increase in accounts receivable of $3.4 million, increase in inventory of $3.6 million, a decrease in accounts payable of $1.7 million and an increase in accrued and other liabilities of $4.8 million.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operating activities used $55.4 million in cash. The primary factors affecting our operating cash flows during this period were our net loss of $60.4 million, impacted by our non-cash charges of $16.6 million primarily consisting of stock-based compensation of $16.9 million, a $7.1 million change in fair value of warrant liabilities, depreciation and amortization of $4.7 million, a change in right-of-use asset of $1.4 million, interest expense and amortization of debt issuance costs and a debt discount of $0.4 million. The changes in our operating assets and liabilities of $11.6 million were primarily due to a decrease in operating lease liability of $1.6 million, an increase in accounts payable of $1.1 million, a decrease in accounts receivable of $1.3 million and an increase in accrued and other liabilities of $0.3 million.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cash provided by investing activities was $54.7 million, which was attributed primarily to the Velodyne Merger and proceeds from sales of short-term investments.</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cash used in investing activities was $1.0 million, which was related to purchases of property, plant and equipment, partially offset by sales of property and equipment.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8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 for the six months ended June 30, 2023 were not material. During the six months ended June 30, 2022, cash provided by financing activities was $33.6 million, consisting primarily of $19.1 million of proceeds from borrowings, net of debt discount and issuance costs, $14.6 million of proceeds from the issuance of common stock under the ATM Agreement, net of commissions and fees and proceeds from the exercise of stock options of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in Management’s Discussion and Analysis of Financial Condition and Results of Operations in our Annual Report on Form 10-K for the year ended December 31, 2022. There have been no significant changes to our critical accounting policies since the filing of our Annual Report on Form 10-K for the year ended December 31, 2022 except for the revision in our revenue policies and addition of investments as a significant accounting policy, both in connection with Velodyne Merger, which is described in Note 2 - Summary of Significant Accounting Policies to our unaudited condensed consolidated financial statements included in this Quarterly Report on Form 10-Q.</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us to make estimates and assumptions. Certain of these policies require the application of subjective or complex judgments, often as a result of the need to make estimates about the effect of matters that are inherently uncertain. These estimates and assumptions are based on historical experience, changes in the business environment and other factors that we believe to be reasonable under the circumstances. Different estimates that could have been applied in the current period or changes in the accounting estimates that are reasonably likely can result in a material impact on our financial condition and operating results in the current and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information regarding these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inflation in the United States,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 While we adjust our prices to try to offset rising operating costs, we may not be able to fully offset such higher costs or demand may decline. Our inability to offset costs or consequential decline in demand could harm our business, results of operations or financial condition.</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lineRule="auto" w:line="288" w:before="180" w:after="283"/>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June 30, 2023, we had cash and cash equivalents and short-term investments of approximately $224.4 million, out of which $19.4 million consisted of institutional money market funds, $95.0 million commercial paper, and $38.1 million corporate debt and U.S. government agency securities which carries a degree of interest rate risk. The primary goals of our investment policy are liquidity and capital preservation. We do not enter into investments for trading or speculative purposes.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ability 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pStyle w:val="TextBody"/>
        <w:bidi w:val="0"/>
        <w:spacing w:lineRule="auto" w:line="288" w:before="180" w:after="283"/>
        <w:ind w:left="0" w:right="0" w:firstLine="450"/>
        <w:jc w:val="left"/>
        <w:rPr/>
      </w:pPr>
      <w:r>
        <w:rPr>
          <w:rFonts w:ascii="Times New Roman;sans-serif" w:hAnsi="Times New Roman;sans-serif"/>
          <w:b w:val="false"/>
          <w:color w:val="000000"/>
          <w:sz w:val="20"/>
        </w:rPr>
        <w:t>In addition, our operating results are subject to risk from interest rate fluctuations on borrowings under our Loan Agreement, which carry variable interest rates. Interest rate risk is the exposure to loss resulting from changes in the level of interest rates and the spread between different interest rates. Because our borrowings under our Loan Agreement bear interest at variable rates, we are exposed to market risks relating to changes in interest rates. Interest rate risk is highly sensitive due to many f</w:t>
      </w:r>
      <w:r>
        <w:rPr>
          <w:rFonts w:ascii="Times New Roman;sans-serif" w:hAnsi="Times New Roman;sans-serif"/>
          <w:b w:val="false"/>
          <w:color w:val="000000"/>
          <w:sz w:val="20"/>
          <w:shd w:fill="FFFFFF" w:val="clear"/>
        </w:rPr>
        <w:t>actors, including U.S. monetary and tax policies, U.S. and international economic factors and other factors beyond our control. As of June 30, 2023, we had $40.1 million of variable rate debt outstanding under our Loan Agreement. Based upon a sensitivity analysis of our debt levels on June 30, 2023, an increase or decrease of 1% point in the effective interest rate would cause an increase or decrease in interest expense of approximately $0.4 million over the next 12 months. We do not use derivative financial instruments for speculative or trading purposes, but this does not preclude our adoption of specific hedging strategies in the future.</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Exchange Risk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Limitations on Effectiveness of Controls and Procedures</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the effectiveness of our disclosure controls and procedures (as that term is defined in Rules 13a-15(e) and 15d-15(e) under the Exchange Act) as of June 30, 2023. Based on that evaluation, our principal executive officer and principal financial officer concluded that our disclosure controls and procedures were not effective as of June 30, 2023 due to the material weaknesses in our internal control over financial reporting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Material weaknesses and remediation measures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Rules 13a-15(f) and 15d-15(f) under the Exchange Act).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Remediation Measures Taken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taken several measures to design and implement controls to improve our internal control over financial reporting and continued to make progress during the quarter ended June 30, 2023 towards establishing an effective internal control framework to remediate the foregoing material weaknesses. Our efforts have included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Recruiting additional personnel with appropriate internal controls, accounting knowledge and experience commensurate with our accounting and reporting requirements, in addition to engaging and utilizing third party consultants and specialists.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Enhancing entity level controls (ELCs) including increasing Board and Audit Committee oversight, expanding senior management review of financial and business performance, creating an internal audit function and charter, and providing code of conduct and compliance training to Company employees.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Strengthening IT governance and designing IT general controls including restricted user access to our internal systems for financial reporting, and IT change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Designing and implementing additional controls for financial close and reporting including review of accounting policies, journal entry review controls, review of significant or non-routine transactions, period end close procedures, financial statement preparation, review, and reporting, and controls within various business processes as they relate to financial reporting. This included design and implementation of controls around classification of balances in our financial statements and strengthening processes for management oversight over financial reporting and disclosure controls.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Conducting internal control training for personnel responsible for implementing internal controls for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review our internal control over financial reporting diligently.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measures described above, there were no changes in our internal control over financial reporting (as that term is defined in Rules 13a-15(f) and 15d-15(f) under the Exchange Act) during the quarter ended June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been and may again become involved in legal proceedings arising in the ordinary course of our business. See Part I, Item 1 “Financial Statements (Unaudited) - Note 8, Commitments and Contingencies” for a discussion of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securities involves a high degree of risk. You should carefully consider the risks described under the heading “Risk Factors” in Part I, Item 1A. of our Annual Report on Form 10-K for the fiscal year ended December 31, 2022 (“2022 Form 10-K”), the other information in this Quarterly Report on Form 10-Q, including our unaudited condensed consolidated financial statements and the related notes, as well as our other public filings with the SEC, before deciding to invest in our securities. There have been no material changes to the Company’s risk factors previously disclosed in our 2022 Form 10-K. The occurrence of any of the events described therein could harm our business, financial condition, results of operations, liquidity or prospects. In such an event, the market price of our common stock could decline, and you may lose all or part of your investment. Additional risks and uncertainties not presently known to us or that we currently deem immaterial may also impair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did not sell any securities during the three months ended June 30, 2023 that were not registered under the Securities Act.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did not purchase any of our equity securities that are registered under Section 12(b) of the Exchange Act during the three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a.None.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b.None.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31"/>
        <w:gridCol w:w="291"/>
        <w:gridCol w:w="292"/>
        <w:gridCol w:w="109"/>
        <w:gridCol w:w="109"/>
        <w:gridCol w:w="109"/>
        <w:gridCol w:w="1298"/>
        <w:gridCol w:w="1044"/>
        <w:gridCol w:w="1047"/>
        <w:gridCol w:w="109"/>
        <w:gridCol w:w="109"/>
        <w:gridCol w:w="109"/>
        <w:gridCol w:w="204"/>
        <w:gridCol w:w="204"/>
        <w:gridCol w:w="205"/>
        <w:gridCol w:w="109"/>
        <w:gridCol w:w="109"/>
        <w:gridCol w:w="109"/>
        <w:gridCol w:w="271"/>
        <w:gridCol w:w="271"/>
        <w:gridCol w:w="250"/>
        <w:gridCol w:w="109"/>
        <w:gridCol w:w="109"/>
        <w:gridCol w:w="109"/>
        <w:gridCol w:w="245"/>
        <w:gridCol w:w="245"/>
        <w:gridCol w:w="246"/>
        <w:gridCol w:w="109"/>
        <w:gridCol w:w="109"/>
        <w:gridCol w:w="109"/>
        <w:gridCol w:w="228"/>
        <w:gridCol w:w="228"/>
        <w:gridCol w:w="229"/>
        <w:gridCol w:w="109"/>
        <w:gridCol w:w="109"/>
        <w:gridCol w:w="109"/>
        <w:gridCol w:w="324"/>
        <w:gridCol w:w="324"/>
        <w:gridCol w:w="466"/>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Furnished herewith</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"https://www.sec.gov/Archives/edgar/data/1816581/000119312521036740/d10549ds4a.htm" \l "rom10549_42"</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2.1†</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"https://www.sec.gov/Archives/edgar/data/1816581/000119312521036740/d10549ds4a.htm" \l "rom10549_42"</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Agreement and Plan of Merger, dated as of December 21, 2020, by and among the Company, Beam Merger Sub, Inc. and Ouster, Inc.</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Agreement and Plan of Merger, dated November 4, 2022, by and among Velodyne Lidar, Inc., Ouster, Inc., Oban Merger Sub, Inc. and Oban Merger Sub II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Certificate of Incorporation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 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0"/>
                  <w:u w:val="single"/>
                </w:rPr>
                <w:t>Certificate of Amendment to Certificate of Incorporation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20"/>
                  <w:u w:val="single"/>
                </w:rPr>
                <w:t>Bylaws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S-4 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FF"/>
                  <w:sz w:val="20"/>
                  <w:u w:val="single"/>
                </w:rPr>
                <w:t xml:space="preserve">Warrant Agreement, dated October 14, 2018, by and between Continental Stock Transfer &amp; Trust Company and Velodyne Lidar,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20"/>
                  <w:u w:val="single"/>
                </w:rPr>
                <w:t>Warrant to Purchase Common Stock of Velodyne Lidar, Inc., by and between Velodyne Lidar, Inc. and Amazon.com NV Investment Holdings LLC, dated as of February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e23xex101.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40"/>
              <w:jc w:val="both"/>
              <w:rPr/>
            </w:pPr>
            <w:hyperlink w:anchor="oust-30june23xex101.htm">
              <w:r>
                <w:rPr>
                  <w:rStyle w:val="InternetLink"/>
                  <w:rFonts w:ascii="Times New Roman;sans-serif" w:hAnsi="Times New Roman;sans-serif"/>
                  <w:b w:val="false"/>
                  <w:color w:val="000080"/>
                  <w:sz w:val="20"/>
                  <w:u w:val="single"/>
                </w:rPr>
                <w:t xml:space="preserve">Joinder Agreement </w:t>
              </w:r>
            </w:hyperlink>
            <w:hyperlink w:anchor="oust-30june23xex101.htm">
              <w:r>
                <w:rPr>
                  <w:rStyle w:val="InternetLink"/>
                  <w:rFonts w:ascii="Times New Roman;sans-serif" w:hAnsi="Times New Roman;sans-serif"/>
                  <w:b w:val="false"/>
                  <w:color w:val="000080"/>
                  <w:sz w:val="20"/>
                  <w:u w:val="single"/>
                </w:rPr>
                <w:t>by and between V</w:t>
              </w:r>
            </w:hyperlink>
            <w:hyperlink w:anchor="oust-30june23xex101.htm">
              <w:r>
                <w:rPr>
                  <w:rStyle w:val="InternetLink"/>
                  <w:rFonts w:ascii="Times New Roman;sans-serif" w:hAnsi="Times New Roman;sans-serif"/>
                  <w:b w:val="false"/>
                  <w:color w:val="000080"/>
                  <w:sz w:val="20"/>
                  <w:u w:val="single"/>
                </w:rPr>
                <w:t xml:space="preserve">elodyne Lidar </w:t>
              </w:r>
            </w:hyperlink>
            <w:hyperlink w:anchor="oust-30june23xex101.htm">
              <w:r>
                <w:rPr>
                  <w:rStyle w:val="InternetLink"/>
                  <w:rFonts w:ascii="Times New Roman;sans-serif" w:hAnsi="Times New Roman;sans-serif"/>
                  <w:b w:val="false"/>
                  <w:color w:val="000080"/>
                  <w:sz w:val="20"/>
                  <w:u w:val="single"/>
                </w:rPr>
                <w:t>USA,</w:t>
              </w:r>
            </w:hyperlink>
            <w:hyperlink w:anchor="oust-30june23xex101.htm">
              <w:r>
                <w:rPr>
                  <w:rStyle w:val="InternetLink"/>
                  <w:rFonts w:ascii="Times New Roman;sans-serif" w:hAnsi="Times New Roman;sans-serif"/>
                  <w:b w:val="false"/>
                  <w:color w:val="000080"/>
                  <w:sz w:val="20"/>
                  <w:u w:val="single"/>
                </w:rPr>
                <w:t xml:space="preserve"> Inc. </w:t>
              </w:r>
            </w:hyperlink>
            <w:hyperlink w:anchor="oust-30june23xex101.htm">
              <w:r>
                <w:rPr>
                  <w:rStyle w:val="InternetLink"/>
                  <w:rFonts w:ascii="Times New Roman;sans-serif" w:hAnsi="Times New Roman;sans-serif"/>
                  <w:b w:val="false"/>
                  <w:color w:val="000080"/>
                  <w:sz w:val="20"/>
                  <w:u w:val="single"/>
                </w:rPr>
                <w:t>and H</w:t>
              </w:r>
            </w:hyperlink>
            <w:hyperlink w:anchor="oust-30june23xex101.htm">
              <w:r>
                <w:rPr>
                  <w:rStyle w:val="InternetLink"/>
                  <w:rFonts w:ascii="Times New Roman;sans-serif" w:hAnsi="Times New Roman;sans-serif"/>
                  <w:b w:val="false"/>
                  <w:color w:val="000080"/>
                  <w:sz w:val="20"/>
                  <w:u w:val="single"/>
                </w:rPr>
                <w:t>ercules</w:t>
              </w:r>
            </w:hyperlink>
            <w:hyperlink w:anchor="oust-30june23xex101.htm">
              <w:r>
                <w:rPr>
                  <w:rStyle w:val="InternetLink"/>
                  <w:rFonts w:ascii="Times New Roman;sans-serif" w:hAnsi="Times New Roman;sans-serif"/>
                  <w:b w:val="false"/>
                  <w:color w:val="000080"/>
                  <w:sz w:val="20"/>
                  <w:u w:val="single"/>
                </w:rPr>
                <w:t xml:space="preserve"> </w:t>
              </w:r>
            </w:hyperlink>
            <w:hyperlink w:anchor="oust-30june23xex101.htm">
              <w:r>
                <w:rPr>
                  <w:rStyle w:val="InternetLink"/>
                  <w:rFonts w:ascii="Times New Roman;sans-serif" w:hAnsi="Times New Roman;sans-serif"/>
                  <w:b w:val="false"/>
                  <w:color w:val="000080"/>
                  <w:sz w:val="20"/>
                  <w:u w:val="single"/>
                </w:rPr>
                <w:t>C</w:t>
              </w:r>
            </w:hyperlink>
            <w:hyperlink w:anchor="oust-30june23xex101.htm">
              <w:r>
                <w:rPr>
                  <w:rStyle w:val="InternetLink"/>
                  <w:rFonts w:ascii="Times New Roman;sans-serif" w:hAnsi="Times New Roman;sans-serif"/>
                  <w:b w:val="false"/>
                  <w:color w:val="000080"/>
                  <w:sz w:val="20"/>
                  <w:u w:val="single"/>
                </w:rPr>
                <w:t>apital</w:t>
              </w:r>
            </w:hyperlink>
            <w:hyperlink w:anchor="oust-30june23xex101.htm">
              <w:r>
                <w:rPr>
                  <w:rStyle w:val="InternetLink"/>
                  <w:rFonts w:ascii="Times New Roman;sans-serif" w:hAnsi="Times New Roman;sans-serif"/>
                  <w:b w:val="false"/>
                  <w:color w:val="000080"/>
                  <w:sz w:val="20"/>
                  <w:u w:val="single"/>
                </w:rPr>
                <w:t>, I</w:t>
              </w:r>
            </w:hyperlink>
            <w:hyperlink w:anchor="oust-30june23xex101.htm">
              <w:r>
                <w:rPr>
                  <w:rStyle w:val="InternetLink"/>
                  <w:rFonts w:ascii="Times New Roman;sans-serif" w:hAnsi="Times New Roman;sans-serif"/>
                  <w:b w:val="false"/>
                  <w:color w:val="000080"/>
                  <w:sz w:val="20"/>
                  <w:u w:val="single"/>
                </w:rPr>
                <w:t>nc</w:t>
              </w:r>
            </w:hyperlink>
            <w:hyperlink w:anchor="oust-30june23xex101.htm">
              <w:r>
                <w:rPr>
                  <w:rStyle w:val="InternetLink"/>
                  <w:rFonts w:ascii="Times New Roman;sans-serif" w:hAnsi="Times New Roman;sans-serif"/>
                  <w:b w:val="false"/>
                  <w:color w:val="000080"/>
                  <w:sz w:val="20"/>
                  <w:u w:val="single"/>
                </w:rPr>
                <w:t>.</w:t>
              </w:r>
            </w:hyperlink>
            <w:hyperlink w:anchor="oust-30june23xex101.htm">
              <w:r>
                <w:rPr>
                  <w:rStyle w:val="InternetLink"/>
                  <w:rFonts w:ascii="Times New Roman;sans-serif" w:hAnsi="Times New Roman;sans-serif"/>
                  <w:b w:val="false"/>
                  <w:color w:val="000080"/>
                  <w:sz w:val="20"/>
                  <w:u w:val="single"/>
                </w:rPr>
                <w:t xml:space="preserve">, dated </w:t>
              </w:r>
            </w:hyperlink>
            <w:hyperlink w:anchor="oust-30june23xex101.htm">
              <w:r>
                <w:rPr>
                  <w:rStyle w:val="InternetLink"/>
                  <w:rFonts w:ascii="Times New Roman;sans-serif" w:hAnsi="Times New Roman;sans-serif"/>
                  <w:b w:val="false"/>
                  <w:color w:val="000080"/>
                  <w:sz w:val="20"/>
                  <w:u w:val="single"/>
                </w:rPr>
                <w:t>May 9,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e23x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e23xex311.htm">
              <w:r>
                <w:rPr>
                  <w:rStyle w:val="InternetLink"/>
                  <w:rFonts w:ascii="Times New Roman;sans-serif" w:hAnsi="Times New Roman;sans-serif"/>
                  <w:b w:val="false"/>
                  <w:color w:val="0000FF"/>
                  <w:sz w:val="20"/>
                  <w:u w:val="single"/>
                </w:rPr>
                <w:t>Certification of Chief Executive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e23x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e23xex312.htm">
              <w:r>
                <w:rPr>
                  <w:rStyle w:val="InternetLink"/>
                  <w:rFonts w:ascii="Times New Roman;sans-serif" w:hAnsi="Times New Roman;sans-serif"/>
                  <w:b w:val="false"/>
                  <w:color w:val="0000FF"/>
                  <w:sz w:val="20"/>
                  <w:u w:val="single"/>
                </w:rPr>
                <w:t>Certification of Chief Financial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e23x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e23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e23xex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e23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annexes, schedules, and certain exhibits to this Exhibit have been omitted pursuant to Item 601(b)(2) of Regulation S-K.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36c538f316ad46bd8c2ffcc04a929be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 </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9630" w:type="dxa"/>
        <w:jc w:val="left"/>
        <w:tblInd w:w="0" w:type="dxa"/>
        <w:tblLayout w:type="fixed"/>
        <w:tblCellMar>
          <w:top w:w="28" w:type="dxa"/>
          <w:left w:w="28" w:type="dxa"/>
          <w:bottom w:w="28" w:type="dxa"/>
          <w:right w:w="28" w:type="dxa"/>
        </w:tblCellMar>
      </w:tblPr>
      <w:tblGrid>
        <w:gridCol w:w="705"/>
        <w:gridCol w:w="621"/>
        <w:gridCol w:w="624"/>
        <w:gridCol w:w="222"/>
        <w:gridCol w:w="203"/>
        <w:gridCol w:w="205"/>
        <w:gridCol w:w="2048"/>
        <w:gridCol w:w="2048"/>
        <w:gridCol w:w="295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Ouster, Inc.</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Weinswig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Weinswig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 (</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JOINDER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Joinder Agreement (the “Joinder Agreement”) is made and dated as of May 9, 2023, and is entered into by and between VELODYNE LIDAR USA, INC., a Delaware corporation (“Velodyne”, or “Subsidiary”), and HERCULES CAPITAL, INC., a Maryland corporation (as “Agent”). </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Subsidiary’s Affiliate, OUSTER, INC. (“Company”) has entered into that certain Loan and Security Agreement dated as of April 29, 2022, with Company, Guarantors (as defined in the Loan Agreement), the several banks and other financial institutions or entities from time to time party thereto as lender (each a “Lender”, and collectively, the “Lenders”) and the Agent, as such agreement may be amended (the “Loan Agreement”), together with the other agreements executed and delivered in connection therewith;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Subsidiary acknowledges and agrees that the Subsidiary will benefit both directly and indirectly from Company’s execution of the Loan Agreement and the other agreements executed and delivered in connection therewith.</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AGREEMENT</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NOW THEREFORE, the Subsidiary and Agent agree as follows:</w:t>
      </w:r>
    </w:p>
    <w:p>
      <w:pPr>
        <w:pStyle w:val="TextBody"/>
        <w:bidi w:val="0"/>
        <w:spacing w:lineRule="auto" w:line="240" w:before="0" w:after="24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recitals set forth above are incorporated into and made part of this Joinder Agreement. Capitalized terms not defined herein shall have the meaning provided in the Loan Agreement.</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2.</w:t>
      </w:r>
      <w:r>
        <w:rPr>
          <w:color w:val="000000"/>
        </w:rPr>
        <w:t xml:space="preserve"> </w:t>
      </w:r>
      <w:r>
        <w:rPr>
          <w:rFonts w:ascii="Times New Roman;sans-serif" w:hAnsi="Times New Roman;sans-serif"/>
          <w:b w:val="false"/>
          <w:color w:val="000000"/>
          <w:sz w:val="22"/>
        </w:rPr>
        <w:t>By signing this Joinder Agreement, thee Subsidiary shall be bound by the terms and conditions of the Loan Agreement the same as if it were the Guarantor (as defined in the Loan Agreement) under the Loan Agreement, mutatis mutandis, provided however, that (a) with respect to (i) Section 5.1 of the Loan Agreement, the Subsidiary represents that it is an entity duly organized, legally existing and in good standing under the laws of Delaware, (b) neither Agent nor the Lenders shall have any duties, responsibilities or obligations to Subsidiary arising under or related to the Loan Agreement or the other Loan Documents, (c) that if Subsidiary is covered by Company’s insurance, no Subsidiary shall be required to maintain separate insurance or comply with the provisions of Sections 6.1 and 6.2 of the Loan Agreement, and (d) that as long as Company satisfies the requirements of Section 7.1 of the Loan Agreement, no Subsidiary shall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any Subsidiary or any other Person or entity. By way of example (and not an exclusive list): (i) Agent’s providing notice to Company in accordance with the Loan Agreement or as otherwise agreed among Company, Agent and the Lenders shall be deemed provided to the Subsidiary; (ii) a Lender’s providing an Advance to Company shall be deemed an Advance to the Subsidiary; and (iii) no Subsidiary shall have the right to request an Advance or make any other demand on the Lenders.</w:t>
      </w:r>
    </w:p>
    <w:p>
      <w:pPr>
        <w:pStyle w:val="TextBody"/>
        <w:bidi w:val="0"/>
        <w:spacing w:lineRule="auto" w:line="240"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3.The Subsidiary agrees not to certificate its equity securities without Agent’s prior written consent, which consent may be conditioned on the delivery of such equity securities to Agent in order to perfect Agent’s security interest in such equity securities.</w:t>
      </w:r>
    </w:p>
    <w:p>
      <w:pPr>
        <w:pStyle w:val="TextBody"/>
        <w:bidi w:val="0"/>
        <w:spacing w:lineRule="auto" w:line="240"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4.The 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pStyle w:val="TextBody"/>
        <w:bidi w:val="0"/>
        <w:spacing w:lineRule="auto" w:line="240"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5.As security for the prompt, complete and indefeasible payment when due (whether on the payment dates or otherwise) of all the Secured Obligations, the Subsidiary grants to Agent a security interest in all of Subsidiary’s right, title, and interest in and to the Collateral.</w:t>
      </w:r>
    </w:p>
    <w:p>
      <w:pPr>
        <w:pStyle w:val="TextBody"/>
        <w:bidi w:val="0"/>
        <w:spacing w:lineRule="auto" w:line="240"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hanging="1886"/>
        <w:jc w:val="left"/>
        <w:rPr>
          <w:rFonts w:ascii="Times New Roman;sans-serif" w:hAnsi="Times New Roman;sans-serif"/>
          <w:b w:val="false"/>
          <w:color w:val="000000"/>
          <w:sz w:val="22"/>
        </w:rPr>
      </w:pPr>
      <w:r>
        <w:rPr>
          <w:rFonts w:ascii="Times New Roman;sans-serif" w:hAnsi="Times New Roman;sans-serif"/>
          <w:b w:val="false"/>
          <w:color w:val="000000"/>
          <w:sz w:val="22"/>
        </w:rPr>
        <w:t>SUBSIDIARY:</w:t>
      </w:r>
    </w:p>
    <w:p>
      <w:pPr>
        <w:pStyle w:val="TextBody"/>
        <w:bidi w:val="0"/>
        <w:spacing w:lineRule="auto" w:line="240" w:before="0" w:after="120"/>
        <w:ind w:left="0" w:right="0" w:hanging="1886"/>
        <w:jc w:val="left"/>
        <w:rPr>
          <w:rFonts w:ascii="Times New Roman;sans-serif" w:hAnsi="Times New Roman;sans-serif"/>
          <w:b/>
          <w:color w:val="000000"/>
          <w:sz w:val="22"/>
        </w:rPr>
      </w:pPr>
      <w:r>
        <w:rPr>
          <w:rFonts w:ascii="Times New Roman;sans-serif" w:hAnsi="Times New Roman;sans-serif"/>
          <w:b/>
          <w:color w:val="000000"/>
          <w:sz w:val="22"/>
        </w:rPr>
        <w:t>VELODYNE LIDAR USA, INC.</w:t>
      </w:r>
    </w:p>
    <w:p>
      <w:pPr>
        <w:pStyle w:val="TextBody"/>
        <w:bidi w:val="0"/>
        <w:spacing w:lineRule="auto" w:line="240" w:before="0" w:after="0"/>
        <w:ind w:left="0" w:right="0" w:hanging="1886"/>
        <w:jc w:val="left"/>
        <w:rPr>
          <w:color w:val="000000"/>
        </w:rPr>
      </w:pPr>
      <w:r>
        <w:rPr>
          <w:color w:val="000000"/>
        </w:rPr>
        <w:t>    </w:t>
      </w:r>
    </w:p>
    <w:p>
      <w:pPr>
        <w:pStyle w:val="TextBody"/>
        <w:bidi w:val="0"/>
        <w:spacing w:lineRule="auto" w:line="240" w:before="0" w:after="0"/>
        <w:ind w:left="0" w:right="0" w:hanging="1886"/>
        <w:jc w:val="left"/>
        <w:rPr/>
      </w:pPr>
      <w:r>
        <w:rPr>
          <w:color w:val="000000"/>
        </w:rPr>
        <w:t>    </w:t>
      </w: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Mark Weinswig</w:t>
      </w:r>
      <w:r>
        <w:rPr>
          <w:rFonts w:ascii="Times New Roman;sans-serif" w:hAnsi="Times New Roman;sans-serif"/>
          <w:b w:val="false"/>
          <w:color w:val="000000"/>
          <w:sz w:val="22"/>
        </w:rPr>
        <w:t>__________________________________            </w:t>
      </w:r>
    </w:p>
    <w:p>
      <w:pPr>
        <w:pStyle w:val="TextBody"/>
        <w:bidi w:val="0"/>
        <w:spacing w:lineRule="auto" w:line="240" w:before="0" w:after="0"/>
        <w:ind w:left="0" w:right="0" w:hanging="1886"/>
        <w:jc w:val="left"/>
        <w:rPr>
          <w:color w:val="000000"/>
        </w:rPr>
      </w:pPr>
      <w:r>
        <w:rPr>
          <w:color w:val="000000"/>
        </w:rPr>
        <w:t>    </w:t>
      </w:r>
      <w:r>
        <w:rPr>
          <w:rFonts w:ascii="Times New Roman;sans-serif" w:hAnsi="Times New Roman;sans-serif"/>
          <w:b w:val="false"/>
          <w:color w:val="000000"/>
          <w:sz w:val="22"/>
        </w:rPr>
        <w:t>Name: Mark Weinswig        </w:t>
      </w:r>
    </w:p>
    <w:p>
      <w:pPr>
        <w:pStyle w:val="TextBody"/>
        <w:bidi w:val="0"/>
        <w:spacing w:lineRule="auto" w:line="240" w:before="0" w:after="240"/>
        <w:ind w:left="0" w:right="0" w:hanging="1886"/>
        <w:jc w:val="left"/>
        <w:rPr>
          <w:color w:val="000000"/>
        </w:rPr>
      </w:pPr>
      <w:r>
        <w:rPr>
          <w:color w:val="000000"/>
        </w:rPr>
        <w:t>    </w:t>
      </w:r>
      <w:r>
        <w:rPr>
          <w:rFonts w:ascii="Times New Roman;sans-serif" w:hAnsi="Times New Roman;sans-serif"/>
          <w:b w:val="false"/>
          <w:color w:val="000000"/>
          <w:sz w:val="22"/>
        </w:rPr>
        <w:t>Title: Chief Financial Officer        </w:t>
      </w:r>
    </w:p>
    <w:p>
      <w:pPr>
        <w:pStyle w:val="TextBody"/>
        <w:bidi w:val="0"/>
        <w:spacing w:lineRule="auto" w:line="240" w:before="0" w:after="0"/>
        <w:ind w:left="0" w:right="0" w:hanging="1886"/>
        <w:jc w:val="left"/>
        <w:rPr>
          <w:color w:val="000000"/>
        </w:rPr>
      </w:pPr>
      <w:r>
        <w:rPr>
          <w:color w:val="000000"/>
        </w:rPr>
        <w:t>    </w:t>
      </w:r>
      <w:r>
        <w:rPr>
          <w:rFonts w:ascii="Times New Roman;sans-serif" w:hAnsi="Times New Roman;sans-serif"/>
          <w:b w:val="false"/>
          <w:color w:val="000000"/>
          <w:sz w:val="22"/>
        </w:rPr>
        <w:t>Address:</w:t>
      </w:r>
    </w:p>
    <w:p>
      <w:pPr>
        <w:pStyle w:val="TextBody"/>
        <w:bidi w:val="0"/>
        <w:spacing w:lineRule="auto" w:line="240" w:before="0" w:after="0"/>
        <w:ind w:left="0" w:right="0" w:firstLine="1886"/>
        <w:jc w:val="left"/>
        <w:rPr>
          <w:rFonts w:ascii="Times New Roman;sans-serif" w:hAnsi="Times New Roman;sans-serif"/>
          <w:b w:val="false"/>
          <w:color w:val="000000"/>
          <w:sz w:val="22"/>
        </w:rPr>
      </w:pPr>
      <w:r>
        <w:rPr>
          <w:rFonts w:ascii="Times New Roman;sans-serif" w:hAnsi="Times New Roman;sans-serif"/>
          <w:b w:val="false"/>
          <w:color w:val="000000"/>
          <w:sz w:val="22"/>
        </w:rPr>
        <w:t>5521 Hellyer Avenue</w:t>
      </w:r>
    </w:p>
    <w:p>
      <w:pPr>
        <w:pStyle w:val="TextBody"/>
        <w:bidi w:val="0"/>
        <w:spacing w:lineRule="auto" w:line="240" w:before="0" w:after="0"/>
        <w:ind w:left="0" w:right="0" w:firstLine="1886"/>
        <w:jc w:val="left"/>
        <w:rPr>
          <w:rFonts w:ascii="Times New Roman;sans-serif" w:hAnsi="Times New Roman;sans-serif"/>
          <w:b w:val="false"/>
          <w:color w:val="000000"/>
          <w:sz w:val="22"/>
        </w:rPr>
      </w:pPr>
      <w:r>
        <w:rPr>
          <w:rFonts w:ascii="Times New Roman;sans-serif" w:hAnsi="Times New Roman;sans-serif"/>
          <w:b w:val="false"/>
          <w:color w:val="000000"/>
          <w:sz w:val="22"/>
        </w:rPr>
        <w:t>San Jose, California 95138</w:t>
      </w:r>
    </w:p>
    <w:p>
      <w:pPr>
        <w:pStyle w:val="TextBody"/>
        <w:bidi w:val="0"/>
        <w:spacing w:lineRule="auto" w:line="240" w:before="0" w:after="240"/>
        <w:ind w:left="0" w:right="0" w:hanging="1886"/>
        <w:jc w:val="left"/>
        <w:rPr>
          <w:color w:val="000000"/>
        </w:rPr>
      </w:pPr>
      <w:r>
        <w:rPr>
          <w:color w:val="000000"/>
        </w:rPr>
        <w:t>    </w:t>
      </w:r>
      <w:r>
        <w:rPr>
          <w:rFonts w:ascii="Times New Roman;sans-serif" w:hAnsi="Times New Roman;sans-serif"/>
          <w:b w:val="false"/>
          <w:color w:val="000000"/>
          <w:sz w:val="22"/>
        </w:rPr>
        <w:t>email: legal@ouster.io</w:t>
      </w:r>
    </w:p>
    <w:p>
      <w:pPr>
        <w:pStyle w:val="TextBody"/>
        <w:bidi w:val="0"/>
        <w:spacing w:before="0" w:after="0"/>
        <w:ind w:left="0" w:right="0" w:hanging="1886"/>
        <w:jc w:val="left"/>
        <w:rPr/>
      </w:pPr>
      <w:r>
        <w:rPr/>
      </w:r>
    </w:p>
    <w:p>
      <w:pPr>
        <w:pStyle w:val="TextBody"/>
        <w:bidi w:val="0"/>
        <w:spacing w:lineRule="auto" w:line="240" w:before="0" w:after="480"/>
        <w:ind w:left="0" w:right="0" w:hanging="1886"/>
        <w:jc w:val="left"/>
        <w:rPr>
          <w:rFonts w:ascii="Times New Roman;sans-serif" w:hAnsi="Times New Roman;sans-serif"/>
          <w:b w:val="false"/>
          <w:color w:val="000000"/>
          <w:sz w:val="22"/>
        </w:rPr>
      </w:pPr>
      <w:r>
        <w:rPr>
          <w:rFonts w:ascii="Times New Roman;sans-serif" w:hAnsi="Times New Roman;sans-serif"/>
          <w:b w:val="false"/>
          <w:color w:val="000000"/>
          <w:sz w:val="22"/>
        </w:rPr>
        <w:t>AGENT:</w:t>
      </w:r>
    </w:p>
    <w:p>
      <w:pPr>
        <w:pStyle w:val="TextBody"/>
        <w:bidi w:val="0"/>
        <w:spacing w:lineRule="auto" w:line="240" w:before="0" w:after="480"/>
        <w:ind w:left="0" w:right="0" w:hanging="1886"/>
        <w:jc w:val="left"/>
        <w:rPr/>
      </w:pPr>
      <w:r>
        <w:rPr>
          <w:rFonts w:ascii="Times New Roman;sans-serif" w:hAnsi="Times New Roman;sans-serif"/>
          <w:b/>
          <w:color w:val="000000"/>
          <w:sz w:val="22"/>
        </w:rPr>
        <w:t>HERCULES CAPITAL, INC.</w:t>
      </w:r>
      <w:r>
        <w:rPr>
          <w:rFonts w:ascii="Times New Roman;sans-serif" w:hAnsi="Times New Roman;sans-serif"/>
          <w:b w:val="false"/>
          <w:color w:val="000000"/>
          <w:sz w:val="22"/>
        </w:rPr>
        <w:br/>
        <w:br/>
        <w:t>By:_</w:t>
      </w:r>
      <w:r>
        <w:rPr>
          <w:rFonts w:ascii="Times New Roman;sans-serif" w:hAnsi="Times New Roman;sans-serif"/>
          <w:b w:val="false"/>
          <w:color w:val="000000"/>
          <w:sz w:val="22"/>
          <w:u w:val="single"/>
        </w:rPr>
        <w:t>/s/ Zhuo Huang</w:t>
      </w:r>
      <w:r>
        <w:rPr>
          <w:rFonts w:ascii="Times New Roman;sans-serif" w:hAnsi="Times New Roman;sans-serif"/>
          <w:b w:val="false"/>
          <w:color w:val="000000"/>
          <w:sz w:val="22"/>
        </w:rPr>
        <w:t>___________________________________</w:t>
        <w:br/>
        <w:t>Name: Zhuo Huang</w:t>
        <w:br/>
        <w:t>Title: Associate General Counsel</w:t>
        <w:br/>
        <w:br/>
        <w:t>Address:</w:t>
        <w:br/>
        <w:t>400 Hamilton Ave., Suite 310</w:t>
        <w:br/>
        <w:t>Palo Alto, CA 94301</w:t>
        <w:br/>
        <w:t>email: legal@htgc.com</w:t>
        <w:br/>
        <w:t>Telephone: 650-289-3060</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18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JOINDER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JOINDER AGREEMENT]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Angus Pacala, certify that:</w:t>
      </w:r>
    </w:p>
    <w:p>
      <w:pPr>
        <w:pStyle w:val="TextBody"/>
        <w:bidi w:val="0"/>
        <w:spacing w:before="0" w:after="0"/>
        <w:jc w:val="left"/>
        <w:rPr/>
      </w:pPr>
      <w:r>
        <w:rPr/>
      </w:r>
    </w:p>
    <w:tbl>
      <w:tblPr>
        <w:tblW w:w="5921" w:type="dxa"/>
        <w:jc w:val="left"/>
        <w:tblInd w:w="0" w:type="dxa"/>
        <w:tblLayout w:type="fixed"/>
        <w:tblCellMar>
          <w:top w:w="28" w:type="dxa"/>
          <w:left w:w="28" w:type="dxa"/>
          <w:bottom w:w="28" w:type="dxa"/>
          <w:right w:w="28" w:type="dxa"/>
        </w:tblCellMar>
      </w:tblPr>
      <w:tblGrid>
        <w:gridCol w:w="124"/>
        <w:gridCol w:w="109"/>
        <w:gridCol w:w="109"/>
        <w:gridCol w:w="1632"/>
        <w:gridCol w:w="1632"/>
        <w:gridCol w:w="23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Ouster, Inc.;</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161"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1018"/>
        <w:gridCol w:w="1018"/>
        <w:gridCol w:w="14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Angus Pacala</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Co-Founder and Chief Executive Officer </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Mark Weinswig, certify that:</w:t>
      </w:r>
    </w:p>
    <w:p>
      <w:pPr>
        <w:pStyle w:val="TextBody"/>
        <w:bidi w:val="0"/>
        <w:spacing w:before="0" w:after="0"/>
        <w:jc w:val="left"/>
        <w:rPr/>
      </w:pPr>
      <w:r>
        <w:rPr/>
      </w:r>
    </w:p>
    <w:tbl>
      <w:tblPr>
        <w:tblW w:w="5921" w:type="dxa"/>
        <w:jc w:val="left"/>
        <w:tblInd w:w="0" w:type="dxa"/>
        <w:tblLayout w:type="fixed"/>
        <w:tblCellMar>
          <w:top w:w="28" w:type="dxa"/>
          <w:left w:w="28" w:type="dxa"/>
          <w:bottom w:w="28" w:type="dxa"/>
          <w:right w:w="28" w:type="dxa"/>
        </w:tblCellMar>
      </w:tblPr>
      <w:tblGrid>
        <w:gridCol w:w="124"/>
        <w:gridCol w:w="109"/>
        <w:gridCol w:w="109"/>
        <w:gridCol w:w="1632"/>
        <w:gridCol w:w="1632"/>
        <w:gridCol w:w="23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Ouster, Inc.;</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5095"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706"/>
        <w:gridCol w:w="706"/>
        <w:gridCol w:w="100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Weinswig</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Weinswig</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Ouster, Inc. (the “Company”) for the period ended June 30, 2023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6160"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1019"/>
        <w:gridCol w:w="1019"/>
        <w:gridCol w:w="14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Angus Pacala</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Angus Pacala</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Co-Founder and Chief Executive Officer </w:t>
            </w:r>
          </w:p>
          <w:p>
            <w:pPr>
              <w:pStyle w:val="TableContents"/>
              <w:bidi w:val="0"/>
              <w:spacing w:lineRule="auto" w:line="28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Ouster, Inc. (the “Company”) for the period ended June 30, 2023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5095"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706"/>
        <w:gridCol w:w="706"/>
        <w:gridCol w:w="100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Weinswig</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Weinswig</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6581/000119312522278440/d386513dex21.htm" TargetMode="External"/><Relationship Id="rId3" Type="http://schemas.openxmlformats.org/officeDocument/2006/relationships/hyperlink" Target="https://www.sec.gov/Archives/edgar/data/1816581/000119312522278440/d386513dex21.htm" TargetMode="External"/><Relationship Id="rId4" Type="http://schemas.openxmlformats.org/officeDocument/2006/relationships/hyperlink" Target="https://www.sec.gov/Archives/edgar/data/0001816581/000119312521076326/d149743dex31.htm" TargetMode="External"/><Relationship Id="rId5" Type="http://schemas.openxmlformats.org/officeDocument/2006/relationships/hyperlink" Target="https://www.sec.gov/Archives/edgar/data/0001816581/000119312521076326/d149743dex31.htm" TargetMode="External"/><Relationship Id="rId6" Type="http://schemas.openxmlformats.org/officeDocument/2006/relationships/hyperlink" Target="https://www.sec.gov/Archives/edgar/data/1816581/000119312523108331/d502108dex31.htm" TargetMode="External"/><Relationship Id="rId7" Type="http://schemas.openxmlformats.org/officeDocument/2006/relationships/hyperlink" Target="https://www.sec.gov/Archives/edgar/data/1816581/000119312523108331/d502108dex31.htm" TargetMode="External"/><Relationship Id="rId8" Type="http://schemas.openxmlformats.org/officeDocument/2006/relationships/hyperlink" Target="https://www.sec.gov/Archives/edgar/data/0001816581/000119312521076326/d149743dex32.htm" TargetMode="External"/><Relationship Id="rId9" Type="http://schemas.openxmlformats.org/officeDocument/2006/relationships/hyperlink" Target="https://www.sec.gov/Archives/edgar/data/0001816581/000119312521076326/d149743dex32.htm" TargetMode="External"/><Relationship Id="rId10" Type="http://schemas.openxmlformats.org/officeDocument/2006/relationships/hyperlink" Target="https://www.sec.gov/Archives/edgar/data/1745317/000114420418054354/tv505017_ex4-1.htm" TargetMode="External"/><Relationship Id="rId11" Type="http://schemas.openxmlformats.org/officeDocument/2006/relationships/hyperlink" Target="https://www.sec.gov/Archives/edgar/data/1745317/000114420418054354/tv505017_ex4-1.htm" TargetMode="External"/><Relationship Id="rId12" Type="http://schemas.openxmlformats.org/officeDocument/2006/relationships/hyperlink" Target="https://www.sec.gov/Archives/edgar/data/1745317/000119312522029612/d54842dex41.htm" TargetMode="External"/><Relationship Id="rId13" Type="http://schemas.openxmlformats.org/officeDocument/2006/relationships/hyperlink" Target="https://www.sec.gov/Archives/edgar/data/1745317/000119312522029612/d54842dex4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27082</Words>
  <Characters>150303</Characters>
  <CharactersWithSpaces>175890</CharactersWithSpaces>
  <Paragraphs>3096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